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ms-office.chartstyle+xml" PartName="/word/charts/style1.xml"/>
  <Override ContentType="application/vnd.ms-office.chartstyle+xml" PartName="/word/charts/style3.xml"/>
  <Override ContentType="application/vnd.ms-office.chartstyle+xml" PartName="/word/charts/style2.xml"/>
  <Override ContentType="application/vnd.openxmlformats-package.core-properties+xml" PartName="/docProps/core.xml"/>
  <Override ContentType="application/vnd.ms-office.chartcolorstyle+xml" PartName="/word/charts/colors3.xml"/>
  <Override ContentType="application/vnd.ms-office.chartcolorstyle+xml" PartName="/word/charts/colors2.xml"/>
  <Override ContentType="application/vnd.ms-office.chartcolorstyle+xml" PartName="/word/charts/colors1.xml"/>
  <Override ContentType="application/vnd.openxmlformats-officedocument.wordprocessingml.document.main+xml" PartName="/word/document.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jc w:val="center"/>
        <w:rPr>
          <w:b w:val="1"/>
        </w:rPr>
      </w:pPr>
      <w:r w:rsidDel="00000000" w:rsidR="00000000" w:rsidRPr="00000000">
        <w:rPr>
          <w:rtl w:val="0"/>
        </w:rPr>
      </w:r>
    </w:p>
    <w:p w:rsidR="00000000" w:rsidDel="00000000" w:rsidP="00000000" w:rsidRDefault="00000000" w:rsidRPr="00000000" w14:paraId="00000003">
      <w:pPr>
        <w:jc w:val="center"/>
        <w:rPr>
          <w:rFonts w:ascii="Calibri" w:cs="Calibri" w:eastAsia="Calibri" w:hAnsi="Calibri"/>
          <w:b w:val="1"/>
        </w:rPr>
      </w:pPr>
      <w:r w:rsidDel="00000000" w:rsidR="00000000" w:rsidRPr="00000000">
        <w:rPr>
          <w:rFonts w:ascii="Calibri" w:cs="Calibri" w:eastAsia="Calibri" w:hAnsi="Calibri"/>
          <w:b w:val="1"/>
          <w:rtl w:val="0"/>
        </w:rPr>
        <w:t xml:space="preserve">EFECTIVIDAD DE UN PROGRAMA DE </w:t>
      </w:r>
      <w:r w:rsidDel="00000000" w:rsidR="00000000" w:rsidRPr="00000000">
        <w:rPr>
          <w:rFonts w:ascii="Calibri" w:cs="Calibri" w:eastAsia="Calibri" w:hAnsi="Calibri"/>
          <w:b w:val="1"/>
          <w:rtl w:val="0"/>
        </w:rPr>
        <w:t xml:space="preserve">PREHABILITACION</w:t>
      </w:r>
      <w:r w:rsidDel="00000000" w:rsidR="00000000" w:rsidRPr="00000000">
        <w:rPr>
          <w:rFonts w:ascii="Calibri" w:cs="Calibri" w:eastAsia="Calibri" w:hAnsi="Calibri"/>
          <w:b w:val="1"/>
          <w:rtl w:val="0"/>
        </w:rPr>
        <w:t xml:space="preserve"> </w:t>
      </w:r>
      <w:r w:rsidDel="00000000" w:rsidR="00000000" w:rsidRPr="00000000">
        <w:rPr>
          <w:b w:val="1"/>
          <w:rtl w:val="0"/>
        </w:rPr>
        <w:t xml:space="preserve">QUIRÚRGICA</w:t>
      </w:r>
      <w:r w:rsidDel="00000000" w:rsidR="00000000" w:rsidRPr="00000000">
        <w:rPr>
          <w:rFonts w:ascii="Calibri" w:cs="Calibri" w:eastAsia="Calibri" w:hAnsi="Calibri"/>
          <w:b w:val="1"/>
          <w:rtl w:val="0"/>
        </w:rPr>
        <w:t xml:space="preserve"> EN PACIENTES LLEVADOS A </w:t>
      </w:r>
      <w:r w:rsidDel="00000000" w:rsidR="00000000" w:rsidRPr="00000000">
        <w:rPr>
          <w:b w:val="1"/>
          <w:rtl w:val="0"/>
        </w:rPr>
        <w:t xml:space="preserve">CIRUGÍA</w:t>
      </w:r>
      <w:r w:rsidDel="00000000" w:rsidR="00000000" w:rsidRPr="00000000">
        <w:rPr>
          <w:rFonts w:ascii="Calibri" w:cs="Calibri" w:eastAsia="Calibri" w:hAnsi="Calibri"/>
          <w:b w:val="1"/>
          <w:rtl w:val="0"/>
        </w:rPr>
        <w:t xml:space="preserve"> DE </w:t>
      </w:r>
      <w:r w:rsidDel="00000000" w:rsidR="00000000" w:rsidRPr="00000000">
        <w:rPr>
          <w:b w:val="1"/>
          <w:rtl w:val="0"/>
        </w:rPr>
        <w:t xml:space="preserve">CITORREDUCCIÓN</w:t>
      </w:r>
      <w:r w:rsidDel="00000000" w:rsidR="00000000" w:rsidRPr="00000000">
        <w:rPr>
          <w:rFonts w:ascii="Calibri" w:cs="Calibri" w:eastAsia="Calibri" w:hAnsi="Calibri"/>
          <w:b w:val="1"/>
          <w:rtl w:val="0"/>
        </w:rPr>
        <w:t xml:space="preserve"> Y QUIMIOTERAPIA INTRAPERITONEAL </w:t>
      </w:r>
      <w:r w:rsidDel="00000000" w:rsidR="00000000" w:rsidRPr="00000000">
        <w:rPr>
          <w:b w:val="1"/>
          <w:rtl w:val="0"/>
        </w:rPr>
        <w:t xml:space="preserve">HIPERTÉRMICA</w:t>
      </w:r>
      <w:r w:rsidDel="00000000" w:rsidR="00000000" w:rsidRPr="00000000">
        <w:rPr>
          <w:rFonts w:ascii="Calibri" w:cs="Calibri" w:eastAsia="Calibri" w:hAnsi="Calibri"/>
          <w:b w:val="1"/>
          <w:rtl w:val="0"/>
        </w:rPr>
        <w:t xml:space="preserve"> EN EL INSTITUTO NACIONAL DE </w:t>
      </w:r>
      <w:r w:rsidDel="00000000" w:rsidR="00000000" w:rsidRPr="00000000">
        <w:rPr>
          <w:b w:val="1"/>
          <w:rtl w:val="0"/>
        </w:rPr>
        <w:t xml:space="preserve">CANCEROLOGÍA</w:t>
      </w:r>
      <w:r w:rsidDel="00000000" w:rsidR="00000000" w:rsidRPr="00000000">
        <w:rPr>
          <w:rFonts w:ascii="Calibri" w:cs="Calibri" w:eastAsia="Calibri" w:hAnsi="Calibri"/>
          <w:b w:val="1"/>
          <w:rtl w:val="0"/>
        </w:rPr>
        <w:t xml:space="preserve"> – INFORME PRELIMINAR</w:t>
      </w:r>
    </w:p>
    <w:p w:rsidR="00000000" w:rsidDel="00000000" w:rsidP="00000000" w:rsidRDefault="00000000" w:rsidRPr="00000000" w14:paraId="00000004">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05">
      <w:pPr>
        <w:jc w:val="center"/>
        <w:rPr>
          <w:rFonts w:ascii="Calibri" w:cs="Calibri" w:eastAsia="Calibri" w:hAnsi="Calibri"/>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2005964</wp:posOffset>
            </wp:positionH>
            <wp:positionV relativeFrom="paragraph">
              <wp:posOffset>5715</wp:posOffset>
            </wp:positionV>
            <wp:extent cx="1600200" cy="1938020"/>
            <wp:effectExtent b="0" l="0" r="0" t="0"/>
            <wp:wrapNone/>
            <wp:docPr descr="Resultado de imagen para escudo universidad militar" id="1561361692" name="image4.png"/>
            <a:graphic>
              <a:graphicData uri="http://schemas.openxmlformats.org/drawingml/2006/picture">
                <pic:pic>
                  <pic:nvPicPr>
                    <pic:cNvPr descr="Resultado de imagen para escudo universidad militar" id="0" name="image4.png"/>
                    <pic:cNvPicPr preferRelativeResize="0"/>
                  </pic:nvPicPr>
                  <pic:blipFill>
                    <a:blip r:embed="rId7"/>
                    <a:srcRect b="0" l="0" r="0" t="0"/>
                    <a:stretch>
                      <a:fillRect/>
                    </a:stretch>
                  </pic:blipFill>
                  <pic:spPr>
                    <a:xfrm>
                      <a:off x="0" y="0"/>
                      <a:ext cx="1600200" cy="1938020"/>
                    </a:xfrm>
                    <a:prstGeom prst="rect"/>
                    <a:ln/>
                  </pic:spPr>
                </pic:pic>
              </a:graphicData>
            </a:graphic>
          </wp:anchor>
        </w:drawing>
      </w:r>
    </w:p>
    <w:p w:rsidR="00000000" w:rsidDel="00000000" w:rsidP="00000000" w:rsidRDefault="00000000" w:rsidRPr="00000000" w14:paraId="00000006">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07">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08">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09">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0A">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0B">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0C">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0D">
      <w:pPr>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00E">
      <w:pPr>
        <w:jc w:val="center"/>
        <w:rPr>
          <w:rFonts w:ascii="Calibri" w:cs="Calibri" w:eastAsia="Calibri" w:hAnsi="Calibri"/>
          <w:b w:val="1"/>
        </w:rPr>
      </w:pPr>
      <w:r w:rsidDel="00000000" w:rsidR="00000000" w:rsidRPr="00000000">
        <w:rPr>
          <w:rFonts w:ascii="Calibri" w:cs="Calibri" w:eastAsia="Calibri" w:hAnsi="Calibri"/>
          <w:b w:val="1"/>
          <w:rtl w:val="0"/>
        </w:rPr>
        <w:t xml:space="preserve">AUTOR</w:t>
      </w:r>
    </w:p>
    <w:p w:rsidR="00000000" w:rsidDel="00000000" w:rsidP="00000000" w:rsidRDefault="00000000" w:rsidRPr="00000000" w14:paraId="0000000F">
      <w:pPr>
        <w:jc w:val="center"/>
        <w:rPr>
          <w:rFonts w:ascii="Calibri" w:cs="Calibri" w:eastAsia="Calibri" w:hAnsi="Calibri"/>
          <w:b w:val="1"/>
        </w:rPr>
      </w:pPr>
      <w:r w:rsidDel="00000000" w:rsidR="00000000" w:rsidRPr="00000000">
        <w:rPr>
          <w:rFonts w:ascii="Calibri" w:cs="Calibri" w:eastAsia="Calibri" w:hAnsi="Calibri"/>
          <w:b w:val="1"/>
          <w:rtl w:val="0"/>
        </w:rPr>
        <w:t xml:space="preserve">OSMAN OSVALDO ALFONSO VALDERRAMA</w:t>
      </w:r>
    </w:p>
    <w:p w:rsidR="00000000" w:rsidDel="00000000" w:rsidP="00000000" w:rsidRDefault="00000000" w:rsidRPr="00000000" w14:paraId="00000010">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11">
      <w:pPr>
        <w:jc w:val="center"/>
        <w:rPr>
          <w:rFonts w:ascii="Calibri" w:cs="Calibri" w:eastAsia="Calibri" w:hAnsi="Calibri"/>
        </w:rPr>
      </w:pPr>
      <w:r w:rsidDel="00000000" w:rsidR="00000000" w:rsidRPr="00000000">
        <w:rPr>
          <w:rFonts w:ascii="Calibri" w:cs="Calibri" w:eastAsia="Calibri" w:hAnsi="Calibri"/>
          <w:rtl w:val="0"/>
        </w:rPr>
        <w:t xml:space="preserve">Trabajo de grado presentado como requisito para optar al título de:</w:t>
      </w:r>
    </w:p>
    <w:p w:rsidR="00000000" w:rsidDel="00000000" w:rsidP="00000000" w:rsidRDefault="00000000" w:rsidRPr="00000000" w14:paraId="00000012">
      <w:pPr>
        <w:jc w:val="center"/>
        <w:rPr>
          <w:rFonts w:ascii="Calibri" w:cs="Calibri" w:eastAsia="Calibri" w:hAnsi="Calibri"/>
          <w:b w:val="1"/>
        </w:rPr>
      </w:pPr>
      <w:r w:rsidDel="00000000" w:rsidR="00000000" w:rsidRPr="00000000">
        <w:rPr>
          <w:rFonts w:ascii="Calibri" w:cs="Calibri" w:eastAsia="Calibri" w:hAnsi="Calibri"/>
          <w:b w:val="1"/>
          <w:rtl w:val="0"/>
        </w:rPr>
        <w:t xml:space="preserve">CIRUJANO ONCÓLOGO</w:t>
      </w:r>
    </w:p>
    <w:p w:rsidR="00000000" w:rsidDel="00000000" w:rsidP="00000000" w:rsidRDefault="00000000" w:rsidRPr="00000000" w14:paraId="00000013">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14">
      <w:pPr>
        <w:jc w:val="center"/>
        <w:rPr>
          <w:rFonts w:ascii="Calibri" w:cs="Calibri" w:eastAsia="Calibri" w:hAnsi="Calibri"/>
        </w:rPr>
      </w:pPr>
      <w:r w:rsidDel="00000000" w:rsidR="00000000" w:rsidRPr="00000000">
        <w:rPr>
          <w:rFonts w:ascii="Calibri" w:cs="Calibri" w:eastAsia="Calibri" w:hAnsi="Calibri"/>
          <w:rtl w:val="0"/>
        </w:rPr>
        <w:t xml:space="preserve">Director:</w:t>
      </w:r>
    </w:p>
    <w:p w:rsidR="00000000" w:rsidDel="00000000" w:rsidP="00000000" w:rsidRDefault="00000000" w:rsidRPr="00000000" w14:paraId="00000015">
      <w:pPr>
        <w:jc w:val="center"/>
        <w:rPr>
          <w:rFonts w:ascii="Calibri" w:cs="Calibri" w:eastAsia="Calibri" w:hAnsi="Calibri"/>
          <w:b w:val="1"/>
        </w:rPr>
      </w:pPr>
      <w:r w:rsidDel="00000000" w:rsidR="00000000" w:rsidRPr="00000000">
        <w:rPr>
          <w:rFonts w:ascii="Calibri" w:cs="Calibri" w:eastAsia="Calibri" w:hAnsi="Calibri"/>
          <w:b w:val="1"/>
          <w:rtl w:val="0"/>
        </w:rPr>
        <w:t xml:space="preserve">MAURICIO GARCIA MORA</w:t>
      </w:r>
    </w:p>
    <w:p w:rsidR="00000000" w:rsidDel="00000000" w:rsidP="00000000" w:rsidRDefault="00000000" w:rsidRPr="00000000" w14:paraId="00000016">
      <w:pPr>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017">
      <w:pPr>
        <w:jc w:val="center"/>
        <w:rPr>
          <w:rFonts w:ascii="Calibri" w:cs="Calibri" w:eastAsia="Calibri" w:hAnsi="Calibri"/>
          <w:b w:val="1"/>
        </w:rPr>
      </w:pPr>
      <w:bookmarkStart w:colFirst="0" w:colLast="0" w:name="_heading=h.qvnjvaovjq27" w:id="0"/>
      <w:bookmarkEnd w:id="0"/>
      <w:r w:rsidDel="00000000" w:rsidR="00000000" w:rsidRPr="00000000">
        <w:rPr>
          <w:rtl w:val="0"/>
        </w:rPr>
      </w:r>
    </w:p>
    <w:p w:rsidR="00000000" w:rsidDel="00000000" w:rsidP="00000000" w:rsidRDefault="00000000" w:rsidRPr="00000000" w14:paraId="00000018">
      <w:pPr>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019">
      <w:pPr>
        <w:jc w:val="center"/>
        <w:rPr>
          <w:rFonts w:ascii="Calibri" w:cs="Calibri" w:eastAsia="Calibri" w:hAnsi="Calibri"/>
          <w:b w:val="1"/>
        </w:rPr>
      </w:pPr>
      <w:r w:rsidDel="00000000" w:rsidR="00000000" w:rsidRPr="00000000">
        <w:rPr>
          <w:rFonts w:ascii="Calibri" w:cs="Calibri" w:eastAsia="Calibri" w:hAnsi="Calibri"/>
          <w:b w:val="1"/>
          <w:rtl w:val="0"/>
        </w:rPr>
        <w:t xml:space="preserve">UNIVERSIDAD MILITAR NUEVA GRANADA</w:t>
      </w:r>
    </w:p>
    <w:p w:rsidR="00000000" w:rsidDel="00000000" w:rsidP="00000000" w:rsidRDefault="00000000" w:rsidRPr="00000000" w14:paraId="0000001A">
      <w:pPr>
        <w:jc w:val="center"/>
        <w:rPr>
          <w:rFonts w:ascii="Calibri" w:cs="Calibri" w:eastAsia="Calibri" w:hAnsi="Calibri"/>
          <w:b w:val="1"/>
        </w:rPr>
      </w:pPr>
      <w:r w:rsidDel="00000000" w:rsidR="00000000" w:rsidRPr="00000000">
        <w:rPr>
          <w:rFonts w:ascii="Calibri" w:cs="Calibri" w:eastAsia="Calibri" w:hAnsi="Calibri"/>
          <w:b w:val="1"/>
          <w:rtl w:val="0"/>
        </w:rPr>
        <w:t xml:space="preserve">FACULTAD DE POSGRADOS</w:t>
      </w:r>
    </w:p>
    <w:p w:rsidR="00000000" w:rsidDel="00000000" w:rsidP="00000000" w:rsidRDefault="00000000" w:rsidRPr="00000000" w14:paraId="0000001B">
      <w:pPr>
        <w:jc w:val="center"/>
        <w:rPr>
          <w:rFonts w:ascii="Calibri" w:cs="Calibri" w:eastAsia="Calibri" w:hAnsi="Calibri"/>
          <w:b w:val="1"/>
        </w:rPr>
      </w:pPr>
      <w:r w:rsidDel="00000000" w:rsidR="00000000" w:rsidRPr="00000000">
        <w:rPr>
          <w:b w:val="1"/>
          <w:rtl w:val="0"/>
        </w:rPr>
        <w:t xml:space="preserve">CIRUGÍA</w:t>
      </w:r>
      <w:r w:rsidDel="00000000" w:rsidR="00000000" w:rsidRPr="00000000">
        <w:rPr>
          <w:rFonts w:ascii="Calibri" w:cs="Calibri" w:eastAsia="Calibri" w:hAnsi="Calibri"/>
          <w:b w:val="1"/>
          <w:rtl w:val="0"/>
        </w:rPr>
        <w:t xml:space="preserve"> ONCOLOGIA</w:t>
      </w:r>
    </w:p>
    <w:p w:rsidR="00000000" w:rsidDel="00000000" w:rsidP="00000000" w:rsidRDefault="00000000" w:rsidRPr="00000000" w14:paraId="0000001C">
      <w:pPr>
        <w:jc w:val="center"/>
        <w:rPr>
          <w:rFonts w:ascii="Calibri" w:cs="Calibri" w:eastAsia="Calibri" w:hAnsi="Calibri"/>
          <w:b w:val="1"/>
        </w:rPr>
      </w:pPr>
      <w:r w:rsidDel="00000000" w:rsidR="00000000" w:rsidRPr="00000000">
        <w:rPr>
          <w:b w:val="1"/>
          <w:rtl w:val="0"/>
        </w:rPr>
        <w:t xml:space="preserve">BOGOTÁ</w:t>
      </w:r>
      <w:r w:rsidDel="00000000" w:rsidR="00000000" w:rsidRPr="00000000">
        <w:rPr>
          <w:rFonts w:ascii="Calibri" w:cs="Calibri" w:eastAsia="Calibri" w:hAnsi="Calibri"/>
          <w:b w:val="1"/>
          <w:rtl w:val="0"/>
        </w:rPr>
        <w:t xml:space="preserve"> JULIO 2025</w:t>
      </w:r>
    </w:p>
    <w:p w:rsidR="00000000" w:rsidDel="00000000" w:rsidP="00000000" w:rsidRDefault="00000000" w:rsidRPr="00000000" w14:paraId="0000001D">
      <w:pPr>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01E">
      <w:pPr>
        <w:spacing w:line="360" w:lineRule="auto"/>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01F">
      <w:pPr>
        <w:spacing w:line="360" w:lineRule="auto"/>
        <w:jc w:val="center"/>
        <w:rPr>
          <w:rFonts w:ascii="Calibri" w:cs="Calibri" w:eastAsia="Calibri" w:hAnsi="Calibri"/>
          <w:b w:val="1"/>
        </w:rPr>
      </w:pPr>
      <w:r w:rsidDel="00000000" w:rsidR="00000000" w:rsidRPr="00000000">
        <w:rPr>
          <w:b w:val="1"/>
          <w:rtl w:val="0"/>
        </w:rPr>
        <w:t xml:space="preserve">INTRODUCCIÓN</w:t>
      </w:r>
      <w:r w:rsidDel="00000000" w:rsidR="00000000" w:rsidRPr="00000000">
        <w:rPr>
          <w:rtl w:val="0"/>
        </w:rPr>
      </w:r>
    </w:p>
    <w:p w:rsidR="00000000" w:rsidDel="00000000" w:rsidP="00000000" w:rsidRDefault="00000000" w:rsidRPr="00000000" w14:paraId="00000020">
      <w:pPr>
        <w:spacing w:line="360" w:lineRule="auto"/>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021">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La cirugía de citorreducción (CCR) con quimioterapia intraperitoneal hipertérmica (HIPEC, por sus siglas en inglés), conocida también como cirugía de Sugarbaker, constituye actualmente el estándar de manejo para pacientes con malignidad peritoneal primaria o secundaria derivada de  tumores como el cáncer de colon, apéndice y el pseudomixoma peritoneal; Gracias a esta estrategia, los pacientes con enfermedad metastásica confinada al peritoneo puede mejorar su pronóstico, pasando de una supervivencia promedio de 5-8 meses con manejo  paliativo a una supervivencia media de 45 meses [1]. Sin embargo, este beneficio en la supervivencia se obtiene a expensas de una alta morbimortalidad asociada al procedimiento.</w:t>
      </w:r>
    </w:p>
    <w:p w:rsidR="00000000" w:rsidDel="00000000" w:rsidP="00000000" w:rsidRDefault="00000000" w:rsidRPr="00000000" w14:paraId="00000022">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Es importante destacar que, a pesar de los avances técnicos y del mayor conocimiento clínico, sigue siendo un procedimiento con una tasa alta de complicaciones; diversas series reportan una estancia hospitalaria promedio de 13 días, una tasa de reingreso del 11 %, morbilidad global del 33 % y una mortalidad asociada al procedimiento del 2 % [2]. Adicionalmente, algunos de los pacientes tratados exitosamente no logran recuperar sus niveles basales de salud ni calidad de vida; esto se atribuye a que los pacientes llegan a la cirugía con un deterioro nutricional, físico y psicológico, consecuencia tanto de la enfermedad como de los efectos secundarios del tratamiento oncológico [3].</w:t>
      </w:r>
    </w:p>
    <w:p w:rsidR="00000000" w:rsidDel="00000000" w:rsidP="00000000" w:rsidRDefault="00000000" w:rsidRPr="00000000" w14:paraId="00000023">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En la actualidad, una alternativa para mejorar las condiciones de los pacientes antes de ser llevados a cirugía es contar con programas de prehabilitación o programas de atención perioperatoria. Estos programas integrales abarcan tres áreas fundamentales: optimización nutricional, entrenamiento físico y apoyo psicológico [4]. Se sustentan en un enfoque multidisciplinario que incorpora diversas intervenciones antes de la cirugía, con el propósito de potenciar las condiciones iniciales del paciente y prepararlo frente al estrés quirúrgico. El objetivo principal es mejorar la recuperación postoperatoria, facilitar el retorno a las actividades cotidianas y, en última instancia, elevar la calidad de vida del paciente [5][6].</w:t>
      </w:r>
    </w:p>
    <w:p w:rsidR="00000000" w:rsidDel="00000000" w:rsidP="00000000" w:rsidRDefault="00000000" w:rsidRPr="00000000" w14:paraId="00000024">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Actualmente, existe evidencia que respalda la efectividad de incluir un programa de prehabilitación quirúrgica en pacientes sometidos a cirugía mayor [3].  Sin embargo, no se han desarrollado estudios que evalúen su impacto en contexto </w:t>
      </w:r>
      <w:r w:rsidDel="00000000" w:rsidR="00000000" w:rsidRPr="00000000">
        <w:rPr>
          <w:rtl w:val="0"/>
        </w:rPr>
        <w:t xml:space="preserve">específico</w:t>
      </w:r>
      <w:r w:rsidDel="00000000" w:rsidR="00000000" w:rsidRPr="00000000">
        <w:rPr>
          <w:rFonts w:ascii="Calibri" w:cs="Calibri" w:eastAsia="Calibri" w:hAnsi="Calibri"/>
          <w:rtl w:val="0"/>
        </w:rPr>
        <w:t xml:space="preserve"> de cirugía de Sugarbaker. Por esta razón, el presente estudio tiene como objetivo principal analizar la viabilidad y efectividad de implementar un programa integral de prehabilitación multimodal en pacientes con carcinomatosis peritoneal sometidos a CCR con HIPEC.</w:t>
      </w:r>
    </w:p>
    <w:p w:rsidR="00000000" w:rsidDel="00000000" w:rsidP="00000000" w:rsidRDefault="00000000" w:rsidRPr="00000000" w14:paraId="00000025">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Este proyecto es particularmente importante, </w:t>
      </w:r>
      <w:r w:rsidDel="00000000" w:rsidR="00000000" w:rsidRPr="00000000">
        <w:rPr>
          <w:rtl w:val="0"/>
        </w:rPr>
        <w:t xml:space="preserve">debido</w:t>
      </w:r>
      <w:r w:rsidDel="00000000" w:rsidR="00000000" w:rsidRPr="00000000">
        <w:rPr>
          <w:rFonts w:ascii="Calibri" w:cs="Calibri" w:eastAsia="Calibri" w:hAnsi="Calibri"/>
          <w:rtl w:val="0"/>
        </w:rPr>
        <w:t xml:space="preserve"> a que, hasta el momento, no se han realizado investigaciones similares en la región, lo que lo posiciona como un estudio pionero en América Latina.</w:t>
      </w:r>
    </w:p>
    <w:p w:rsidR="00000000" w:rsidDel="00000000" w:rsidP="00000000" w:rsidRDefault="00000000" w:rsidRPr="00000000" w14:paraId="00000026">
      <w:pPr>
        <w:spacing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PLANTEAMIENTO DEL PROBLEMA Y PREGUNTA DE INVESTIGACIÓN</w:t>
      </w:r>
    </w:p>
    <w:p w:rsidR="00000000" w:rsidDel="00000000" w:rsidP="00000000" w:rsidRDefault="00000000" w:rsidRPr="00000000" w14:paraId="00000028">
      <w:pPr>
        <w:spacing w:after="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2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cirugía de citorreducción (CCR) con quimioterapia intraperitoneal hipertérmica (HIPEC), también conocida como cirugía de Sugarbaker, representa el estándar terapéutico con potencial curativo para pacientes con malignidad peritoneal primaria o secundaria de tumores como el cáncer de colon, apéndice y el pseudomixoma peritoneal. Sin embargo, este procedimiento se asocia a una alta morbimortalidad debido a su complejidad, toxicidad y a las condiciones clínicas con las que los pacientes llegan a la intervención, incluyendo desnutrición, desacondicionamiento físico, carga tumoral avanzada y deterioro psicoemocional; Además, los tratamientos oncológicos previos afectan negativamente los procesos fisiológicos de reparación, lo que agrava el riesgo de complicaciones y dificulta la recuperación postoperatoria. Como consecuencia, muchos pacientes presentan limitaciones significativas para retornar a una adecuada calidad de vida tras la cirugía.</w:t>
      </w:r>
    </w:p>
    <w:p w:rsidR="00000000" w:rsidDel="00000000" w:rsidP="00000000" w:rsidRDefault="00000000" w:rsidRPr="00000000" w14:paraId="0000002A">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2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Si bien la evidencia ha demostrado que los programas de prehabilitación que combinan intervenciones físicas, nutricionales y psicológicas en el periodo preoperatorio pueden mejorar los resultados en cirugías mayores, no existen estudios específicos que evalúen su impacto en pacientes sometidos a CCR con HIPEC. dejando un vacío de conocimiento en este grupo de pacientes.</w:t>
      </w:r>
    </w:p>
    <w:p w:rsidR="00000000" w:rsidDel="00000000" w:rsidP="00000000" w:rsidRDefault="00000000" w:rsidRPr="00000000" w14:paraId="0000002C">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2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Pregunta de investigación</w:t>
      </w:r>
    </w:p>
    <w:p w:rsidR="00000000" w:rsidDel="00000000" w:rsidP="00000000" w:rsidRDefault="00000000" w:rsidRPr="00000000" w14:paraId="0000002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implementación de un programa de prehabilitación multimodal mejora los desenlaces quirúrgicos y la recuperación postoperatoria en pacientes con carcinomatosis peritoneal sometidos a cirugía de citorreducción más HIPEC?</w:t>
      </w:r>
    </w:p>
    <w:p w:rsidR="00000000" w:rsidDel="00000000" w:rsidP="00000000" w:rsidRDefault="00000000" w:rsidRPr="00000000" w14:paraId="0000002F">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30">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31">
      <w:pPr>
        <w:spacing w:after="0" w:line="360" w:lineRule="auto"/>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032">
      <w:pPr>
        <w:spacing w:after="0" w:line="36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MATERIALES Y </w:t>
      </w:r>
      <w:r w:rsidDel="00000000" w:rsidR="00000000" w:rsidRPr="00000000">
        <w:rPr>
          <w:b w:val="1"/>
          <w:rtl w:val="0"/>
        </w:rPr>
        <w:t xml:space="preserve">MÉTODOS</w:t>
      </w:r>
      <w:r w:rsidDel="00000000" w:rsidR="00000000" w:rsidRPr="00000000">
        <w:rPr>
          <w:rtl w:val="0"/>
        </w:rPr>
      </w:r>
    </w:p>
    <w:p w:rsidR="00000000" w:rsidDel="00000000" w:rsidP="00000000" w:rsidRDefault="00000000" w:rsidRPr="00000000" w14:paraId="00000033">
      <w:pPr>
        <w:spacing w:after="0" w:line="360" w:lineRule="auto"/>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034">
      <w:pPr>
        <w:spacing w:after="0"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35">
      <w:pPr>
        <w:spacing w:after="0" w:line="360" w:lineRule="auto"/>
        <w:ind w:right="120"/>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Previa aprobación por el comité de ética institucional, (</w:t>
      </w:r>
      <w:r w:rsidDel="00000000" w:rsidR="00000000" w:rsidRPr="00000000">
        <w:rPr>
          <w:rtl w:val="0"/>
        </w:rPr>
        <w:t xml:space="preserve">Número</w:t>
      </w:r>
      <w:r w:rsidDel="00000000" w:rsidR="00000000" w:rsidRPr="00000000">
        <w:rPr>
          <w:rFonts w:ascii="Calibri" w:cs="Calibri" w:eastAsia="Calibri" w:hAnsi="Calibri"/>
          <w:color w:val="000000"/>
          <w:rtl w:val="0"/>
        </w:rPr>
        <w:t xml:space="preserve"> de protocolo institucional 0015-22). Se diseñó el protocolo de un estudio clínico experimental no aleatorizado con controles históricos realizado en un único centro de referencia nacional para cáncer; Se incluyeron pacientes adultos (n=88) con carcinomatosis peritoneal comprobada, 44 en el grupo de controles históricos y 44 a quienes se les aplicará el protocolo de prehabilitación multimodal.</w:t>
      </w:r>
    </w:p>
    <w:p w:rsidR="00000000" w:rsidDel="00000000" w:rsidP="00000000" w:rsidRDefault="00000000" w:rsidRPr="00000000" w14:paraId="00000036">
      <w:pPr>
        <w:spacing w:after="0" w:line="360" w:lineRule="auto"/>
        <w:ind w:right="120"/>
        <w:jc w:val="both"/>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037">
      <w:pPr>
        <w:spacing w:after="0" w:line="360" w:lineRule="auto"/>
        <w:ind w:right="120"/>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Se </w:t>
      </w:r>
      <w:r w:rsidDel="00000000" w:rsidR="00000000" w:rsidRPr="00000000">
        <w:rPr>
          <w:rtl w:val="0"/>
        </w:rPr>
        <w:t xml:space="preserve">incluyó</w:t>
      </w:r>
      <w:r w:rsidDel="00000000" w:rsidR="00000000" w:rsidRPr="00000000">
        <w:rPr>
          <w:rFonts w:ascii="Calibri" w:cs="Calibri" w:eastAsia="Calibri" w:hAnsi="Calibri"/>
          <w:color w:val="000000"/>
          <w:rtl w:val="0"/>
        </w:rPr>
        <w:t xml:space="preserve"> a todos los pacientes mayores de 18 años con diagnóstico de carcinomatosis peritoneal derivada de tumores de origen abdominal por cáncer colorrectal, ovario, apéndice o gástrico, cuya conducta clínica definida por la junta de malignidad peritoneal sea la realización de CCR y HIPEC según criterios de los protocolos clínicos institucionales establecidos, y que estén en condiciones de cumplir con todas las actividades establecidas en el protocolo. Para el grupo control, se revisaron las historias clínicas de pacientes elegibles que cumplieron los mismos criterios de inclusión, y fueron sometidos a CCR y HIPEC entre los años 2017 a 2022.</w:t>
      </w:r>
    </w:p>
    <w:p w:rsidR="00000000" w:rsidDel="00000000" w:rsidP="00000000" w:rsidRDefault="00000000" w:rsidRPr="00000000" w14:paraId="00000038">
      <w:pPr>
        <w:spacing w:after="0" w:line="360" w:lineRule="auto"/>
        <w:ind w:right="120"/>
        <w:jc w:val="both"/>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039">
      <w:pPr>
        <w:spacing w:after="0" w:line="360" w:lineRule="auto"/>
        <w:ind w:right="120"/>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La implantación del programa de prehabilitación multimodal comenzará tras la aprobación por parte de la junta médica de malignidad peritoneal, donde un miembro del equipo de investigación proporcionará a los pacientes información detallada sobre el programa, incluyendo sus características, posibles resultados, beneficios, riesgos, formas de participación y la posibilidad de retirarse; al final de la consulta el participante </w:t>
      </w:r>
      <w:r w:rsidDel="00000000" w:rsidR="00000000" w:rsidRPr="00000000">
        <w:rPr>
          <w:rtl w:val="0"/>
        </w:rPr>
        <w:t xml:space="preserve">diligencia</w:t>
      </w:r>
      <w:r w:rsidDel="00000000" w:rsidR="00000000" w:rsidRPr="00000000">
        <w:rPr>
          <w:rFonts w:ascii="Calibri" w:cs="Calibri" w:eastAsia="Calibri" w:hAnsi="Calibri"/>
          <w:color w:val="000000"/>
          <w:rtl w:val="0"/>
        </w:rPr>
        <w:t xml:space="preserve"> y firmará el consentimiento.</w:t>
      </w:r>
    </w:p>
    <w:p w:rsidR="00000000" w:rsidDel="00000000" w:rsidP="00000000" w:rsidRDefault="00000000" w:rsidRPr="00000000" w14:paraId="0000003A">
      <w:pPr>
        <w:spacing w:after="0" w:line="360" w:lineRule="auto"/>
        <w:ind w:right="120"/>
        <w:jc w:val="both"/>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03B">
      <w:pPr>
        <w:spacing w:after="0" w:line="360" w:lineRule="auto"/>
        <w:ind w:right="120"/>
        <w:jc w:val="both"/>
        <w:rPr>
          <w:rFonts w:ascii="Calibri" w:cs="Calibri" w:eastAsia="Calibri" w:hAnsi="Calibri"/>
        </w:rPr>
      </w:pPr>
      <w:r w:rsidDel="00000000" w:rsidR="00000000" w:rsidRPr="00000000">
        <w:rPr>
          <w:rFonts w:ascii="Calibri" w:cs="Calibri" w:eastAsia="Calibri" w:hAnsi="Calibri"/>
          <w:color w:val="000000"/>
          <w:rtl w:val="0"/>
        </w:rPr>
        <w:t xml:space="preserve">Este protocolo preoperatorio integral consta de 4 ejes principales,(ver anexo 1, cuadro resumen intervenciones del protocolo ) con actividades desarrolladas en periodo preoperatorio (4 semanas antes de la cirugía), </w:t>
      </w:r>
      <w:r w:rsidDel="00000000" w:rsidR="00000000" w:rsidRPr="00000000">
        <w:rPr>
          <w:rFonts w:ascii="Calibri" w:cs="Calibri" w:eastAsia="Calibri" w:hAnsi="Calibri"/>
          <w:rtl w:val="0"/>
        </w:rPr>
        <w:t xml:space="preserve">se harán valoraciones físicas, nutricionales y psicológicas para definir un plan personalizado que incluye ejercicios respiratorios diarios con inspirómetro, actividad aeróbica moderada, fortalecimiento muscular específico, dieta hiperproteica, suplementos nutricionales y probióticos , En el Anexo 2 se presenta el folleto para la realización de ejercicios en casa. También se implementan intervenciones psicológicas, con cese del tabaquismo, educación sobre la estancia en UCI y asesoría en terapia enterostomal. </w:t>
      </w:r>
      <w:r w:rsidDel="00000000" w:rsidR="00000000" w:rsidRPr="00000000">
        <w:rPr>
          <w:rFonts w:ascii="Calibri" w:cs="Calibri" w:eastAsia="Calibri" w:hAnsi="Calibri"/>
          <w:color w:val="000000"/>
          <w:rtl w:val="0"/>
        </w:rPr>
        <w:t xml:space="preserve"> S</w:t>
      </w:r>
      <w:r w:rsidDel="00000000" w:rsidR="00000000" w:rsidRPr="00000000">
        <w:rPr>
          <w:rFonts w:ascii="Calibri" w:cs="Calibri" w:eastAsia="Calibri" w:hAnsi="Calibri"/>
          <w:rtl w:val="0"/>
        </w:rPr>
        <w:t xml:space="preserve">emanalmente se evalúa la adherencia mediante controles presenciales o telefónicos hasta el día de la cirugía. </w:t>
      </w:r>
    </w:p>
    <w:p w:rsidR="00000000" w:rsidDel="00000000" w:rsidP="00000000" w:rsidRDefault="00000000" w:rsidRPr="00000000" w14:paraId="0000003C">
      <w:pPr>
        <w:spacing w:after="0" w:line="360" w:lineRule="auto"/>
        <w:ind w:right="120"/>
        <w:jc w:val="both"/>
        <w:rPr>
          <w:rFonts w:ascii="Calibri" w:cs="Calibri" w:eastAsia="Calibri" w:hAnsi="Calibri"/>
          <w:color w:val="000000"/>
        </w:rPr>
      </w:pPr>
      <w:r w:rsidDel="00000000" w:rsidR="00000000" w:rsidRPr="00000000">
        <w:rPr>
          <w:rFonts w:ascii="Calibri" w:cs="Calibri" w:eastAsia="Calibri" w:hAnsi="Calibri"/>
          <w:rtl w:val="0"/>
        </w:rPr>
        <w:t xml:space="preserve">Durante la hospitalización </w:t>
      </w:r>
      <w:r w:rsidDel="00000000" w:rsidR="00000000" w:rsidRPr="00000000">
        <w:rPr>
          <w:rFonts w:ascii="Calibri" w:cs="Calibri" w:eastAsia="Calibri" w:hAnsi="Calibri"/>
          <w:color w:val="000000"/>
          <w:rtl w:val="0"/>
        </w:rPr>
        <w:t xml:space="preserve">se hará una evaluación diaria</w:t>
      </w:r>
      <w:r w:rsidDel="00000000" w:rsidR="00000000" w:rsidRPr="00000000">
        <w:rPr>
          <w:rFonts w:ascii="Calibri" w:cs="Calibri" w:eastAsia="Calibri" w:hAnsi="Calibri"/>
          <w:rtl w:val="0"/>
        </w:rPr>
        <w:t xml:space="preserve"> y se mantienen las estrategias multidisciplinarias para optimizar su recuperación y finalmente, tras el alta</w:t>
      </w:r>
      <w:r w:rsidDel="00000000" w:rsidR="00000000" w:rsidRPr="00000000">
        <w:rPr>
          <w:rFonts w:ascii="Calibri" w:cs="Calibri" w:eastAsia="Calibri" w:hAnsi="Calibri"/>
          <w:color w:val="000000"/>
          <w:rtl w:val="0"/>
        </w:rPr>
        <w:t xml:space="preserve"> se </w:t>
      </w:r>
      <w:r w:rsidDel="00000000" w:rsidR="00000000" w:rsidRPr="00000000">
        <w:rPr>
          <w:rtl w:val="0"/>
        </w:rPr>
        <w:t xml:space="preserve">programaron</w:t>
      </w:r>
      <w:r w:rsidDel="00000000" w:rsidR="00000000" w:rsidRPr="00000000">
        <w:rPr>
          <w:rFonts w:ascii="Calibri" w:cs="Calibri" w:eastAsia="Calibri" w:hAnsi="Calibri"/>
          <w:color w:val="000000"/>
          <w:rtl w:val="0"/>
        </w:rPr>
        <w:t xml:space="preserve"> controles semanales durante el primer mes y luego al completar dos y tres meses respectivamente. </w:t>
      </w:r>
    </w:p>
    <w:p w:rsidR="00000000" w:rsidDel="00000000" w:rsidP="00000000" w:rsidRDefault="00000000" w:rsidRPr="00000000" w14:paraId="0000003D">
      <w:pPr>
        <w:spacing w:after="0" w:line="360" w:lineRule="auto"/>
        <w:ind w:right="120"/>
        <w:jc w:val="both"/>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03E">
      <w:pPr>
        <w:spacing w:after="0" w:line="360" w:lineRule="auto"/>
        <w:ind w:right="120"/>
        <w:jc w:val="both"/>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03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RESULTADOS PRIMARIOS </w:t>
      </w:r>
    </w:p>
    <w:p w:rsidR="00000000" w:rsidDel="00000000" w:rsidP="00000000" w:rsidRDefault="00000000" w:rsidRPr="00000000" w14:paraId="0000004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 evaluará la efectividad del programa de prehabilitación mediante los siguientes desenlaces:</w:t>
      </w:r>
    </w:p>
    <w:p w:rsidR="00000000" w:rsidDel="00000000" w:rsidP="00000000" w:rsidRDefault="00000000" w:rsidRPr="00000000" w14:paraId="00000041">
      <w:pPr>
        <w:spacing w:after="0" w:line="360" w:lineRule="auto"/>
        <w:jc w:val="both"/>
        <w:rPr>
          <w:rFonts w:ascii="Calibri" w:cs="Calibri" w:eastAsia="Calibri" w:hAnsi="Calibri"/>
          <w:color w:val="212121"/>
          <w:highlight w:val="white"/>
        </w:rPr>
      </w:pPr>
      <w:r w:rsidDel="00000000" w:rsidR="00000000" w:rsidRPr="00000000">
        <w:rPr>
          <w:rFonts w:ascii="Calibri" w:cs="Calibri" w:eastAsia="Calibri" w:hAnsi="Calibri"/>
          <w:b w:val="1"/>
          <w:color w:val="212121"/>
          <w:highlight w:val="white"/>
          <w:rtl w:val="0"/>
        </w:rPr>
        <w:t xml:space="preserve">1. Estancia hospitalaria</w:t>
      </w:r>
      <w:r w:rsidDel="00000000" w:rsidR="00000000" w:rsidRPr="00000000">
        <w:rPr>
          <w:rFonts w:ascii="Calibri" w:cs="Calibri" w:eastAsia="Calibri" w:hAnsi="Calibri"/>
          <w:color w:val="212121"/>
          <w:highlight w:val="white"/>
          <w:rtl w:val="0"/>
        </w:rPr>
        <w:t xml:space="preserve">: se estimará la duración de la hospitalización en ambos grupos de estudio.</w:t>
      </w:r>
    </w:p>
    <w:p w:rsidR="00000000" w:rsidDel="00000000" w:rsidP="00000000" w:rsidRDefault="00000000" w:rsidRPr="00000000" w14:paraId="00000042">
      <w:pPr>
        <w:spacing w:after="0" w:line="360" w:lineRule="auto"/>
        <w:jc w:val="both"/>
        <w:rPr>
          <w:rFonts w:ascii="Calibri" w:cs="Calibri" w:eastAsia="Calibri" w:hAnsi="Calibri"/>
          <w:color w:val="212121"/>
          <w:highlight w:val="white"/>
        </w:rPr>
      </w:pPr>
      <w:r w:rsidDel="00000000" w:rsidR="00000000" w:rsidRPr="00000000">
        <w:rPr>
          <w:rFonts w:ascii="Calibri" w:cs="Calibri" w:eastAsia="Calibri" w:hAnsi="Calibri"/>
          <w:b w:val="1"/>
          <w:color w:val="212121"/>
          <w:highlight w:val="white"/>
          <w:rtl w:val="0"/>
        </w:rPr>
        <w:t xml:space="preserve">2. Tasa de complicaciones</w:t>
      </w:r>
      <w:r w:rsidDel="00000000" w:rsidR="00000000" w:rsidRPr="00000000">
        <w:rPr>
          <w:rFonts w:ascii="Calibri" w:cs="Calibri" w:eastAsia="Calibri" w:hAnsi="Calibri"/>
          <w:color w:val="212121"/>
          <w:highlight w:val="white"/>
          <w:rtl w:val="0"/>
        </w:rPr>
        <w:t xml:space="preserve">: se analizarán las complicaciones postoperatorias hasta un máximo de 30 días, utilizando la clasificación de Clavien-Dindo.</w:t>
      </w:r>
    </w:p>
    <w:p w:rsidR="00000000" w:rsidDel="00000000" w:rsidP="00000000" w:rsidRDefault="00000000" w:rsidRPr="00000000" w14:paraId="00000043">
      <w:pPr>
        <w:spacing w:after="0" w:line="360" w:lineRule="auto"/>
        <w:jc w:val="both"/>
        <w:rPr>
          <w:rFonts w:ascii="Calibri" w:cs="Calibri" w:eastAsia="Calibri" w:hAnsi="Calibri"/>
          <w:color w:val="212121"/>
          <w:highlight w:val="white"/>
        </w:rPr>
      </w:pPr>
      <w:r w:rsidDel="00000000" w:rsidR="00000000" w:rsidRPr="00000000">
        <w:rPr>
          <w:rFonts w:ascii="Calibri" w:cs="Calibri" w:eastAsia="Calibri" w:hAnsi="Calibri"/>
          <w:b w:val="1"/>
          <w:color w:val="212121"/>
          <w:highlight w:val="white"/>
          <w:rtl w:val="0"/>
        </w:rPr>
        <w:t xml:space="preserve">3. Mortalidad perioperatoria:</w:t>
      </w:r>
      <w:r w:rsidDel="00000000" w:rsidR="00000000" w:rsidRPr="00000000">
        <w:rPr>
          <w:rFonts w:ascii="Calibri" w:cs="Calibri" w:eastAsia="Calibri" w:hAnsi="Calibri"/>
          <w:color w:val="212121"/>
          <w:highlight w:val="white"/>
          <w:rtl w:val="0"/>
        </w:rPr>
        <w:t xml:space="preserve"> se comparará la tasa de mortalidad a 30 días entre los pacientes que recibieron el programa de prehabilitación y el grupo control.</w:t>
      </w:r>
    </w:p>
    <w:p w:rsidR="00000000" w:rsidDel="00000000" w:rsidP="00000000" w:rsidRDefault="00000000" w:rsidRPr="00000000" w14:paraId="00000044">
      <w:pPr>
        <w:spacing w:after="0" w:line="360" w:lineRule="auto"/>
        <w:jc w:val="both"/>
        <w:rPr>
          <w:rFonts w:ascii="Calibri" w:cs="Calibri" w:eastAsia="Calibri" w:hAnsi="Calibri"/>
          <w:color w:val="212121"/>
          <w:highlight w:val="white"/>
        </w:rPr>
      </w:pPr>
      <w:r w:rsidDel="00000000" w:rsidR="00000000" w:rsidRPr="00000000">
        <w:rPr>
          <w:rFonts w:ascii="Calibri" w:cs="Calibri" w:eastAsia="Calibri" w:hAnsi="Calibri"/>
          <w:b w:val="1"/>
          <w:color w:val="212121"/>
          <w:highlight w:val="white"/>
          <w:rtl w:val="0"/>
        </w:rPr>
        <w:t xml:space="preserve">4. Tasa de reingresos:</w:t>
      </w:r>
      <w:r w:rsidDel="00000000" w:rsidR="00000000" w:rsidRPr="00000000">
        <w:rPr>
          <w:rFonts w:ascii="Calibri" w:cs="Calibri" w:eastAsia="Calibri" w:hAnsi="Calibri"/>
          <w:color w:val="212121"/>
          <w:highlight w:val="white"/>
          <w:rtl w:val="0"/>
        </w:rPr>
        <w:t xml:space="preserve"> se evaluará la frecuencia de reingresos hospitalarios dentro de los primeros 90 días posteriores a la cirugía.</w:t>
      </w:r>
    </w:p>
    <w:p w:rsidR="00000000" w:rsidDel="00000000" w:rsidP="00000000" w:rsidRDefault="00000000" w:rsidRPr="00000000" w14:paraId="00000045">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4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 analizarán otros factores asociados a la implementación del programa, incluyendo:</w:t>
      </w:r>
    </w:p>
    <w:p w:rsidR="00000000" w:rsidDel="00000000" w:rsidP="00000000" w:rsidRDefault="00000000" w:rsidRPr="00000000" w14:paraId="00000047">
      <w:pPr>
        <w:spacing w:after="0" w:line="360" w:lineRule="auto"/>
        <w:jc w:val="both"/>
        <w:rPr>
          <w:rFonts w:ascii="Calibri" w:cs="Calibri" w:eastAsia="Calibri" w:hAnsi="Calibri"/>
        </w:rPr>
      </w:pPr>
      <w:r w:rsidDel="00000000" w:rsidR="00000000" w:rsidRPr="00000000">
        <w:rPr>
          <w:rFonts w:ascii="Calibri" w:cs="Calibri" w:eastAsia="Calibri" w:hAnsi="Calibri"/>
          <w:b w:val="1"/>
          <w:rtl w:val="0"/>
        </w:rPr>
        <w:t xml:space="preserve">1.  Reacciones adversas</w:t>
      </w:r>
      <w:r w:rsidDel="00000000" w:rsidR="00000000" w:rsidRPr="00000000">
        <w:rPr>
          <w:rFonts w:ascii="Calibri" w:cs="Calibri" w:eastAsia="Calibri" w:hAnsi="Calibri"/>
          <w:rtl w:val="0"/>
        </w:rPr>
        <w:t xml:space="preserve">: eventos inesperados relacionados con el programa de prehabilitación, tales como caídas durante el ejercicio, lesiones musculares, alergias o intolerancia a suplementos nutricionales.</w:t>
      </w:r>
    </w:p>
    <w:p w:rsidR="00000000" w:rsidDel="00000000" w:rsidP="00000000" w:rsidRDefault="00000000" w:rsidRPr="00000000" w14:paraId="00000048">
      <w:pPr>
        <w:spacing w:after="0" w:line="360" w:lineRule="auto"/>
        <w:jc w:val="both"/>
        <w:rPr>
          <w:rFonts w:ascii="Calibri" w:cs="Calibri" w:eastAsia="Calibri" w:hAnsi="Calibri"/>
        </w:rPr>
      </w:pPr>
      <w:r w:rsidDel="00000000" w:rsidR="00000000" w:rsidRPr="00000000">
        <w:rPr>
          <w:rFonts w:ascii="Calibri" w:cs="Calibri" w:eastAsia="Calibri" w:hAnsi="Calibri"/>
          <w:b w:val="1"/>
          <w:rtl w:val="0"/>
        </w:rPr>
        <w:t xml:space="preserve">2.  Tasa de abandono</w:t>
      </w:r>
      <w:r w:rsidDel="00000000" w:rsidR="00000000" w:rsidRPr="00000000">
        <w:rPr>
          <w:rFonts w:ascii="Calibri" w:cs="Calibri" w:eastAsia="Calibri" w:hAnsi="Calibri"/>
          <w:rtl w:val="0"/>
        </w:rPr>
        <w:t xml:space="preserve">: porcentaje de pacientes que no completan el programa.</w:t>
      </w:r>
    </w:p>
    <w:p w:rsidR="00000000" w:rsidDel="00000000" w:rsidP="00000000" w:rsidRDefault="00000000" w:rsidRPr="00000000" w14:paraId="00000049">
      <w:pPr>
        <w:spacing w:after="0" w:line="360" w:lineRule="auto"/>
        <w:jc w:val="both"/>
        <w:rPr>
          <w:rFonts w:ascii="Calibri" w:cs="Calibri" w:eastAsia="Calibri" w:hAnsi="Calibri"/>
        </w:rPr>
      </w:pPr>
      <w:r w:rsidDel="00000000" w:rsidR="00000000" w:rsidRPr="00000000">
        <w:rPr>
          <w:rFonts w:ascii="Calibri" w:cs="Calibri" w:eastAsia="Calibri" w:hAnsi="Calibri"/>
          <w:b w:val="1"/>
          <w:rtl w:val="0"/>
        </w:rPr>
        <w:t xml:space="preserve">3. Adherencia al protocolo</w:t>
      </w:r>
      <w:r w:rsidDel="00000000" w:rsidR="00000000" w:rsidRPr="00000000">
        <w:rPr>
          <w:rFonts w:ascii="Calibri" w:cs="Calibri" w:eastAsia="Calibri" w:hAnsi="Calibri"/>
          <w:rtl w:val="0"/>
        </w:rPr>
        <w:t xml:space="preserve">: grado de cumplimiento de los participantes con las actividades indicadas.</w:t>
      </w:r>
    </w:p>
    <w:p w:rsidR="00000000" w:rsidDel="00000000" w:rsidP="00000000" w:rsidRDefault="00000000" w:rsidRPr="00000000" w14:paraId="0000004A">
      <w:pPr>
        <w:spacing w:after="0" w:line="360" w:lineRule="auto"/>
        <w:jc w:val="both"/>
        <w:rPr>
          <w:rFonts w:ascii="Calibri" w:cs="Calibri" w:eastAsia="Calibri" w:hAnsi="Calibri"/>
        </w:rPr>
      </w:pPr>
      <w:r w:rsidDel="00000000" w:rsidR="00000000" w:rsidRPr="00000000">
        <w:rPr>
          <w:rFonts w:ascii="Calibri" w:cs="Calibri" w:eastAsia="Calibri" w:hAnsi="Calibri"/>
          <w:b w:val="1"/>
          <w:rtl w:val="0"/>
        </w:rPr>
        <w:t xml:space="preserve">4. Viabilidad del programa</w:t>
      </w:r>
      <w:r w:rsidDel="00000000" w:rsidR="00000000" w:rsidRPr="00000000">
        <w:rPr>
          <w:rFonts w:ascii="Calibri" w:cs="Calibri" w:eastAsia="Calibri" w:hAnsi="Calibri"/>
          <w:rtl w:val="0"/>
        </w:rPr>
        <w:t xml:space="preserve">: evaluación de la factibilidad y sostenibilidad del programa de prehabilitación.</w:t>
      </w:r>
    </w:p>
    <w:p w:rsidR="00000000" w:rsidDel="00000000" w:rsidP="00000000" w:rsidRDefault="00000000" w:rsidRPr="00000000" w14:paraId="0000004B">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4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El presente estudio está cubierto por el sistema de monitoria a la investigación institucional en sus fases de pre-estudio, ejecución y cierre y cumplirá con las normativas éticas internacionales (Declaración de Helsinki y pautas del CIOMS) y nacionales (Resoluciones 008430 de 1993 y 2378 de 2008 del Ministerio de Salud de Colombia). La responsabilidad recaerá en el investigador principal, garantizando que los procedimientos sean realizados por profesionales calificados y sin conflictos de interés. Se respetará la confidencialidad de los participantes mediante la codificación de datos y el acceso restringido a los investigadores. </w:t>
      </w:r>
    </w:p>
    <w:p w:rsidR="00000000" w:rsidDel="00000000" w:rsidP="00000000" w:rsidRDefault="00000000" w:rsidRPr="00000000" w14:paraId="0000004D">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4E">
      <w:pPr>
        <w:spacing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4F">
      <w:pPr>
        <w:spacing w:line="36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RESULTADOS</w:t>
      </w:r>
    </w:p>
    <w:p w:rsidR="00000000" w:rsidDel="00000000" w:rsidP="00000000" w:rsidRDefault="00000000" w:rsidRPr="00000000" w14:paraId="00000050">
      <w:pPr>
        <w:spacing w:line="36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51">
      <w:pPr>
        <w:spacing w:line="36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Entre Noviembre de 2017 y Septiembre de 2022 se identificaron 105 pacientes llevados a CCR + HIPEC en el Instituto Nacional de cancerología, se revisaron las historias clínicas de 58 pacientes seleccionados por muestreo consecutivo de estos 14 fueron excluidos por no cumplir con los criterios de inclusión, finalmente se analizaron 44 pacientes que corresponden al  del  grupo control del estudio.</w:t>
      </w:r>
    </w:p>
    <w:p w:rsidR="00000000" w:rsidDel="00000000" w:rsidP="00000000" w:rsidRDefault="00000000" w:rsidRPr="00000000" w14:paraId="00000052">
      <w:pPr>
        <w:spacing w:line="36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Características clínicas y demográficas: La cohorte estuvo compuesta en su mayoría por 35 mujeres </w:t>
      </w:r>
      <w:r w:rsidDel="00000000" w:rsidR="00000000" w:rsidRPr="00000000">
        <w:rPr>
          <w:rFonts w:ascii="Calibri" w:cs="Calibri" w:eastAsia="Calibri" w:hAnsi="Calibri"/>
          <w:rtl w:val="0"/>
        </w:rPr>
        <w:t xml:space="preserve">(79,5%) y 9 hombres (20,5%), con una mediana de edad de 55 años (rango: 30-77 años). Los diagnósticos tumorales primarios fueron:</w:t>
      </w:r>
      <w:r w:rsidDel="00000000" w:rsidR="00000000" w:rsidRPr="00000000">
        <w:rPr>
          <w:rFonts w:ascii="Calibri" w:cs="Calibri" w:eastAsia="Calibri" w:hAnsi="Calibri"/>
          <w:color w:val="000000"/>
          <w:rtl w:val="0"/>
        </w:rPr>
        <w:t xml:space="preserve"> </w:t>
      </w:r>
      <w:r w:rsidDel="00000000" w:rsidR="00000000" w:rsidRPr="00000000">
        <w:rPr>
          <w:rtl w:val="0"/>
        </w:rPr>
        <w:t xml:space="preserve">colón</w:t>
      </w:r>
      <w:r w:rsidDel="00000000" w:rsidR="00000000" w:rsidRPr="00000000">
        <w:rPr>
          <w:rFonts w:ascii="Calibri" w:cs="Calibri" w:eastAsia="Calibri" w:hAnsi="Calibri"/>
          <w:color w:val="000000"/>
          <w:rtl w:val="0"/>
        </w:rPr>
        <w:t xml:space="preserve"> (n=18, 40,9%), apéndice (n=11, 25%), ovario (n=10, 22,7%) y estómago (n=5 , 11,4%) , en cuanto al estado funcional el 43,5% (n=19) de los pacientes tenían ECOG 0 y el 56.8% (n=25) ECOG 1. </w:t>
      </w:r>
      <w:r w:rsidDel="00000000" w:rsidR="00000000" w:rsidRPr="00000000">
        <w:rPr>
          <w:rFonts w:ascii="Calibri" w:cs="Calibri" w:eastAsia="Calibri" w:hAnsi="Calibri"/>
          <w:rtl w:val="0"/>
        </w:rPr>
        <w:t xml:space="preserve">Ningún paciente presentó ECOG ≥2. </w:t>
      </w:r>
      <w:r w:rsidDel="00000000" w:rsidR="00000000" w:rsidRPr="00000000">
        <w:rPr>
          <w:rFonts w:ascii="Calibri" w:cs="Calibri" w:eastAsia="Calibri" w:hAnsi="Calibri"/>
          <w:color w:val="000000"/>
          <w:rtl w:val="0"/>
        </w:rPr>
        <w:t xml:space="preserve"> El IMC </w:t>
      </w:r>
      <w:r w:rsidDel="00000000" w:rsidR="00000000" w:rsidRPr="00000000">
        <w:rPr>
          <w:rtl w:val="0"/>
        </w:rPr>
        <w:t xml:space="preserve">medio</w:t>
      </w:r>
      <w:r w:rsidDel="00000000" w:rsidR="00000000" w:rsidRPr="00000000">
        <w:rPr>
          <w:rFonts w:ascii="Calibri" w:cs="Calibri" w:eastAsia="Calibri" w:hAnsi="Calibri"/>
          <w:color w:val="000000"/>
          <w:rtl w:val="0"/>
        </w:rPr>
        <w:t xml:space="preserve"> fue de 25.95. solo el 4.5% (n=2) recibió una valoración prequirúrgica por fisioterapia, el 52.3% (n=23) por nutrición y el 40.9% (n= 18) por psiquiatría. </w:t>
      </w:r>
      <w:r w:rsidDel="00000000" w:rsidR="00000000" w:rsidRPr="00000000">
        <w:rPr>
          <w:rFonts w:ascii="Calibri" w:cs="Calibri" w:eastAsia="Calibri" w:hAnsi="Calibri"/>
          <w:rtl w:val="0"/>
        </w:rPr>
        <w:t xml:space="preserve">Entre los pacientes valorados por nutrición, el 9.1% </w:t>
      </w:r>
      <w:r w:rsidDel="00000000" w:rsidR="00000000" w:rsidRPr="00000000">
        <w:rPr>
          <w:rtl w:val="0"/>
        </w:rPr>
        <w:t xml:space="preserve">recibió un módulo</w:t>
      </w:r>
      <w:r w:rsidDel="00000000" w:rsidR="00000000" w:rsidRPr="00000000">
        <w:rPr>
          <w:rFonts w:ascii="Calibri" w:cs="Calibri" w:eastAsia="Calibri" w:hAnsi="Calibri"/>
          <w:rtl w:val="0"/>
        </w:rPr>
        <w:t xml:space="preserve"> de proteínas y el 2.3% probióticos.</w:t>
      </w:r>
      <w:r w:rsidDel="00000000" w:rsidR="00000000" w:rsidRPr="00000000">
        <w:rPr>
          <w:rtl w:val="0"/>
        </w:rPr>
      </w:r>
    </w:p>
    <w:p w:rsidR="00000000" w:rsidDel="00000000" w:rsidP="00000000" w:rsidRDefault="00000000" w:rsidRPr="00000000" w14:paraId="00000053">
      <w:pPr>
        <w:spacing w:line="360" w:lineRule="auto"/>
        <w:jc w:val="both"/>
        <w:rPr>
          <w:rFonts w:ascii="Calibri" w:cs="Calibri" w:eastAsia="Calibri" w:hAnsi="Calibri"/>
        </w:rPr>
      </w:pPr>
      <w:r w:rsidDel="00000000" w:rsidR="00000000" w:rsidRPr="00000000">
        <w:rPr>
          <w:rFonts w:ascii="Calibri" w:cs="Calibri" w:eastAsia="Calibri" w:hAnsi="Calibri"/>
          <w:color w:val="000000"/>
          <w:rtl w:val="0"/>
        </w:rPr>
        <w:t xml:space="preserve">En cuanto a las variables quirúrgicas el índice de carcinomatosis peritoneal (ICP)mediano fue 12.5 (rango: 3 – 36).  El grado de citorreducción fue</w:t>
      </w:r>
      <w:r w:rsidDel="00000000" w:rsidR="00000000" w:rsidRPr="00000000">
        <w:rPr>
          <w:rFonts w:ascii="Calibri" w:cs="Calibri" w:eastAsia="Calibri" w:hAnsi="Calibri"/>
          <w:color w:val="000000"/>
          <w:highlight w:val="white"/>
          <w:rtl w:val="0"/>
        </w:rPr>
        <w:t xml:space="preserve"> CCR-0 en el 88.6% (n=39), CCR-1 en el 6.8% (n=3), y en el 4.5% (n=2) no se registró el dato. </w:t>
      </w:r>
      <w:r w:rsidDel="00000000" w:rsidR="00000000" w:rsidRPr="00000000">
        <w:rPr>
          <w:rFonts w:ascii="Calibri" w:cs="Calibri" w:eastAsia="Calibri" w:hAnsi="Calibri"/>
          <w:rtl w:val="0"/>
        </w:rPr>
        <w:t xml:space="preserve">La extensión de la peritonectomía fue: supramesocólica (6.8%), pélvica (20.5%), dos regiones (27.3%) y tres regiones (45.5%). </w:t>
      </w:r>
      <w:r w:rsidDel="00000000" w:rsidR="00000000" w:rsidRPr="00000000">
        <w:rPr>
          <w:rFonts w:ascii="Calibri" w:cs="Calibri" w:eastAsia="Calibri" w:hAnsi="Calibri"/>
          <w:color w:val="000000"/>
          <w:highlight w:val="white"/>
          <w:rtl w:val="0"/>
        </w:rPr>
        <w:t xml:space="preserve"> El 81.8% (n= 36) requirió de resección intestinal siendo en la mayoría  mixtas 47.7% (n=21) y en menor proporción resección única de colon/recto en el 25% (n=11). Se realizaron anastomosis intestinales en el </w:t>
      </w:r>
      <w:r w:rsidDel="00000000" w:rsidR="00000000" w:rsidRPr="00000000">
        <w:rPr>
          <w:rFonts w:ascii="Calibri" w:cs="Calibri" w:eastAsia="Calibri" w:hAnsi="Calibri"/>
          <w:color w:val="000000"/>
          <w:rtl w:val="0"/>
        </w:rPr>
        <w:t xml:space="preserve">72.7% (n= 32) y estomas en el 52.3% (n=23) </w:t>
      </w:r>
      <w:r w:rsidDel="00000000" w:rsidR="00000000" w:rsidRPr="00000000">
        <w:rPr>
          <w:rFonts w:ascii="Calibri" w:cs="Calibri" w:eastAsia="Calibri" w:hAnsi="Calibri"/>
          <w:rtl w:val="0"/>
        </w:rPr>
        <w:t xml:space="preserve">de los cuales fueron ileostomías (52.2%), colostomías (26.1%) e ileostomía + colostomía en el (21.7%).</w:t>
      </w:r>
    </w:p>
    <w:p w:rsidR="00000000" w:rsidDel="00000000" w:rsidP="00000000" w:rsidRDefault="00000000" w:rsidRPr="00000000" w14:paraId="00000054">
      <w:pPr>
        <w:spacing w:line="36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El tiempo quirúrgico </w:t>
      </w:r>
      <w:r w:rsidDel="00000000" w:rsidR="00000000" w:rsidRPr="00000000">
        <w:rPr>
          <w:rtl w:val="0"/>
        </w:rPr>
        <w:t xml:space="preserve">promedio es de 8,3</w:t>
      </w:r>
      <w:r w:rsidDel="00000000" w:rsidR="00000000" w:rsidRPr="00000000">
        <w:rPr>
          <w:rFonts w:ascii="Calibri" w:cs="Calibri" w:eastAsia="Calibri" w:hAnsi="Calibri"/>
          <w:color w:val="000000"/>
          <w:rtl w:val="0"/>
        </w:rPr>
        <w:t xml:space="preserve"> horas (rango: 3,9 y 11, 25 horas). Los esquemas quimioterapéuticos administrados durante el HIPEC fueron: </w:t>
      </w:r>
      <w:r w:rsidDel="00000000" w:rsidR="00000000" w:rsidRPr="00000000">
        <w:rPr>
          <w:rFonts w:ascii="Calibri" w:cs="Calibri" w:eastAsia="Calibri" w:hAnsi="Calibri"/>
          <w:color w:val="000000"/>
          <w:highlight w:val="white"/>
          <w:rtl w:val="0"/>
        </w:rPr>
        <w:t xml:space="preserve">Mitomicina + Doxorrubicina 36.4%, Cisplatino + Doxorrubicina 11.4%, Mitomicina sola 18.2% y otros esquemas en el 34.1%. El sangrado operatorio fue &lt; 500 ml 13.6% (n=6), 500-1000 ml 40.9% (n=18,), 1000-2000 ml 22.7% (n=10,), &gt; 2000 ml 22.7% (n=10,). El 81, 8% de los pacientes recibió transfusión: 25% con 1-2 unidades, 11.1% con 3-4 unidades y 63.9% con 5 o más unidades(figura 1).</w:t>
      </w:r>
      <w:r w:rsidDel="00000000" w:rsidR="00000000" w:rsidRPr="00000000">
        <w:rPr>
          <w:rtl w:val="0"/>
        </w:rPr>
      </w:r>
    </w:p>
    <w:p w:rsidR="00000000" w:rsidDel="00000000" w:rsidP="00000000" w:rsidRDefault="00000000" w:rsidRPr="00000000" w14:paraId="00000055">
      <w:pPr>
        <w:spacing w:line="360" w:lineRule="auto"/>
        <w:jc w:val="both"/>
        <w:rPr>
          <w:rFonts w:ascii="Calibri" w:cs="Calibri" w:eastAsia="Calibri" w:hAnsi="Calibri"/>
          <w:color w:val="000000"/>
        </w:rPr>
      </w:pPr>
      <w:r w:rsidDel="00000000" w:rsidR="00000000" w:rsidRPr="00000000">
        <w:rPr/>
        <w:drawing>
          <wp:inline distB="0" distT="0" distL="0" distR="0">
            <wp:extent cx="3867368" cy="2419416"/>
            <wp:docPr id="1561361689" name=""/>
            <a:graphic>
              <a:graphicData uri="http://schemas.openxmlformats.org/drawingml/2006/chart">
                <c:chart r:id="rId8"/>
              </a:graphicData>
            </a:graphic>
          </wp:inline>
        </w:drawing>
      </w:r>
      <w:r w:rsidDel="00000000" w:rsidR="00000000" w:rsidRPr="00000000">
        <w:rPr>
          <w:rtl w:val="0"/>
        </w:rPr>
      </w:r>
    </w:p>
    <w:p w:rsidR="00000000" w:rsidDel="00000000" w:rsidP="00000000" w:rsidRDefault="00000000" w:rsidRPr="00000000" w14:paraId="00000056">
      <w:pPr>
        <w:spacing w:line="360" w:lineRule="auto"/>
        <w:jc w:val="both"/>
        <w:rPr>
          <w:rFonts w:ascii="Calibri" w:cs="Calibri" w:eastAsia="Calibri" w:hAnsi="Calibri"/>
          <w:color w:val="000000"/>
          <w:sz w:val="18"/>
          <w:szCs w:val="18"/>
        </w:rPr>
      </w:pPr>
      <w:r w:rsidDel="00000000" w:rsidR="00000000" w:rsidRPr="00000000">
        <w:rPr>
          <w:rFonts w:ascii="Calibri" w:cs="Calibri" w:eastAsia="Calibri" w:hAnsi="Calibri"/>
          <w:b w:val="1"/>
          <w:color w:val="000000"/>
          <w:sz w:val="18"/>
          <w:szCs w:val="18"/>
          <w:rtl w:val="0"/>
        </w:rPr>
        <w:t xml:space="preserve">Figura 1.</w:t>
      </w:r>
      <w:r w:rsidDel="00000000" w:rsidR="00000000" w:rsidRPr="00000000">
        <w:rPr>
          <w:rFonts w:ascii="Calibri" w:cs="Calibri" w:eastAsia="Calibri" w:hAnsi="Calibri"/>
          <w:color w:val="000000"/>
          <w:sz w:val="18"/>
          <w:szCs w:val="18"/>
          <w:rtl w:val="0"/>
        </w:rPr>
        <w:t xml:space="preserve"> </w:t>
      </w:r>
      <w:r w:rsidDel="00000000" w:rsidR="00000000" w:rsidRPr="00000000">
        <w:rPr>
          <w:sz w:val="18"/>
          <w:szCs w:val="18"/>
          <w:rtl w:val="0"/>
        </w:rPr>
        <w:t xml:space="preserve">Número</w:t>
      </w:r>
      <w:r w:rsidDel="00000000" w:rsidR="00000000" w:rsidRPr="00000000">
        <w:rPr>
          <w:rFonts w:ascii="Calibri" w:cs="Calibri" w:eastAsia="Calibri" w:hAnsi="Calibri"/>
          <w:color w:val="000000"/>
          <w:sz w:val="18"/>
          <w:szCs w:val="18"/>
          <w:rtl w:val="0"/>
        </w:rPr>
        <w:t xml:space="preserve"> de unidades </w:t>
      </w:r>
      <w:r w:rsidDel="00000000" w:rsidR="00000000" w:rsidRPr="00000000">
        <w:rPr>
          <w:sz w:val="18"/>
          <w:szCs w:val="18"/>
          <w:rtl w:val="0"/>
        </w:rPr>
        <w:t xml:space="preserve">transfundidas</w:t>
      </w:r>
      <w:r w:rsidDel="00000000" w:rsidR="00000000" w:rsidRPr="00000000">
        <w:rPr>
          <w:rFonts w:ascii="Calibri" w:cs="Calibri" w:eastAsia="Calibri" w:hAnsi="Calibri"/>
          <w:color w:val="000000"/>
          <w:sz w:val="18"/>
          <w:szCs w:val="18"/>
          <w:rtl w:val="0"/>
        </w:rPr>
        <w:t xml:space="preserve"> </w:t>
      </w:r>
    </w:p>
    <w:p w:rsidR="00000000" w:rsidDel="00000000" w:rsidP="00000000" w:rsidRDefault="00000000" w:rsidRPr="00000000" w14:paraId="00000057">
      <w:pPr>
        <w:spacing w:line="360" w:lineRule="auto"/>
        <w:jc w:val="both"/>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058">
      <w:pPr>
        <w:spacing w:line="36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En cuanto a desenlaces primarios la tasa de morbilidad clínicamente significativa (Clavien-Dindo ≥ III) fue del 29.5% (n=13). La mortalidad perioperatoria a 30 días fue del 20.5% (n=9). Se reportaron reingresos a 90 días en el 20.5% (n=11) de los casos.  La estancia hospitalaria mediana fue de 25 días (rango:  8- 91) y los casos </w:t>
      </w:r>
      <w:r w:rsidDel="00000000" w:rsidR="00000000" w:rsidRPr="00000000">
        <w:rPr>
          <w:rtl w:val="0"/>
        </w:rPr>
        <w:t xml:space="preserve">más</w:t>
      </w:r>
      <w:r w:rsidDel="00000000" w:rsidR="00000000" w:rsidRPr="00000000">
        <w:rPr>
          <w:rFonts w:ascii="Calibri" w:cs="Calibri" w:eastAsia="Calibri" w:hAnsi="Calibri"/>
          <w:color w:val="000000"/>
          <w:rtl w:val="0"/>
        </w:rPr>
        <w:t xml:space="preserve"> graves </w:t>
      </w:r>
      <w:r w:rsidDel="00000000" w:rsidR="00000000" w:rsidRPr="00000000">
        <w:rPr>
          <w:rtl w:val="0"/>
        </w:rPr>
        <w:t xml:space="preserve">clavien</w:t>
      </w:r>
      <w:r w:rsidDel="00000000" w:rsidR="00000000" w:rsidRPr="00000000">
        <w:rPr>
          <w:rFonts w:ascii="Calibri" w:cs="Calibri" w:eastAsia="Calibri" w:hAnsi="Calibri"/>
          <w:color w:val="000000"/>
          <w:rtl w:val="0"/>
        </w:rPr>
        <w:t xml:space="preserve"> dindo (IVb) alcanzaron estancias promedias de 81 días. Se requirieron   reintervenciones quirúrgicas en el 31.8%(n=14), La estancia promedio en UCI fue de 8.5 días (rango 1 - 44 días), Se reportaron eventos adversos en el 6.8% (3 casos) relacionados con alergia a </w:t>
      </w:r>
      <w:r w:rsidDel="00000000" w:rsidR="00000000" w:rsidRPr="00000000">
        <w:rPr>
          <w:rtl w:val="0"/>
        </w:rPr>
        <w:t xml:space="preserve">transfusión</w:t>
      </w:r>
      <w:r w:rsidDel="00000000" w:rsidR="00000000" w:rsidRPr="00000000">
        <w:rPr>
          <w:rFonts w:ascii="Calibri" w:cs="Calibri" w:eastAsia="Calibri" w:hAnsi="Calibri"/>
          <w:color w:val="000000"/>
          <w:rtl w:val="0"/>
        </w:rPr>
        <w:t xml:space="preserve"> de sangre, </w:t>
      </w:r>
      <w:r w:rsidDel="00000000" w:rsidR="00000000" w:rsidRPr="00000000">
        <w:rPr>
          <w:rtl w:val="0"/>
        </w:rPr>
        <w:t xml:space="preserve">transfusión</w:t>
      </w:r>
      <w:r w:rsidDel="00000000" w:rsidR="00000000" w:rsidRPr="00000000">
        <w:rPr>
          <w:rFonts w:ascii="Calibri" w:cs="Calibri" w:eastAsia="Calibri" w:hAnsi="Calibri"/>
          <w:color w:val="000000"/>
          <w:rtl w:val="0"/>
        </w:rPr>
        <w:t xml:space="preserve"> de plasma y uso de antibiótico.</w:t>
      </w:r>
    </w:p>
    <w:p w:rsidR="00000000" w:rsidDel="00000000" w:rsidP="00000000" w:rsidRDefault="00000000" w:rsidRPr="00000000" w14:paraId="00000059">
      <w:pPr>
        <w:spacing w:line="360" w:lineRule="auto"/>
        <w:jc w:val="both"/>
        <w:rPr>
          <w:rFonts w:ascii="Calibri" w:cs="Calibri" w:eastAsia="Calibri" w:hAnsi="Calibri"/>
          <w:b w:val="1"/>
          <w:color w:val="000000"/>
        </w:rPr>
      </w:pPr>
      <w:r w:rsidDel="00000000" w:rsidR="00000000" w:rsidRPr="00000000">
        <w:rPr>
          <w:rFonts w:ascii="Calibri" w:cs="Calibri" w:eastAsia="Calibri" w:hAnsi="Calibri"/>
          <w:color w:val="000000"/>
          <w:rtl w:val="0"/>
        </w:rPr>
        <w:t xml:space="preserve">No se encontraron asociaciones estadísticamente significativas entre el índice de carcinomatosis, IMC, género, tipo de tumor, realización de estoma o anastomosis intestinal con la morbilidad; Si se encontró una asociación significativa entre la transfusión de hemocomponentes y la morbilidad (V de Cramer=0.60, p=0.005) </w:t>
      </w:r>
      <w:r w:rsidDel="00000000" w:rsidR="00000000" w:rsidRPr="00000000">
        <w:rPr>
          <w:rFonts w:ascii="Calibri" w:cs="Calibri" w:eastAsia="Calibri" w:hAnsi="Calibri"/>
          <w:rtl w:val="0"/>
        </w:rPr>
        <w:t xml:space="preserve">lo que sugiere que </w:t>
      </w:r>
      <w:r w:rsidDel="00000000" w:rsidR="00000000" w:rsidRPr="00000000">
        <w:rPr>
          <w:rFonts w:ascii="Calibri" w:cs="Calibri" w:eastAsia="Calibri" w:hAnsi="Calibri"/>
          <w:b w:val="0"/>
          <w:rtl w:val="0"/>
        </w:rPr>
        <w:t xml:space="preserve">el tipo y cantidad de sangre transfundida puede influir en la gravedad de las complicaciones postoperatorias (Figura 2)</w:t>
      </w:r>
      <w:r w:rsidDel="00000000" w:rsidR="00000000" w:rsidRPr="00000000">
        <w:rPr>
          <w:rFonts w:ascii="Calibri" w:cs="Calibri" w:eastAsia="Calibri" w:hAnsi="Calibri"/>
          <w:b w:val="1"/>
          <w:color w:val="000000"/>
          <w:rtl w:val="0"/>
        </w:rPr>
        <w:t xml:space="preserve">.</w:t>
      </w:r>
    </w:p>
    <w:p w:rsidR="00000000" w:rsidDel="00000000" w:rsidP="00000000" w:rsidRDefault="00000000" w:rsidRPr="00000000" w14:paraId="0000005A">
      <w:pPr>
        <w:spacing w:line="360" w:lineRule="auto"/>
        <w:jc w:val="both"/>
        <w:rPr>
          <w:rFonts w:ascii="Calibri" w:cs="Calibri" w:eastAsia="Calibri" w:hAnsi="Calibri"/>
          <w:b w:val="1"/>
          <w:color w:val="000000"/>
        </w:rPr>
      </w:pPr>
      <w:r w:rsidDel="00000000" w:rsidR="00000000" w:rsidRPr="00000000">
        <w:rPr>
          <w:rtl w:val="0"/>
        </w:rPr>
      </w:r>
    </w:p>
    <w:p w:rsidR="00000000" w:rsidDel="00000000" w:rsidP="00000000" w:rsidRDefault="00000000" w:rsidRPr="00000000" w14:paraId="0000005B">
      <w:pPr>
        <w:spacing w:line="360" w:lineRule="auto"/>
        <w:jc w:val="both"/>
        <w:rPr>
          <w:rFonts w:ascii="Calibri" w:cs="Calibri" w:eastAsia="Calibri" w:hAnsi="Calibri"/>
          <w:b w:val="1"/>
          <w:color w:val="000000"/>
        </w:rPr>
      </w:pPr>
      <w:r w:rsidDel="00000000" w:rsidR="00000000" w:rsidRPr="00000000">
        <w:rPr/>
        <w:drawing>
          <wp:inline distB="0" distT="0" distL="0" distR="0">
            <wp:extent cx="3897331" cy="2390858"/>
            <wp:effectExtent b="0" l="0" r="0" t="0"/>
            <wp:docPr descr="Gráfico, Gráfico de barras&#10;&#10;El contenido generado por IA puede ser incorrecto." id="1561361693" name="image5.png"/>
            <a:graphic>
              <a:graphicData uri="http://schemas.openxmlformats.org/drawingml/2006/picture">
                <pic:pic>
                  <pic:nvPicPr>
                    <pic:cNvPr descr="Gráfico, Gráfico de barras&#10;&#10;El contenido generado por IA puede ser incorrecto." id="0" name="image5.png"/>
                    <pic:cNvPicPr preferRelativeResize="0"/>
                  </pic:nvPicPr>
                  <pic:blipFill>
                    <a:blip r:embed="rId9"/>
                    <a:srcRect b="0" l="0" r="0" t="0"/>
                    <a:stretch>
                      <a:fillRect/>
                    </a:stretch>
                  </pic:blipFill>
                  <pic:spPr>
                    <a:xfrm>
                      <a:off x="0" y="0"/>
                      <a:ext cx="3897331" cy="2390858"/>
                    </a:xfrm>
                    <a:prstGeom prst="rect"/>
                    <a:ln/>
                  </pic:spPr>
                </pic:pic>
              </a:graphicData>
            </a:graphic>
          </wp:inline>
        </w:drawing>
      </w:r>
      <w:r w:rsidDel="00000000" w:rsidR="00000000" w:rsidRPr="00000000">
        <w:rPr>
          <w:rtl w:val="0"/>
        </w:rPr>
      </w:r>
    </w:p>
    <w:p w:rsidR="00000000" w:rsidDel="00000000" w:rsidP="00000000" w:rsidRDefault="00000000" w:rsidRPr="00000000" w14:paraId="0000005C">
      <w:pPr>
        <w:spacing w:line="360" w:lineRule="auto"/>
        <w:jc w:val="both"/>
        <w:rPr>
          <w:rFonts w:ascii="Calibri" w:cs="Calibri" w:eastAsia="Calibri" w:hAnsi="Calibri"/>
          <w:color w:val="000000"/>
          <w:sz w:val="18"/>
          <w:szCs w:val="18"/>
        </w:rPr>
      </w:pPr>
      <w:r w:rsidDel="00000000" w:rsidR="00000000" w:rsidRPr="00000000">
        <w:rPr>
          <w:rFonts w:ascii="Calibri" w:cs="Calibri" w:eastAsia="Calibri" w:hAnsi="Calibri"/>
          <w:b w:val="1"/>
          <w:color w:val="000000"/>
          <w:sz w:val="18"/>
          <w:szCs w:val="18"/>
          <w:rtl w:val="0"/>
        </w:rPr>
        <w:t xml:space="preserve">Figugra2: </w:t>
      </w:r>
      <w:r w:rsidDel="00000000" w:rsidR="00000000" w:rsidRPr="00000000">
        <w:rPr>
          <w:rFonts w:ascii="Calibri" w:cs="Calibri" w:eastAsia="Calibri" w:hAnsi="Calibri"/>
          <w:color w:val="000000"/>
          <w:sz w:val="18"/>
          <w:szCs w:val="18"/>
          <w:rtl w:val="0"/>
        </w:rPr>
        <w:t xml:space="preserve">V de Cramer entre la transfusión de hemocomponentes y la morbilidad</w:t>
      </w:r>
    </w:p>
    <w:p w:rsidR="00000000" w:rsidDel="00000000" w:rsidP="00000000" w:rsidRDefault="00000000" w:rsidRPr="00000000" w14:paraId="0000005D">
      <w:pPr>
        <w:spacing w:line="360" w:lineRule="auto"/>
        <w:jc w:val="both"/>
        <w:rPr>
          <w:rFonts w:ascii="Calibri" w:cs="Calibri" w:eastAsia="Calibri" w:hAnsi="Calibri"/>
          <w:b w:val="1"/>
          <w:color w:val="000000"/>
          <w:sz w:val="18"/>
          <w:szCs w:val="18"/>
        </w:rPr>
      </w:pPr>
      <w:r w:rsidDel="00000000" w:rsidR="00000000" w:rsidRPr="00000000">
        <w:rPr>
          <w:rtl w:val="0"/>
        </w:rPr>
      </w:r>
    </w:p>
    <w:p w:rsidR="00000000" w:rsidDel="00000000" w:rsidP="00000000" w:rsidRDefault="00000000" w:rsidRPr="00000000" w14:paraId="0000005E">
      <w:pPr>
        <w:spacing w:line="36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Respecto a la mortalidad a 30 días, se observó que la edad fue la única variable con diferencia significativa: los pacientes que fallecieron tenían una media de 63.57 años versus 50.77 años en los sobrevivientes(Figura 3).</w:t>
      </w:r>
    </w:p>
    <w:p w:rsidR="00000000" w:rsidDel="00000000" w:rsidP="00000000" w:rsidRDefault="00000000" w:rsidRPr="00000000" w14:paraId="0000005F">
      <w:pPr>
        <w:spacing w:line="360" w:lineRule="auto"/>
        <w:jc w:val="both"/>
        <w:rPr>
          <w:rFonts w:ascii="Calibri" w:cs="Calibri" w:eastAsia="Calibri" w:hAnsi="Calibri"/>
          <w:color w:val="000000"/>
        </w:rPr>
      </w:pPr>
      <w:r w:rsidDel="00000000" w:rsidR="00000000" w:rsidRPr="00000000">
        <w:rPr/>
        <w:drawing>
          <wp:inline distB="0" distT="0" distL="0" distR="0">
            <wp:extent cx="5612130" cy="3433445"/>
            <wp:effectExtent b="0" l="0" r="0" t="0"/>
            <wp:docPr descr="Gráfico, Gráfico de cajas y bigotes&#10;&#10;El contenido generado por IA puede ser incorrecto." id="1561361694" name="image1.png"/>
            <a:graphic>
              <a:graphicData uri="http://schemas.openxmlformats.org/drawingml/2006/picture">
                <pic:pic>
                  <pic:nvPicPr>
                    <pic:cNvPr descr="Gráfico, Gráfico de cajas y bigotes&#10;&#10;El contenido generado por IA puede ser incorrecto." id="0" name="image1.png"/>
                    <pic:cNvPicPr preferRelativeResize="0"/>
                  </pic:nvPicPr>
                  <pic:blipFill>
                    <a:blip r:embed="rId10"/>
                    <a:srcRect b="0" l="0" r="0" t="0"/>
                    <a:stretch>
                      <a:fillRect/>
                    </a:stretch>
                  </pic:blipFill>
                  <pic:spPr>
                    <a:xfrm>
                      <a:off x="0" y="0"/>
                      <a:ext cx="5612130" cy="3433445"/>
                    </a:xfrm>
                    <a:prstGeom prst="rect"/>
                    <a:ln/>
                  </pic:spPr>
                </pic:pic>
              </a:graphicData>
            </a:graphic>
          </wp:inline>
        </w:drawing>
      </w:r>
      <w:r w:rsidDel="00000000" w:rsidR="00000000" w:rsidRPr="00000000">
        <w:rPr>
          <w:rtl w:val="0"/>
        </w:rPr>
      </w:r>
    </w:p>
    <w:p w:rsidR="00000000" w:rsidDel="00000000" w:rsidP="00000000" w:rsidRDefault="00000000" w:rsidRPr="00000000" w14:paraId="00000060">
      <w:pPr>
        <w:spacing w:line="360" w:lineRule="auto"/>
        <w:jc w:val="both"/>
        <w:rPr>
          <w:rFonts w:ascii="Calibri" w:cs="Calibri" w:eastAsia="Calibri" w:hAnsi="Calibri"/>
          <w:b w:val="1"/>
          <w:color w:val="000000"/>
          <w:sz w:val="18"/>
          <w:szCs w:val="18"/>
        </w:rPr>
      </w:pPr>
      <w:r w:rsidDel="00000000" w:rsidR="00000000" w:rsidRPr="00000000">
        <w:rPr>
          <w:rFonts w:ascii="Calibri" w:cs="Calibri" w:eastAsia="Calibri" w:hAnsi="Calibri"/>
          <w:b w:val="1"/>
          <w:color w:val="000000"/>
          <w:sz w:val="18"/>
          <w:szCs w:val="18"/>
          <w:rtl w:val="0"/>
        </w:rPr>
        <w:t xml:space="preserve">Figura 3: </w:t>
      </w:r>
      <w:r w:rsidDel="00000000" w:rsidR="00000000" w:rsidRPr="00000000">
        <w:rPr>
          <w:rFonts w:ascii="Calibri" w:cs="Calibri" w:eastAsia="Calibri" w:hAnsi="Calibri"/>
          <w:color w:val="000000"/>
          <w:sz w:val="18"/>
          <w:szCs w:val="18"/>
          <w:rtl w:val="0"/>
        </w:rPr>
        <w:t xml:space="preserve">Relación de la edad con la mortalidad a 30 días.</w:t>
      </w:r>
      <w:r w:rsidDel="00000000" w:rsidR="00000000" w:rsidRPr="00000000">
        <w:rPr>
          <w:rtl w:val="0"/>
        </w:rPr>
      </w:r>
    </w:p>
    <w:p w:rsidR="00000000" w:rsidDel="00000000" w:rsidP="00000000" w:rsidRDefault="00000000" w:rsidRPr="00000000" w14:paraId="00000061">
      <w:pPr>
        <w:spacing w:line="360" w:lineRule="auto"/>
        <w:jc w:val="both"/>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062">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La recolección de datos del brazo de prehabilitación </w:t>
      </w:r>
      <w:r w:rsidDel="00000000" w:rsidR="00000000" w:rsidRPr="00000000">
        <w:rPr>
          <w:rtl w:val="0"/>
        </w:rPr>
        <w:t xml:space="preserve">inició</w:t>
      </w:r>
      <w:r w:rsidDel="00000000" w:rsidR="00000000" w:rsidRPr="00000000">
        <w:rPr>
          <w:rFonts w:ascii="Calibri" w:cs="Calibri" w:eastAsia="Calibri" w:hAnsi="Calibri"/>
          <w:rtl w:val="0"/>
        </w:rPr>
        <w:t xml:space="preserve"> en Abril de 2024 y hasta Mayo de 2025 se han identificado 28 pacientes que cumplían criterios de inclusión; de estos 2 pacientes no aceptaron ingresar al protocolo, 1 paciente </w:t>
      </w:r>
      <w:r w:rsidDel="00000000" w:rsidR="00000000" w:rsidRPr="00000000">
        <w:rPr>
          <w:rtl w:val="0"/>
        </w:rPr>
        <w:t xml:space="preserve">abandonó</w:t>
      </w:r>
      <w:r w:rsidDel="00000000" w:rsidR="00000000" w:rsidRPr="00000000">
        <w:rPr>
          <w:rFonts w:ascii="Calibri" w:cs="Calibri" w:eastAsia="Calibri" w:hAnsi="Calibri"/>
          <w:rtl w:val="0"/>
        </w:rPr>
        <w:t xml:space="preserve"> luego de iniciarlo, 5 fueron excluidos por desviaciones de tiempo mayores, Además 3 pacientes que cumplieron el protocolo no fueron incluidos por no haberse logrado completar una citorreducción completa por lo que no se </w:t>
      </w:r>
      <w:r w:rsidDel="00000000" w:rsidR="00000000" w:rsidRPr="00000000">
        <w:rPr>
          <w:rtl w:val="0"/>
        </w:rPr>
        <w:t xml:space="preserve">administró</w:t>
      </w:r>
      <w:r w:rsidDel="00000000" w:rsidR="00000000" w:rsidRPr="00000000">
        <w:rPr>
          <w:rFonts w:ascii="Calibri" w:cs="Calibri" w:eastAsia="Calibri" w:hAnsi="Calibri"/>
          <w:rtl w:val="0"/>
        </w:rPr>
        <w:t xml:space="preserve"> HIPEC, 3 pacientes están actualmente en el proceso de prehabilitación, 4 más están en recolección de datos , y finalmente en  10 paciente ya han completado el proceso y sus datos fueron analizados.</w:t>
      </w:r>
    </w:p>
    <w:p w:rsidR="00000000" w:rsidDel="00000000" w:rsidP="00000000" w:rsidRDefault="00000000" w:rsidRPr="00000000" w14:paraId="00000063">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En este informe preliminar la cohorte de prehabilitación está compuesta mayoritariamente por mujeres (n=8). La edad promedio fue de 53 años. El tumor primario fue de origen apendicular en 6 casos,  gástrico en 3 y colorrectal en 1 caso; 8 casos con buen estado funcional con ECOG 0,  2 pacientes no tuvieron valoración por psiquiatría, todos tuvieron valoración por fisiatría y nutrición y se les dio suplementos de proteínas y probióticos</w:t>
      </w:r>
    </w:p>
    <w:p w:rsidR="00000000" w:rsidDel="00000000" w:rsidP="00000000" w:rsidRDefault="00000000" w:rsidRPr="00000000" w14:paraId="00000064">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El índice de carcinomatosis promedio de 20.1 (rango entre 2 y 33);  en 9 pacientes se logró una  citorreducción CC-0, en 6 pacientes se realizó anastomosis  intestinal y 1 paciente se le </w:t>
      </w:r>
      <w:r w:rsidDel="00000000" w:rsidR="00000000" w:rsidRPr="00000000">
        <w:rPr>
          <w:rtl w:val="0"/>
        </w:rPr>
        <w:t xml:space="preserve">realizó</w:t>
      </w:r>
      <w:r w:rsidDel="00000000" w:rsidR="00000000" w:rsidRPr="00000000">
        <w:rPr>
          <w:rFonts w:ascii="Calibri" w:cs="Calibri" w:eastAsia="Calibri" w:hAnsi="Calibri"/>
          <w:rtl w:val="0"/>
        </w:rPr>
        <w:t xml:space="preserve"> </w:t>
      </w:r>
      <w:r w:rsidDel="00000000" w:rsidR="00000000" w:rsidRPr="00000000">
        <w:rPr>
          <w:rtl w:val="0"/>
        </w:rPr>
        <w:t xml:space="preserve">ileostomía+</w:t>
      </w:r>
      <w:r w:rsidDel="00000000" w:rsidR="00000000" w:rsidRPr="00000000">
        <w:rPr>
          <w:rFonts w:ascii="Calibri" w:cs="Calibri" w:eastAsia="Calibri" w:hAnsi="Calibri"/>
          <w:rtl w:val="0"/>
        </w:rPr>
        <w:t xml:space="preserve"> colostomía. El tiempo operatorio </w:t>
      </w:r>
      <w:r w:rsidDel="00000000" w:rsidR="00000000" w:rsidRPr="00000000">
        <w:rPr>
          <w:rtl w:val="0"/>
        </w:rPr>
        <w:t xml:space="preserve">promedio es de 8.6</w:t>
      </w:r>
      <w:r w:rsidDel="00000000" w:rsidR="00000000" w:rsidRPr="00000000">
        <w:rPr>
          <w:rFonts w:ascii="Calibri" w:cs="Calibri" w:eastAsia="Calibri" w:hAnsi="Calibri"/>
          <w:rtl w:val="0"/>
        </w:rPr>
        <w:t xml:space="preserve"> horas.</w:t>
      </w:r>
    </w:p>
    <w:p w:rsidR="00000000" w:rsidDel="00000000" w:rsidP="00000000" w:rsidRDefault="00000000" w:rsidRPr="00000000" w14:paraId="00000065">
      <w:pPr>
        <w:spacing w:line="360" w:lineRule="auto"/>
        <w:jc w:val="both"/>
        <w:rPr>
          <w:rFonts w:ascii="Calibri" w:cs="Calibri" w:eastAsia="Calibri" w:hAnsi="Calibri"/>
        </w:rPr>
      </w:pPr>
      <w:r w:rsidDel="00000000" w:rsidR="00000000" w:rsidRPr="00000000">
        <w:rPr/>
        <w:drawing>
          <wp:inline distB="0" distT="0" distL="0" distR="0">
            <wp:extent cx="5657850" cy="3676650"/>
            <wp:docPr id="1561361690" name=""/>
            <a:graphic>
              <a:graphicData uri="http://schemas.openxmlformats.org/drawingml/2006/chart">
                <c:chart r:id="rId11"/>
              </a:graphicData>
            </a:graphic>
          </wp:inline>
        </w:drawing>
      </w:r>
      <w:r w:rsidDel="00000000" w:rsidR="00000000" w:rsidRPr="00000000">
        <w:rPr>
          <w:rtl w:val="0"/>
        </w:rPr>
      </w:r>
    </w:p>
    <w:p w:rsidR="00000000" w:rsidDel="00000000" w:rsidP="00000000" w:rsidRDefault="00000000" w:rsidRPr="00000000" w14:paraId="00000066">
      <w:pPr>
        <w:spacing w:line="360" w:lineRule="auto"/>
        <w:jc w:val="both"/>
        <w:rPr>
          <w:rFonts w:ascii="Calibri" w:cs="Calibri" w:eastAsia="Calibri" w:hAnsi="Calibri"/>
          <w:sz w:val="18"/>
          <w:szCs w:val="18"/>
        </w:rPr>
      </w:pPr>
      <w:r w:rsidDel="00000000" w:rsidR="00000000" w:rsidRPr="00000000">
        <w:rPr>
          <w:rFonts w:ascii="Calibri" w:cs="Calibri" w:eastAsia="Calibri" w:hAnsi="Calibri"/>
          <w:b w:val="1"/>
          <w:sz w:val="18"/>
          <w:szCs w:val="18"/>
          <w:rtl w:val="0"/>
        </w:rPr>
        <w:t xml:space="preserve">Figura 4:</w:t>
      </w:r>
      <w:r w:rsidDel="00000000" w:rsidR="00000000" w:rsidRPr="00000000">
        <w:rPr>
          <w:rFonts w:ascii="Calibri" w:cs="Calibri" w:eastAsia="Calibri" w:hAnsi="Calibri"/>
          <w:sz w:val="18"/>
          <w:szCs w:val="18"/>
          <w:rtl w:val="0"/>
        </w:rPr>
        <w:t xml:space="preserve"> comparación de resultados primarios entre los 2 grupos </w:t>
      </w:r>
    </w:p>
    <w:p w:rsidR="00000000" w:rsidDel="00000000" w:rsidP="00000000" w:rsidRDefault="00000000" w:rsidRPr="00000000" w14:paraId="00000067">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68">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La tasa de morbilidad clínicamente significativa (Clavien-Dindo ≥ III) fue del 20% (n=2). La mortalidad perioperatoria a 30 días fue del 10% (n=1). La estancia hospitalaria promedio fue de 11.8 días (rango: 4-30 días), y la estancia en UCI promedió 5.6 días (rango: 1-30 días). Un paciente requirió reintervención quirúrgica. No se reportaron eventos adversos relacionados con la implementación del protocolo de prehabilitación.</w:t>
      </w:r>
    </w:p>
    <w:p w:rsidR="00000000" w:rsidDel="00000000" w:rsidP="00000000" w:rsidRDefault="00000000" w:rsidRPr="00000000" w14:paraId="00000069">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6A">
      <w:pPr>
        <w:jc w:val="both"/>
        <w:rPr>
          <w:rFonts w:ascii="Calibri" w:cs="Calibri" w:eastAsia="Calibri" w:hAnsi="Calibri"/>
        </w:rPr>
      </w:pPr>
      <w:r w:rsidDel="00000000" w:rsidR="00000000" w:rsidRPr="00000000">
        <w:rPr/>
        <w:drawing>
          <wp:inline distB="0" distT="0" distL="0" distR="0">
            <wp:extent cx="4305762" cy="4019737"/>
            <wp:docPr id="1561361691" name=""/>
            <a:graphic>
              <a:graphicData uri="http://schemas.openxmlformats.org/drawingml/2006/chart">
                <c:chart r:id="rId12"/>
              </a:graphicData>
            </a:graphic>
          </wp:inline>
        </w:drawing>
      </w:r>
      <w:r w:rsidDel="00000000" w:rsidR="00000000" w:rsidRPr="00000000">
        <w:rPr>
          <w:rtl w:val="0"/>
        </w:rPr>
      </w:r>
    </w:p>
    <w:p w:rsidR="00000000" w:rsidDel="00000000" w:rsidP="00000000" w:rsidRDefault="00000000" w:rsidRPr="00000000" w14:paraId="0000006B">
      <w:pPr>
        <w:spacing w:line="360" w:lineRule="auto"/>
        <w:jc w:val="both"/>
        <w:rPr>
          <w:rFonts w:ascii="Calibri" w:cs="Calibri" w:eastAsia="Calibri" w:hAnsi="Calibri"/>
          <w:sz w:val="18"/>
          <w:szCs w:val="18"/>
        </w:rPr>
      </w:pPr>
      <w:r w:rsidDel="00000000" w:rsidR="00000000" w:rsidRPr="00000000">
        <w:rPr>
          <w:rFonts w:ascii="Calibri" w:cs="Calibri" w:eastAsia="Calibri" w:hAnsi="Calibri"/>
          <w:b w:val="1"/>
          <w:sz w:val="18"/>
          <w:szCs w:val="18"/>
          <w:rtl w:val="0"/>
        </w:rPr>
        <w:t xml:space="preserve">Figura 5:</w:t>
      </w:r>
      <w:r w:rsidDel="00000000" w:rsidR="00000000" w:rsidRPr="00000000">
        <w:rPr>
          <w:rFonts w:ascii="Calibri" w:cs="Calibri" w:eastAsia="Calibri" w:hAnsi="Calibri"/>
          <w:sz w:val="18"/>
          <w:szCs w:val="18"/>
          <w:rtl w:val="0"/>
        </w:rPr>
        <w:t xml:space="preserve"> comparación de tiempos de hospitalización entre los 2 grupos </w:t>
      </w:r>
    </w:p>
    <w:p w:rsidR="00000000" w:rsidDel="00000000" w:rsidP="00000000" w:rsidRDefault="00000000" w:rsidRPr="00000000" w14:paraId="0000006C">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6D">
      <w:pPr>
        <w:jc w:val="both"/>
        <w:rPr>
          <w:rFonts w:ascii="Calibri" w:cs="Calibri" w:eastAsia="Calibri" w:hAnsi="Calibri"/>
        </w:rPr>
      </w:pPr>
      <w:r w:rsidDel="00000000" w:rsidR="00000000" w:rsidRPr="00000000">
        <w:rPr>
          <w:rFonts w:ascii="Calibri" w:cs="Calibri" w:eastAsia="Calibri" w:hAnsi="Calibri"/>
          <w:rtl w:val="0"/>
        </w:rPr>
        <w:t xml:space="preserve">Tabla 1. Comparativa Grupo Control vs Grupo de Prehabilitación</w:t>
      </w:r>
    </w:p>
    <w:p w:rsidR="00000000" w:rsidDel="00000000" w:rsidP="00000000" w:rsidRDefault="00000000" w:rsidRPr="00000000" w14:paraId="0000006E">
      <w:pPr>
        <w:jc w:val="both"/>
        <w:rPr/>
      </w:pPr>
      <w:r w:rsidDel="00000000" w:rsidR="00000000" w:rsidRPr="00000000">
        <w:rPr/>
        <w:drawing>
          <wp:inline distB="19050" distT="19050" distL="19050" distR="19050">
            <wp:extent cx="5610225" cy="2082812"/>
            <wp:effectExtent b="0" l="0" r="0" t="0"/>
            <wp:docPr id="1561361697" name="image7.png"/>
            <a:graphic>
              <a:graphicData uri="http://schemas.openxmlformats.org/drawingml/2006/picture">
                <pic:pic>
                  <pic:nvPicPr>
                    <pic:cNvPr id="0" name="image7.png"/>
                    <pic:cNvPicPr preferRelativeResize="0"/>
                  </pic:nvPicPr>
                  <pic:blipFill>
                    <a:blip r:embed="rId13"/>
                    <a:srcRect b="0" l="0" r="0" t="0"/>
                    <a:stretch>
                      <a:fillRect/>
                    </a:stretch>
                  </pic:blipFill>
                  <pic:spPr>
                    <a:xfrm>
                      <a:off x="0" y="0"/>
                      <a:ext cx="5610225" cy="2082812"/>
                    </a:xfrm>
                    <a:prstGeom prst="rect"/>
                    <a:ln/>
                  </pic:spPr>
                </pic:pic>
              </a:graphicData>
            </a:graphic>
          </wp:inline>
        </w:drawing>
      </w:r>
      <w:r w:rsidDel="00000000" w:rsidR="00000000" w:rsidRPr="00000000">
        <w:rPr>
          <w:rtl w:val="0"/>
        </w:rPr>
      </w:r>
    </w:p>
    <w:p w:rsidR="00000000" w:rsidDel="00000000" w:rsidP="00000000" w:rsidRDefault="00000000" w:rsidRPr="00000000" w14:paraId="0000006F">
      <w:pPr>
        <w:jc w:val="both"/>
        <w:rPr/>
      </w:pPr>
      <w:r w:rsidDel="00000000" w:rsidR="00000000" w:rsidRPr="00000000">
        <w:rPr>
          <w:rtl w:val="0"/>
        </w:rPr>
      </w:r>
    </w:p>
    <w:p w:rsidR="00000000" w:rsidDel="00000000" w:rsidP="00000000" w:rsidRDefault="00000000" w:rsidRPr="00000000" w14:paraId="00000070">
      <w:pPr>
        <w:jc w:val="both"/>
        <w:rPr/>
      </w:pPr>
      <w:r w:rsidDel="00000000" w:rsidR="00000000" w:rsidRPr="00000000">
        <w:rPr>
          <w:rtl w:val="0"/>
        </w:rPr>
      </w:r>
    </w:p>
    <w:p w:rsidR="00000000" w:rsidDel="00000000" w:rsidP="00000000" w:rsidRDefault="00000000" w:rsidRPr="00000000" w14:paraId="00000071">
      <w:pPr>
        <w:jc w:val="both"/>
        <w:rPr/>
      </w:pPr>
      <w:r w:rsidDel="00000000" w:rsidR="00000000" w:rsidRPr="00000000">
        <w:rPr>
          <w:rtl w:val="0"/>
        </w:rPr>
      </w:r>
    </w:p>
    <w:p w:rsidR="00000000" w:rsidDel="00000000" w:rsidP="00000000" w:rsidRDefault="00000000" w:rsidRPr="00000000" w14:paraId="00000072">
      <w:pPr>
        <w:jc w:val="both"/>
        <w:rPr/>
      </w:pPr>
      <w:r w:rsidDel="00000000" w:rsidR="00000000" w:rsidRPr="00000000">
        <w:rPr>
          <w:rtl w:val="0"/>
        </w:rPr>
      </w:r>
    </w:p>
    <w:p w:rsidR="00000000" w:rsidDel="00000000" w:rsidP="00000000" w:rsidRDefault="00000000" w:rsidRPr="00000000" w14:paraId="00000073">
      <w:pPr>
        <w:spacing w:line="360" w:lineRule="auto"/>
        <w:jc w:val="center"/>
        <w:rPr>
          <w:rFonts w:ascii="Calibri" w:cs="Calibri" w:eastAsia="Calibri" w:hAnsi="Calibri"/>
          <w:b w:val="1"/>
        </w:rPr>
      </w:pPr>
      <w:r w:rsidDel="00000000" w:rsidR="00000000" w:rsidRPr="00000000">
        <w:rPr>
          <w:b w:val="1"/>
          <w:rtl w:val="0"/>
        </w:rPr>
        <w:t xml:space="preserve">DISCUSIÓN</w:t>
      </w: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cirugía de citorreducción combinada con quimioterapia intraperitoneal hipertérmica (CCR + HIPEC) representa una de las intervenciones más agresivas y complejas dentro del tratamiento del cáncer con diseminación peritoneal, pese a que su implementación ha demostrado beneficios en la supervivencia de los pacientes con carcinomatosis peritoneal, el procedimiento no está exento de complicaciones relevantes [3]. </w:t>
      </w:r>
      <w:r w:rsidDel="00000000" w:rsidR="00000000" w:rsidRPr="00000000">
        <w:rPr>
          <w:rtl w:val="0"/>
        </w:rPr>
        <w:t xml:space="preserve">Adicionalmente, los pacientes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con carcinomatosis peritoneal a menudo experimentan complicaciones como desnutrición, desacondicionamiento físico, trastornos psicoafectivos; y los efectos secundarios propios de los tratamientos oncológicos previos. Este conjunto de elementos provoca un deterioro progresivo en la salud y la calidad de vida de los pacientes que se someten a la cirugía de CCR contribuyendo a los resultados de morbi-mortalidad obtenidos [2].</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presente estudio, el grupo control presentó una tasa de morbilidad del 29,5 %, valor que resulta ligeramente inferior al reportado por otras series quienes documentaron una tasa del 39,5 % [7].  Y que también resulta muy inferior al comparar con un estudio retrospectivo institucional previo, en el cual se reportó una tasa de complicaciones postoperatorias del 58,4 % en una cohorte de 125 pacientes [8]. Esta diferencia podría atribuirse a la amplia experiencia institucional, al elevado volumen de pacientes intervenidos y a la atención proporcionada por un equipo multidisciplinario altamente especializado en el Instituto.</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la mortalidad a 30 días en el grupo de control fue del 20.5% un valor superior al reportado en la literatura, donde estudios retrospectivos informan tasas de entre el 3.2% y 9.2% dependiendo de factores como la carga tumoral y la experiencia del centro quirúrgico [9]. Esta diferencia sugiere la posible influencia de factores como una mayor carga basal de enfermedad, estado funcional más comprometido de los pacientes, y la ausencia de estrategias sistemáticas de optimización preoperatoria. Por ejemplo, solo el 52.3% de los pacientes fueron evaluados por nutrición, apenas el 4.5% por fisiatría y menos de un 10% recibió suplementos nutricionales especializados.</w:t>
        <w:br w:type="textWrapping"/>
        <w:br w:type="textWrapping"/>
        <w:t xml:space="preserve">Respecto a los reingresos, se observó una tasa del 20.5% a 90 días, cifra comparable con lo reportado por Rieser et al. (2021), quienes documentaron tasas entre 10% y 18% en las primeras 6 semanas [10]. El mayor periodo de observación en nuestro estudio podría explicar esta diferencia y subraya la necesidad de análisis estandarizados a largo plazo.</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 hallazgo destacado fue la asociación significativa entre la morbilidad y la necesidad de transfusión de hemocomponentes (V de Cramer = 0.60, p = 0.005), respaldando estudios previos que vinculan el uso excesivo de transfusiones con mayor incidencia de complicaciones infecciosas y peores desenlaces quirúrgicos [11]. Este dato enfatiza la importancia de realizar un control riguroso del sangrado intraoperatorio y restringir las transfusiones a situaciones estrictamente necesarias.</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Adicionalmente, la edad avanzada fue el único predictor significativo de mortalidad a 30 días. Este hallazgo es coherente con otros trabajos que reconocen la edad como un factor de riesgo independiente en cirugía oncológica compleja [12]. Por tanto, resulta indispensable realizar una valoración geriátrica integral que permita identificar a los pacientes más frágiles y adaptar el protocolo perioperatorio a sus necesidades específicas.</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contraste, los resultados del grupo de intervención con prehabilitación mostraron una mejora clínica evidente. A pesar del tamaño reducido de la cohorte (n=10), se observó una disminución en la tasa de morbilidad (20%), una menor mortalidad a 30 días (10%), reducción en la estancia hospitalaria (promedio de 11.8 días) y una menor permanencia en UCI (promedio de 5.6 días). Estos resultados sugieren que la implementación de un programa estructurado de prehabilitación contribuyó de manera significativa a una mejor recuperación postoperatoria.</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Todos los pacientes del grupo prehabilitado fueron evaluados por nutrición, fisiatría y psicología, además de recibir suplementos proteicos y probióticos, ejercicios domiciliarios e incentivo respiratorio. Esta intervención multidisciplinaria permitió optimizar el estado funcional antes de la cirugía, alineándose con estudios como el de Carli et al. (2017), quienes en un ensayo clínico aleatorizado demostraron una reducción del 50% en complicaciones postoperatorias en pacientes con cáncer colorrectal que fueron sometidos a prehabilitación.</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 mismo modo, Moran et al. (2016) identificaron en su metaanálisis que la prehabilitación mejora significativamente la capacidad funcional (medida mediante la prueba de caminata de seis minutos), reduce la morbilidad y acorta la estancia hospitalaria [13]. Aunque estos estudios no se enfocan específicamente en pacientes sometidos a CCR + HIPEC, su aplicabilidad es válida debido al alto impacto fisiológico de estos procedimientos. Además, Gillis y Carli (2019) subrayan que la prehabilitación es particularmente útil en pacientes con sarcopenia, fragilidad o comorbilidades múltiples [14].  Dado que muchos pacientes oncológicos presentan estas condiciones, la intervención previa puede ser crucial para modificar su trayectoria postoperatoria.</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Barberan-Garcia et al. (2018), en otro ensayo controlado, observaron una reducción del 51% en las complicaciones postoperatorias gracias a la prehabilitación individualizada [15,16]., mientras que Thomas et al. (2021) concluyeron en una revisión sistemática que estas estrategias son especialmente beneficiosas en pacientes sometidos a cirugía abdominal de alta complejidad. [17].</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más allá de los beneficios clínicos, la prehabilitación también representa una herramienta costo-efectiva. Menores reintervenciones, menos días de hospitalización y un mejor estado funcional reducen significativamente los costos hospitalarios y mejoran la experiencia del paciente.</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CONCLUSIÓN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br w:type="textWrapping"/>
        <w:t xml:space="preserve">La evidencia del presente estudio, junto con la literatura internacional, respalda la inclusión de la prehabilitación como parte integral del manejo de pacientes con CCR + HIPEC. Si bien los resultados aún son preliminares y se requiere una mayor muestra para confirmar su impacto, los datos sugieren que la prehabilitación puede mejorar significativamente los desenlaces clínicos y funcionales. Es urgente integrar esta estrategia en protocolos institucionales y continuar con investigaciones que consoliden su eficacia y aplicabilidad.</w:t>
      </w:r>
    </w:p>
    <w:p w:rsidR="00000000" w:rsidDel="00000000" w:rsidP="00000000" w:rsidRDefault="00000000" w:rsidRPr="00000000" w14:paraId="0000007F">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80">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81">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82">
      <w:pPr>
        <w:jc w:val="both"/>
        <w:rPr>
          <w:rFonts w:ascii="Calibri" w:cs="Calibri" w:eastAsia="Calibri" w:hAnsi="Calibri"/>
          <w:b w:val="1"/>
        </w:rPr>
      </w:pPr>
      <w:r w:rsidDel="00000000" w:rsidR="00000000" w:rsidRPr="00000000">
        <w:rPr>
          <w:rFonts w:ascii="Calibri" w:cs="Calibri" w:eastAsia="Calibri" w:hAnsi="Calibri"/>
          <w:rtl w:val="0"/>
        </w:rPr>
        <w:br w:type="textWrapping"/>
      </w:r>
      <w:r w:rsidDel="00000000" w:rsidR="00000000" w:rsidRPr="00000000">
        <w:rPr>
          <w:rFonts w:ascii="Calibri" w:cs="Calibri" w:eastAsia="Calibri" w:hAnsi="Calibri"/>
          <w:b w:val="1"/>
          <w:rtl w:val="0"/>
        </w:rPr>
        <w:t xml:space="preserve">BIBLIOGRAFIA</w:t>
      </w:r>
    </w:p>
    <w:p w:rsidR="00000000" w:rsidDel="00000000" w:rsidP="00000000" w:rsidRDefault="00000000" w:rsidRPr="00000000" w14:paraId="00000083">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8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Kitai T. The role of cytoreductive surgery and hyperthermic intraperitoneal chemotherapy in the treatment of peritoneal carcinomatosis: a systematic review including evidence from Japan. Surg Today. 2020 Nov 13. doi:10.1007/s00595-020-02180- Epub ahead of print. PMID: 33185798.</w:t>
      </w:r>
    </w:p>
    <w:p w:rsidR="00000000" w:rsidDel="00000000" w:rsidP="00000000" w:rsidRDefault="00000000" w:rsidRPr="00000000" w14:paraId="0000008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Chua TC, Yan TD, Saxena A, Morris DL. Should the treatment of peritoneal carcinomatosis by cytoreductive surgery and hyperthermic intraperitoneal chemotherapy still be regarded as a highly morbid procedure? Asystematic review of morbidity and mortality. Ann Surg. 2009;249:900–7. </w:t>
      </w:r>
    </w:p>
    <w:p w:rsidR="00000000" w:rsidDel="00000000" w:rsidP="00000000" w:rsidRDefault="00000000" w:rsidRPr="00000000" w14:paraId="0000008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Chua TC, Yan TD, Saxena A, Morris DL. Should the treatment of peritoneal carcinomatosis by cytoreductive surgery and hyperthermic intraperitoneal chemotherapy still be regarded as a highly morbid procedure? Asystematic review of morbidity and mortality. Ann Surg. 2009;249:900–7.</w:t>
      </w:r>
    </w:p>
    <w:p w:rsidR="00000000" w:rsidDel="00000000" w:rsidP="00000000" w:rsidRDefault="00000000" w:rsidRPr="00000000" w14:paraId="0000008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Van Driel WJ, Koole SN, Sikorska K, Schagen van Leeuwen JH, Schreuder HWR, Hermans RHM, de HinghIHJT, van der Velden J, Arts HJ, Massuger LFAG, Aalbers AGJ, Verwaal VJ, Kieffer JM, Van de Vijver KK,van Tinteren H, Aaronson NK, Sonke GS. Hyperthermic Intraperitoneal Chemotherapy in Ovarian Cancer. NEngl J Med. 2018 Jan 18;378(3):230-240. doi: 10.1056/NEJMoa1708618. PMID: 29342393.</w:t>
      </w:r>
    </w:p>
    <w:p w:rsidR="00000000" w:rsidDel="00000000" w:rsidP="00000000" w:rsidRDefault="00000000" w:rsidRPr="00000000" w14:paraId="0000008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Travis E. Grotz, Keith F. Fournier, and Gary N. Mann. Peritoneal malignancies. In: The MD Anderson surgical oncology handbook, 5th Ed. 5th. Wolters Kluwer, Lippincott Williams &amp; Wilkins: New York, 347-415, 2012.</w:t>
      </w:r>
    </w:p>
    <w:p w:rsidR="00000000" w:rsidDel="00000000" w:rsidP="00000000" w:rsidRDefault="00000000" w:rsidRPr="00000000" w14:paraId="0000008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Cortés-Guiral D, Mohamed F, Glehen O, Passot G. Prehabilitation of patients undergoing cytoreductive surgery (CRS) and hyperthermic intraperitoneal chemotherapy (HIPEC) for peritoneal malignancy. European Journal of Surgical Oncology. January 2020. doi:10.1016/j.ejso.2020.01.032</w:t>
      </w:r>
    </w:p>
    <w:p w:rsidR="00000000" w:rsidDel="00000000" w:rsidP="00000000" w:rsidRDefault="00000000" w:rsidRPr="00000000" w14:paraId="0000008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Raspé C, Flöther L, Schneider R, Bucher M, Piso P. Best practice for perioperative management of patients  with cytoreductive surgery and HIPEC. European Journal of Surgical Oncology. 2017;43(6):1013-1027. doi:10.1016/j.ejso.2016.09.008</w:t>
      </w:r>
    </w:p>
    <w:p w:rsidR="00000000" w:rsidDel="00000000" w:rsidP="00000000" w:rsidRDefault="00000000" w:rsidRPr="00000000" w14:paraId="0000008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Perilla, H. (2019). Desenlaces oncológicos de los pacientes con carcinomatosis peritoneal con cirugía de citorreducción más quimioterapia hipertérmica intraperitoneal (HIPEC) en el Instituto Nacional de Cancerología</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Bogota: tesis, Universidad Militar Nueva Granada.</w:t>
      </w:r>
    </w:p>
    <w:p w:rsidR="00000000" w:rsidDel="00000000" w:rsidP="00000000" w:rsidRDefault="00000000" w:rsidRPr="00000000" w14:paraId="0000008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737373"/>
          <w:sz w:val="22"/>
          <w:szCs w:val="22"/>
          <w:u w:val="none"/>
          <w:shd w:fill="auto" w:val="clear"/>
          <w:vertAlign w:val="baseline"/>
        </w:rPr>
      </w:pPr>
      <w:r w:rsidDel="00000000" w:rsidR="00000000" w:rsidRPr="00000000">
        <w:rPr>
          <w:rFonts w:ascii="Calibri" w:cs="Calibri" w:eastAsia="Calibri" w:hAnsi="Calibri"/>
          <w:b w:val="0"/>
          <w:i w:val="0"/>
          <w:smallCaps w:val="0"/>
          <w:strike w:val="0"/>
          <w:color w:val="737373"/>
          <w:sz w:val="22"/>
          <w:szCs w:val="22"/>
          <w:u w:val="none"/>
          <w:shd w:fill="auto" w:val="clear"/>
          <w:vertAlign w:val="baseline"/>
          <w:rtl w:val="0"/>
        </w:rPr>
        <w:t xml:space="preserve">T.D. Yan, G. Edwards, R. Alderman, </w:t>
      </w:r>
      <w:r w:rsidDel="00000000" w:rsidR="00000000" w:rsidRPr="00000000">
        <w:rPr>
          <w:rFonts w:ascii="Calibri" w:cs="Calibri" w:eastAsia="Calibri" w:hAnsi="Calibri"/>
          <w:b w:val="0"/>
          <w:i w:val="1"/>
          <w:smallCaps w:val="0"/>
          <w:strike w:val="0"/>
          <w:color w:val="737373"/>
          <w:sz w:val="22"/>
          <w:szCs w:val="22"/>
          <w:u w:val="none"/>
          <w:shd w:fill="auto" w:val="clear"/>
          <w:vertAlign w:val="baseline"/>
          <w:rtl w:val="0"/>
        </w:rPr>
        <w:t xml:space="preserve">et al</w:t>
      </w:r>
      <w:r w:rsidDel="00000000" w:rsidR="00000000" w:rsidRPr="00000000">
        <w:rPr>
          <w:rFonts w:ascii="Calibri" w:cs="Calibri" w:eastAsia="Calibri" w:hAnsi="Calibri"/>
          <w:b w:val="0"/>
          <w:i w:val="0"/>
          <w:smallCaps w:val="0"/>
          <w:strike w:val="0"/>
          <w:color w:val="737373"/>
          <w:sz w:val="22"/>
          <w:szCs w:val="22"/>
          <w:u w:val="none"/>
          <w:shd w:fill="auto" w:val="clear"/>
          <w:vertAlign w:val="baseline"/>
          <w:rtl w:val="0"/>
        </w:rPr>
        <w:t xml:space="preserve">. Morbidity and mortality assessment of cytoreductive surgery and perioperative intraperitoneal chemotherapy for diffuse malignant peritoneal mesothelioma--a prospective study of 70 consecutive cases.</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Calibri" w:cs="Calibri" w:eastAsia="Calibri" w:hAnsi="Calibri"/>
          <w:b w:val="0"/>
          <w:i w:val="0"/>
          <w:smallCaps w:val="0"/>
          <w:strike w:val="0"/>
          <w:color w:val="737373"/>
          <w:sz w:val="22"/>
          <w:szCs w:val="22"/>
          <w:u w:val="none"/>
          <w:shd w:fill="auto" w:val="clear"/>
          <w:vertAlign w:val="baseline"/>
        </w:rPr>
      </w:pPr>
      <w:r w:rsidDel="00000000" w:rsidR="00000000" w:rsidRPr="00000000">
        <w:rPr>
          <w:rFonts w:ascii="Calibri" w:cs="Calibri" w:eastAsia="Calibri" w:hAnsi="Calibri"/>
          <w:b w:val="0"/>
          <w:i w:val="0"/>
          <w:smallCaps w:val="0"/>
          <w:strike w:val="0"/>
          <w:color w:val="737373"/>
          <w:sz w:val="22"/>
          <w:szCs w:val="22"/>
          <w:u w:val="none"/>
          <w:shd w:fill="auto" w:val="clear"/>
          <w:vertAlign w:val="baseline"/>
          <w:rtl w:val="0"/>
        </w:rPr>
        <w:t xml:space="preserve">Ann Surg Oncol, 14 (2007), pp. 515-525 </w:t>
      </w:r>
      <w:hyperlink r:id="rId14">
        <w:r w:rsidDel="00000000" w:rsidR="00000000" w:rsidRPr="00000000">
          <w:rPr>
            <w:rFonts w:ascii="Calibri" w:cs="Calibri" w:eastAsia="Calibri" w:hAnsi="Calibri"/>
            <w:b w:val="0"/>
            <w:i w:val="0"/>
            <w:smallCaps w:val="0"/>
            <w:strike w:val="0"/>
            <w:color w:val="000000"/>
            <w:sz w:val="22"/>
            <w:szCs w:val="22"/>
            <w:u w:val="single"/>
            <w:shd w:fill="auto" w:val="clear"/>
            <w:vertAlign w:val="baseline"/>
            <w:rtl w:val="0"/>
          </w:rPr>
          <w:t xml:space="preserve">http://dx.doi.org/10.1245/s10434-006-9187-5</w:t>
        </w:r>
      </w:hyperlink>
      <w:r w:rsidDel="00000000" w:rsidR="00000000" w:rsidRPr="00000000">
        <w:rPr>
          <w:rtl w:val="0"/>
        </w:rPr>
      </w:r>
    </w:p>
    <w:p w:rsidR="00000000" w:rsidDel="00000000" w:rsidP="00000000" w:rsidRDefault="00000000" w:rsidRPr="00000000" w14:paraId="0000008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Rieser, C. J., Hall, R. T., Esquivel, J., &amp; Haggerty, S. P. (2021). Predischarge prediction of readmission after cytoreductive surgery and hyperthermic intraperitoneal chemotherapy.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Journal of Surgical Research, 257</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451–458. https://doi.org/10.1016/j.jss.2020.07.044</w:t>
      </w:r>
    </w:p>
    <w:p w:rsidR="00000000" w:rsidDel="00000000" w:rsidP="00000000" w:rsidRDefault="00000000" w:rsidRPr="00000000" w14:paraId="0000008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Morris, F. J. D., Fung, Y. L., Craswell, A., &amp; Chew, M. (2023).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Outcomes following perioperative red blood cell transfusion in patients undergoing elective major abdominal surgery: a systematic review and meta-analysis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British Journal of Anaesthesia..</w:t>
      </w:r>
    </w:p>
    <w:p w:rsidR="00000000" w:rsidDel="00000000" w:rsidP="00000000" w:rsidRDefault="00000000" w:rsidRPr="00000000" w14:paraId="0000009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Healy, M. A., Yin, H., Wong, S. L., &amp; Mody, L. (2016).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Surgeon age and operative mortality in complex cancer surgery</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Annals of Surgery, 263(6), 1106–1112. https://doi.org/10.1097/SLA.0000000000001391</w:t>
      </w:r>
    </w:p>
    <w:p w:rsidR="00000000" w:rsidDel="00000000" w:rsidP="00000000" w:rsidRDefault="00000000" w:rsidRPr="00000000" w14:paraId="0000009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Carli, F., Bousquet-Dion, G., Awasthi, R., et al. (2017). Effect of multimodal prehabilitation vs postoperative rehabilitation on 30-day postoperative complications for frail patients undergoing resection of colorectal cancer: A randomized clinical trial. JAMA Surgery, 152(3), 233–242. https://doi.org/10.1001/jamasurg.2016.4865</w:t>
      </w:r>
    </w:p>
    <w:p w:rsidR="00000000" w:rsidDel="00000000" w:rsidP="00000000" w:rsidRDefault="00000000" w:rsidRPr="00000000" w14:paraId="0000009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Moran, J., Guinan, E., McCormick, P., et al. (2016). The ability of prehabilitation to influence postoperative outcome after intra-abdominal operation: A systematic review and meta-analysis. Surgery, 160(5), 1189–1201. https://doi.org/10.1016/j.surg.2016.05.014</w:t>
      </w:r>
    </w:p>
    <w:p w:rsidR="00000000" w:rsidDel="00000000" w:rsidP="00000000" w:rsidRDefault="00000000" w:rsidRPr="00000000" w14:paraId="0000009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Gillis, C., &amp; Carli, F. (2019). Promoting Perioperative Metabolic and Nutritional Care. Anesthesiology Clinics, 37(1), 161–174. https://doi.org/10.1016/j.anclin.2018.09.010</w:t>
      </w:r>
    </w:p>
    <w:p w:rsidR="00000000" w:rsidDel="00000000" w:rsidP="00000000" w:rsidRDefault="00000000" w:rsidRPr="00000000" w14:paraId="0000009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Barberan-Garcia, A., Ubré, M., Roca, J., et al. (2018). Personalised prehabilitation in high-risk patients undergoing elective major abdominal surgery: A randomized blinded controlled trial. Annals of Surgery, 267(1), 50–56. https://doi.org/10.1097/SLA.0000000000002293</w:t>
      </w:r>
    </w:p>
    <w:p w:rsidR="00000000" w:rsidDel="00000000" w:rsidP="00000000" w:rsidRDefault="00000000" w:rsidRPr="00000000" w14:paraId="0000009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Thomas, G., Tahir, M., Bongers, B. C., et al. (2021). Prehabilitation before major abdominal surgery: A systematic review and meta-analysis. World Journal of Surgery, 45(7), 2070–2084. https://doi.org/10.1007/s00268-021-06075-6</w:t>
      </w:r>
    </w:p>
    <w:p w:rsidR="00000000" w:rsidDel="00000000" w:rsidP="00000000" w:rsidRDefault="00000000" w:rsidRPr="00000000" w14:paraId="00000096">
      <w:pPr>
        <w:spacing w:after="0"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97">
      <w:pPr>
        <w:spacing w:after="0"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98">
      <w:pPr>
        <w:spacing w:after="0"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99">
      <w:pPr>
        <w:spacing w:after="0" w:line="24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ANEXO 1. Intervenciones a realizar en cada eje del protocolo</w:t>
      </w:r>
    </w:p>
    <w:p w:rsidR="00000000" w:rsidDel="00000000" w:rsidP="00000000" w:rsidRDefault="00000000" w:rsidRPr="00000000" w14:paraId="0000009A">
      <w:pPr>
        <w:spacing w:after="0" w:line="240" w:lineRule="auto"/>
        <w:jc w:val="both"/>
        <w:rPr>
          <w:rFonts w:ascii="Calibri" w:cs="Calibri" w:eastAsia="Calibri" w:hAnsi="Calibri"/>
        </w:rPr>
      </w:pPr>
      <w:r w:rsidDel="00000000" w:rsidR="00000000" w:rsidRPr="00000000">
        <w:rPr>
          <w:rtl w:val="0"/>
        </w:rPr>
      </w:r>
    </w:p>
    <w:tbl>
      <w:tblPr>
        <w:tblStyle w:val="Table1"/>
        <w:tblW w:w="8828.0" w:type="dxa"/>
        <w:jc w:val="left"/>
        <w:tblLayout w:type="fixed"/>
        <w:tblLook w:val="0400"/>
      </w:tblPr>
      <w:tblGrid>
        <w:gridCol w:w="2926"/>
        <w:gridCol w:w="2521"/>
        <w:gridCol w:w="1778"/>
        <w:gridCol w:w="1603"/>
        <w:tblGridChange w:id="0">
          <w:tblGrid>
            <w:gridCol w:w="2926"/>
            <w:gridCol w:w="2521"/>
            <w:gridCol w:w="1778"/>
            <w:gridCol w:w="1603"/>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09B">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EJE NUTRICIONAL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09C">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EJE DE ACTIVIDAD FISICA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09D">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EJE PSICOLOGICO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09E">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EJE HEMATOLOGICO Y OTRAS ACTIVIDADES </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09F">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a) En la Primera visita, se efectuará el reclutamiento si cumple criterios de selección.</w:t>
            </w:r>
            <w:r w:rsidDel="00000000" w:rsidR="00000000" w:rsidRPr="00000000">
              <w:rPr>
                <w:rtl w:val="0"/>
              </w:rPr>
            </w:r>
          </w:p>
          <w:p w:rsidR="00000000" w:rsidDel="00000000" w:rsidP="00000000" w:rsidRDefault="00000000" w:rsidRPr="00000000" w14:paraId="000000A0">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b) Se efectuará la entrega de órdenes para realización de mediciones basales: hemograma, creatinina, albúmina, para ser procesados posteriormente a primera hora de la mañana.</w:t>
            </w:r>
            <w:r w:rsidDel="00000000" w:rsidR="00000000" w:rsidRPr="00000000">
              <w:rPr>
                <w:rtl w:val="0"/>
              </w:rPr>
            </w:r>
          </w:p>
          <w:p w:rsidR="00000000" w:rsidDel="00000000" w:rsidP="00000000" w:rsidRDefault="00000000" w:rsidRPr="00000000" w14:paraId="000000A1">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c) Se efectuará valoración nutricional por el servicio de nutrición clínica: Se aplicará escala PreOperativeNutrition Score(PONS) y se revisará resultado de albúmina. </w:t>
            </w:r>
            <w:r w:rsidDel="00000000" w:rsidR="00000000" w:rsidRPr="00000000">
              <w:rPr>
                <w:rtl w:val="0"/>
              </w:rPr>
            </w:r>
          </w:p>
          <w:p w:rsidR="00000000" w:rsidDel="00000000" w:rsidP="00000000" w:rsidRDefault="00000000" w:rsidRPr="00000000" w14:paraId="000000A2">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d) Se iniciará repleción y soporte nutricional para pacientes con tolerancia a vía oral sin alteración del tracto digestivo con dieta hiperproteica (1.2-2.0 gr prot/Kg/día). En pacientes con tracto digestivo integro pero sin ingesta adecuada con nutrición por sonda enteral. En pacientes con alteración funcional y estructural del tracto digestivo con nutrición parenteral total y en pacientes muy desnutridos con alimentación por sonda o parenteral una semana antes de la cirugía y según el concepto de soporte nutricional se utilizarán estrategias combinadas.</w:t>
            </w:r>
            <w:r w:rsidDel="00000000" w:rsidR="00000000" w:rsidRPr="00000000">
              <w:rPr>
                <w:rtl w:val="0"/>
              </w:rPr>
            </w:r>
          </w:p>
          <w:p w:rsidR="00000000" w:rsidDel="00000000" w:rsidP="00000000" w:rsidRDefault="00000000" w:rsidRPr="00000000" w14:paraId="000000A3">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e) Suplementos inmunomoduladores (inmunonutrición) se iniciarán una semana antes 3 veces/día vía oral y hasta una semana después o hasta asegurar 60% de requerimientos diarios por vía oral si tolera via oral.</w:t>
            </w:r>
            <w:r w:rsidDel="00000000" w:rsidR="00000000" w:rsidRPr="00000000">
              <w:rPr>
                <w:rtl w:val="0"/>
              </w:rPr>
            </w:r>
          </w:p>
          <w:p w:rsidR="00000000" w:rsidDel="00000000" w:rsidP="00000000" w:rsidRDefault="00000000" w:rsidRPr="00000000" w14:paraId="000000A4">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f) Se administrarán probióticos por vía oral si tolera via oral. </w:t>
            </w:r>
            <w:r w:rsidDel="00000000" w:rsidR="00000000" w:rsidRPr="00000000">
              <w:rPr>
                <w:rtl w:val="0"/>
              </w:rPr>
            </w:r>
          </w:p>
          <w:p w:rsidR="00000000" w:rsidDel="00000000" w:rsidP="00000000" w:rsidRDefault="00000000" w:rsidRPr="00000000" w14:paraId="000000A5">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g) Se aplicará la escala POQI Nutrition Six (Perioperative Quality Initiative) para seguimiento</w:t>
            </w:r>
            <w:r w:rsidDel="00000000" w:rsidR="00000000" w:rsidRPr="00000000">
              <w:rPr>
                <w:rtl w:val="0"/>
              </w:rPr>
            </w:r>
          </w:p>
          <w:p w:rsidR="00000000" w:rsidDel="00000000" w:rsidP="00000000" w:rsidRDefault="00000000" w:rsidRPr="00000000" w14:paraId="000000A6">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h) Se efectuará administración de albúmina endovenosa.</w:t>
            </w:r>
            <w:r w:rsidDel="00000000" w:rsidR="00000000" w:rsidRPr="00000000">
              <w:rPr>
                <w:rtl w:val="0"/>
              </w:rPr>
            </w:r>
          </w:p>
          <w:p w:rsidR="00000000" w:rsidDel="00000000" w:rsidP="00000000" w:rsidRDefault="00000000" w:rsidRPr="00000000" w14:paraId="000000A7">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i) Se retirará la sonda nasogástrica si la tiene y si cuenta con peristaltismo.</w:t>
            </w:r>
            <w:r w:rsidDel="00000000" w:rsidR="00000000" w:rsidRPr="00000000">
              <w:rPr>
                <w:rtl w:val="0"/>
              </w:rPr>
            </w:r>
          </w:p>
          <w:p w:rsidR="00000000" w:rsidDel="00000000" w:rsidP="00000000" w:rsidRDefault="00000000" w:rsidRPr="00000000" w14:paraId="000000A8">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j) Se iniciará NPT al salir de la sala y hasta cubrir &gt;60% de los requerimientos diarios por vía oral.</w:t>
            </w:r>
            <w:r w:rsidDel="00000000" w:rsidR="00000000" w:rsidRPr="00000000">
              <w:rPr>
                <w:rtl w:val="0"/>
              </w:rPr>
            </w:r>
          </w:p>
          <w:p w:rsidR="00000000" w:rsidDel="00000000" w:rsidP="00000000" w:rsidRDefault="00000000" w:rsidRPr="00000000" w14:paraId="000000A9">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k) Posteriormente se efectuará inicio de vía oral según el peristaltismo.</w:t>
            </w:r>
            <w:r w:rsidDel="00000000" w:rsidR="00000000" w:rsidRPr="00000000">
              <w:rPr>
                <w:rtl w:val="0"/>
              </w:rPr>
            </w:r>
          </w:p>
          <w:p w:rsidR="00000000" w:rsidDel="00000000" w:rsidP="00000000" w:rsidRDefault="00000000" w:rsidRPr="00000000" w14:paraId="000000AA">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l) Se administrarán suplementos nutricionales hiperproteicos 2-3 veces al día por vía oral en adición a la comida normal durante los primeros 5 días postextubación.</w:t>
            </w:r>
            <w:r w:rsidDel="00000000" w:rsidR="00000000" w:rsidRPr="00000000">
              <w:rPr>
                <w:rtl w:val="0"/>
              </w:rPr>
            </w:r>
          </w:p>
          <w:p w:rsidR="00000000" w:rsidDel="00000000" w:rsidP="00000000" w:rsidRDefault="00000000" w:rsidRPr="00000000" w14:paraId="000000AB">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m) Se efectuará monitoreo rutinario de la ingesta para detectar pacientes que no estén recibiendo los requerimientos mínimos diarios por vía oral.</w:t>
            </w:r>
            <w:r w:rsidDel="00000000" w:rsidR="00000000" w:rsidRPr="00000000">
              <w:rPr>
                <w:rtl w:val="0"/>
              </w:rPr>
            </w:r>
          </w:p>
          <w:p w:rsidR="00000000" w:rsidDel="00000000" w:rsidP="00000000" w:rsidRDefault="00000000" w:rsidRPr="00000000" w14:paraId="000000AC">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n) Se proporcionarán las recomendaciones de cuidados nutricionales en casa.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0AD">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a) Entrega de órdenes para medición del Test de Caminata de 6 Minutos (TC6M).</w:t>
            </w:r>
            <w:r w:rsidDel="00000000" w:rsidR="00000000" w:rsidRPr="00000000">
              <w:rPr>
                <w:rtl w:val="0"/>
              </w:rPr>
            </w:r>
          </w:p>
          <w:p w:rsidR="00000000" w:rsidDel="00000000" w:rsidP="00000000" w:rsidRDefault="00000000" w:rsidRPr="00000000" w14:paraId="000000AE">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b) Se efectuará valoración por el servicio de medicina física y rehabilitación.</w:t>
            </w:r>
            <w:r w:rsidDel="00000000" w:rsidR="00000000" w:rsidRPr="00000000">
              <w:rPr>
                <w:rtl w:val="0"/>
              </w:rPr>
            </w:r>
          </w:p>
          <w:p w:rsidR="00000000" w:rsidDel="00000000" w:rsidP="00000000" w:rsidRDefault="00000000" w:rsidRPr="00000000" w14:paraId="000000AF">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c) Se aplicará test de caminata en 6 minutos monitorizando frecuencia cardíaca y oximetría además de evaluación de condición respiratoria con la escala Borg modificada.</w:t>
            </w:r>
            <w:r w:rsidDel="00000000" w:rsidR="00000000" w:rsidRPr="00000000">
              <w:rPr>
                <w:rtl w:val="0"/>
              </w:rPr>
            </w:r>
          </w:p>
          <w:p w:rsidR="00000000" w:rsidDel="00000000" w:rsidP="00000000" w:rsidRDefault="00000000" w:rsidRPr="00000000" w14:paraId="000000B0">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d) Se entregará inspirómetro/incentivo y se efectuará la capacitación para el su uso.</w:t>
            </w:r>
            <w:r w:rsidDel="00000000" w:rsidR="00000000" w:rsidRPr="00000000">
              <w:rPr>
                <w:rtl w:val="0"/>
              </w:rPr>
            </w:r>
          </w:p>
          <w:p w:rsidR="00000000" w:rsidDel="00000000" w:rsidP="00000000" w:rsidRDefault="00000000" w:rsidRPr="00000000" w14:paraId="000000B1">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e) Se efectuará diseño del programa de entrenamiento físico personalizado en pacientes con sarcopenia.</w:t>
            </w:r>
            <w:r w:rsidDel="00000000" w:rsidR="00000000" w:rsidRPr="00000000">
              <w:rPr>
                <w:rtl w:val="0"/>
              </w:rPr>
            </w:r>
          </w:p>
          <w:p w:rsidR="00000000" w:rsidDel="00000000" w:rsidP="00000000" w:rsidRDefault="00000000" w:rsidRPr="00000000" w14:paraId="000000B2">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f) Se efectuará valoración preanestésica incluyendo riesgo cardiaco, apnea obstructiva del sueño, y test de</w:t>
            </w:r>
            <w:r w:rsidDel="00000000" w:rsidR="00000000" w:rsidRPr="00000000">
              <w:rPr>
                <w:rtl w:val="0"/>
              </w:rPr>
            </w:r>
          </w:p>
          <w:p w:rsidR="00000000" w:rsidDel="00000000" w:rsidP="00000000" w:rsidRDefault="00000000" w:rsidRPr="00000000" w14:paraId="000000B3">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fragilidad.</w:t>
            </w:r>
            <w:r w:rsidDel="00000000" w:rsidR="00000000" w:rsidRPr="00000000">
              <w:rPr>
                <w:rtl w:val="0"/>
              </w:rPr>
            </w:r>
          </w:p>
          <w:p w:rsidR="00000000" w:rsidDel="00000000" w:rsidP="00000000" w:rsidRDefault="00000000" w:rsidRPr="00000000" w14:paraId="000000B4">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g) Se indicará la práctica de ejercicios respiratorios en casa (15 minutos de ejercicios, 6 veces al día).</w:t>
            </w:r>
            <w:r w:rsidDel="00000000" w:rsidR="00000000" w:rsidRPr="00000000">
              <w:rPr>
                <w:rtl w:val="0"/>
              </w:rPr>
            </w:r>
          </w:p>
          <w:p w:rsidR="00000000" w:rsidDel="00000000" w:rsidP="00000000" w:rsidRDefault="00000000" w:rsidRPr="00000000" w14:paraId="000000B5">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h) Se incluirá en un programa de entrenamiento de fuerza para ganancia de masa muscular (intensidad)</w:t>
            </w:r>
            <w:r w:rsidDel="00000000" w:rsidR="00000000" w:rsidRPr="00000000">
              <w:rPr>
                <w:rtl w:val="0"/>
              </w:rPr>
            </w:r>
          </w:p>
          <w:p w:rsidR="00000000" w:rsidDel="00000000" w:rsidP="00000000" w:rsidRDefault="00000000" w:rsidRPr="00000000" w14:paraId="000000B6">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i) Se indicará práctica de sesiones de 150 minutos de ejercicio moderado o 75 minutos de ejercicio de alta intensidad + 2 o 3 sesiones de ejercicio de resistencia/semana. La decisión sobre la intensidad del ejercicio se basa en la capacidad del paciente para realizar ejercicio de alta o de mediana intensidad. Se prefiere el esquema de alta intensidad por 75 minutos a la semana si el paciente lo logra.</w:t>
            </w:r>
            <w:r w:rsidDel="00000000" w:rsidR="00000000" w:rsidRPr="00000000">
              <w:rPr>
                <w:rtl w:val="0"/>
              </w:rPr>
            </w:r>
          </w:p>
          <w:p w:rsidR="00000000" w:rsidDel="00000000" w:rsidP="00000000" w:rsidRDefault="00000000" w:rsidRPr="00000000" w14:paraId="000000B7">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j) Se promoverá la movilización temprana: sentarse fuera de la cama.</w:t>
            </w:r>
            <w:r w:rsidDel="00000000" w:rsidR="00000000" w:rsidRPr="00000000">
              <w:rPr>
                <w:rtl w:val="0"/>
              </w:rPr>
            </w:r>
          </w:p>
          <w:p w:rsidR="00000000" w:rsidDel="00000000" w:rsidP="00000000" w:rsidRDefault="00000000" w:rsidRPr="00000000" w14:paraId="000000B8">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k) Se efectuará retiro de sonda vesical.</w:t>
            </w:r>
            <w:r w:rsidDel="00000000" w:rsidR="00000000" w:rsidRPr="00000000">
              <w:rPr>
                <w:rtl w:val="0"/>
              </w:rPr>
            </w:r>
          </w:p>
          <w:p w:rsidR="00000000" w:rsidDel="00000000" w:rsidP="00000000" w:rsidRDefault="00000000" w:rsidRPr="00000000" w14:paraId="000000B9">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l) Se hará uso de sesiones con ejercitador de pedal, sentarse en silla, caminar, rutina de ejercicios programados.</w:t>
            </w:r>
            <w:r w:rsidDel="00000000" w:rsidR="00000000" w:rsidRPr="00000000">
              <w:rPr>
                <w:rtl w:val="0"/>
              </w:rPr>
            </w:r>
          </w:p>
          <w:p w:rsidR="00000000" w:rsidDel="00000000" w:rsidP="00000000" w:rsidRDefault="00000000" w:rsidRPr="00000000" w14:paraId="000000BA">
            <w:pPr>
              <w:spacing w:after="0" w:line="240" w:lineRule="auto"/>
              <w:jc w:val="both"/>
              <w:rPr>
                <w:rFonts w:ascii="Calibri" w:cs="Calibri" w:eastAsia="Calibri" w:hAnsi="Calibri"/>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0BB">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a) Se realizará asesoría y apoyo durante cada visita por el médico tratante, y se aclararan dudas sobre la cirugía y el estado de salud.</w:t>
            </w:r>
            <w:r w:rsidDel="00000000" w:rsidR="00000000" w:rsidRPr="00000000">
              <w:rPr>
                <w:rtl w:val="0"/>
              </w:rPr>
            </w:r>
          </w:p>
          <w:p w:rsidR="00000000" w:rsidDel="00000000" w:rsidP="00000000" w:rsidRDefault="00000000" w:rsidRPr="00000000" w14:paraId="000000BC">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b) Se efectuará valoración por psiquiatría y se aplicarán las siguientes escalas HADS (Scale of anxiety and hospital depression)</w:t>
            </w:r>
            <w:r w:rsidDel="00000000" w:rsidR="00000000" w:rsidRPr="00000000">
              <w:rPr>
                <w:rtl w:val="0"/>
              </w:rPr>
            </w:r>
          </w:p>
          <w:p w:rsidR="00000000" w:rsidDel="00000000" w:rsidP="00000000" w:rsidRDefault="00000000" w:rsidRPr="00000000" w14:paraId="000000BD">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c) Se establecerán estrategias de cuidado desde antes de la cirugía, especialmente en pacientes con necesidades sociales.</w:t>
            </w:r>
            <w:r w:rsidDel="00000000" w:rsidR="00000000" w:rsidRPr="00000000">
              <w:rPr>
                <w:rtl w:val="0"/>
              </w:rPr>
            </w:r>
          </w:p>
          <w:p w:rsidR="00000000" w:rsidDel="00000000" w:rsidP="00000000" w:rsidRDefault="00000000" w:rsidRPr="00000000" w14:paraId="000000BE">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d) Se efectuará higiene de sueño y se realizarán actividades para mejorar hábitos de sueño. En pacientes con insomnio se formularán inductores de sueño según necesidad.</w:t>
            </w:r>
            <w:r w:rsidDel="00000000" w:rsidR="00000000" w:rsidRPr="00000000">
              <w:rPr>
                <w:rtl w:val="0"/>
              </w:rPr>
            </w:r>
          </w:p>
          <w:p w:rsidR="00000000" w:rsidDel="00000000" w:rsidP="00000000" w:rsidRDefault="00000000" w:rsidRPr="00000000" w14:paraId="000000BF">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e) Se estimulará al cese del consumo de cigarrillo.</w:t>
            </w:r>
            <w:r w:rsidDel="00000000" w:rsidR="00000000" w:rsidRPr="00000000">
              <w:rPr>
                <w:rtl w:val="0"/>
              </w:rPr>
            </w:r>
          </w:p>
          <w:p w:rsidR="00000000" w:rsidDel="00000000" w:rsidP="00000000" w:rsidRDefault="00000000" w:rsidRPr="00000000" w14:paraId="000000C0">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f) Se estimulará al cese o disminución del consumo de alcohol en pacientes abusadores.</w:t>
            </w:r>
            <w:r w:rsidDel="00000000" w:rsidR="00000000" w:rsidRPr="00000000">
              <w:rPr>
                <w:rtl w:val="0"/>
              </w:rPr>
            </w:r>
          </w:p>
          <w:p w:rsidR="00000000" w:rsidDel="00000000" w:rsidP="00000000" w:rsidRDefault="00000000" w:rsidRPr="00000000" w14:paraId="000000C1">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g) Se efectuará asesoría con Enfermera de Terapia Enterostomal para disminuir ansiedad asociada a la presencia del estoma.</w:t>
            </w:r>
            <w:r w:rsidDel="00000000" w:rsidR="00000000" w:rsidRPr="00000000">
              <w:rPr>
                <w:rtl w:val="0"/>
              </w:rPr>
            </w:r>
          </w:p>
          <w:p w:rsidR="00000000" w:rsidDel="00000000" w:rsidP="00000000" w:rsidRDefault="00000000" w:rsidRPr="00000000" w14:paraId="000000C2">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h) Se efectuará visita guiada a la UCI.</w:t>
            </w:r>
            <w:r w:rsidDel="00000000" w:rsidR="00000000" w:rsidRPr="00000000">
              <w:rPr>
                <w:rtl w:val="0"/>
              </w:rPr>
            </w:r>
          </w:p>
          <w:p w:rsidR="00000000" w:rsidDel="00000000" w:rsidP="00000000" w:rsidRDefault="00000000" w:rsidRPr="00000000" w14:paraId="000000C3">
            <w:pPr>
              <w:spacing w:after="0" w:line="240" w:lineRule="auto"/>
              <w:jc w:val="both"/>
              <w:rPr>
                <w:rFonts w:ascii="Calibri" w:cs="Calibri" w:eastAsia="Calibri" w:hAnsi="Calibri"/>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0C4">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color w:val="000000"/>
                <w:sz w:val="18"/>
                <w:szCs w:val="18"/>
                <w:rtl w:val="0"/>
              </w:rPr>
              <w:t xml:space="preserve">a) Se determinará el riesgo de toxicidad hematológica.</w:t>
            </w:r>
            <w:r w:rsidDel="00000000" w:rsidR="00000000" w:rsidRPr="00000000">
              <w:rPr>
                <w:rtl w:val="0"/>
              </w:rPr>
            </w:r>
          </w:p>
          <w:p w:rsidR="00000000" w:rsidDel="00000000" w:rsidP="00000000" w:rsidRDefault="00000000" w:rsidRPr="00000000" w14:paraId="000000C5">
            <w:pPr>
              <w:spacing w:after="0" w:before="240" w:line="240" w:lineRule="auto"/>
              <w:jc w:val="both"/>
              <w:rPr>
                <w:rFonts w:ascii="Calibri" w:cs="Calibri" w:eastAsia="Calibri" w:hAnsi="Calibri"/>
                <w:color w:val="000000"/>
                <w:sz w:val="18"/>
                <w:szCs w:val="18"/>
              </w:rPr>
            </w:pPr>
            <w:r w:rsidDel="00000000" w:rsidR="00000000" w:rsidRPr="00000000">
              <w:rPr>
                <w:rFonts w:ascii="Calibri" w:cs="Calibri" w:eastAsia="Calibri" w:hAnsi="Calibri"/>
                <w:color w:val="000000"/>
                <w:sz w:val="18"/>
                <w:szCs w:val="18"/>
                <w:rtl w:val="0"/>
              </w:rPr>
              <w:t xml:space="preserve">b) Se monitorizará la presencia de anemia por parte del anestesiólogo con lectura de cuadro hemático y corrección prequirúrgica de manera rutinaria.</w:t>
            </w:r>
          </w:p>
          <w:p w:rsidR="00000000" w:rsidDel="00000000" w:rsidP="00000000" w:rsidRDefault="00000000" w:rsidRPr="00000000" w14:paraId="000000C6">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sz w:val="18"/>
                <w:szCs w:val="18"/>
                <w:rtl w:val="0"/>
              </w:rPr>
              <w:t xml:space="preserve">c)Se realizará preparación mecánica del colon con PEG 2 sobres en 2 Lt de agua iniciar 24 horas antes del procedimiento. </w:t>
            </w:r>
          </w:p>
          <w:p w:rsidR="00000000" w:rsidDel="00000000" w:rsidP="00000000" w:rsidRDefault="00000000" w:rsidRPr="00000000" w14:paraId="000000C7">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sz w:val="18"/>
                <w:szCs w:val="18"/>
                <w:rtl w:val="0"/>
              </w:rPr>
              <w:t xml:space="preserve">d) Se administrarán antibióticos orales dos dosis el día previo a la cirugía y una dosis el día de la cirugía  dentro de la hora previa a la incisión </w:t>
            </w:r>
          </w:p>
          <w:p w:rsidR="00000000" w:rsidDel="00000000" w:rsidP="00000000" w:rsidRDefault="00000000" w:rsidRPr="00000000" w14:paraId="000000C8">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sz w:val="18"/>
                <w:szCs w:val="18"/>
                <w:rtl w:val="0"/>
              </w:rPr>
              <w:t xml:space="preserve">e) Se empleará manejo transfusional restrictivo </w:t>
            </w:r>
          </w:p>
          <w:p w:rsidR="00000000" w:rsidDel="00000000" w:rsidP="00000000" w:rsidRDefault="00000000" w:rsidRPr="00000000" w14:paraId="000000C9">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sz w:val="18"/>
                <w:szCs w:val="18"/>
                <w:rtl w:val="0"/>
              </w:rPr>
              <w:t xml:space="preserve">f) Se realizará colocación profiláctica de drenes abdominales. </w:t>
            </w:r>
          </w:p>
          <w:p w:rsidR="00000000" w:rsidDel="00000000" w:rsidP="00000000" w:rsidRDefault="00000000" w:rsidRPr="00000000" w14:paraId="000000CA">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sz w:val="18"/>
                <w:szCs w:val="18"/>
                <w:rtl w:val="0"/>
              </w:rPr>
              <w:t xml:space="preserve">g) No se utilizará rutinariamente sonda nasogástrica. </w:t>
            </w:r>
          </w:p>
          <w:p w:rsidR="00000000" w:rsidDel="00000000" w:rsidP="00000000" w:rsidRDefault="00000000" w:rsidRPr="00000000" w14:paraId="000000CB">
            <w:pPr>
              <w:spacing w:after="0" w:before="240" w:line="240" w:lineRule="auto"/>
              <w:jc w:val="both"/>
              <w:rPr>
                <w:rFonts w:ascii="Calibri" w:cs="Calibri" w:eastAsia="Calibri" w:hAnsi="Calibri"/>
                <w:sz w:val="18"/>
                <w:szCs w:val="18"/>
              </w:rPr>
            </w:pPr>
            <w:r w:rsidDel="00000000" w:rsidR="00000000" w:rsidRPr="00000000">
              <w:rPr>
                <w:rFonts w:ascii="Calibri" w:cs="Calibri" w:eastAsia="Calibri" w:hAnsi="Calibri"/>
                <w:sz w:val="18"/>
                <w:szCs w:val="18"/>
                <w:rtl w:val="0"/>
              </w:rPr>
              <w:t xml:space="preserve">h) Se aplicará tromboprofiláxis mecánica hasta movilización completa, en conjunto con tromboprofiláxis farmacológica.</w:t>
            </w:r>
          </w:p>
          <w:p w:rsidR="00000000" w:rsidDel="00000000" w:rsidP="00000000" w:rsidRDefault="00000000" w:rsidRPr="00000000" w14:paraId="000000CC">
            <w:pPr>
              <w:spacing w:after="0" w:line="240" w:lineRule="auto"/>
              <w:jc w:val="both"/>
              <w:rPr>
                <w:rFonts w:ascii="Calibri" w:cs="Calibri" w:eastAsia="Calibri" w:hAnsi="Calibri"/>
                <w:sz w:val="18"/>
                <w:szCs w:val="18"/>
              </w:rPr>
            </w:pPr>
            <w:r w:rsidDel="00000000" w:rsidR="00000000" w:rsidRPr="00000000">
              <w:rPr>
                <w:rtl w:val="0"/>
              </w:rPr>
            </w:r>
          </w:p>
        </w:tc>
      </w:tr>
    </w:tbl>
    <w:p w:rsidR="00000000" w:rsidDel="00000000" w:rsidP="00000000" w:rsidRDefault="00000000" w:rsidRPr="00000000" w14:paraId="000000CD">
      <w:pPr>
        <w:spacing w:after="0"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CE">
      <w:pPr>
        <w:spacing w:after="0" w:line="24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ANEXO 2.</w:t>
      </w:r>
    </w:p>
    <w:p w:rsidR="00000000" w:rsidDel="00000000" w:rsidP="00000000" w:rsidRDefault="00000000" w:rsidRPr="00000000" w14:paraId="000000CF">
      <w:pPr>
        <w:spacing w:after="0" w:line="24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Plan de prehabilitación ejercicios para aplicar en casa.</w:t>
      </w:r>
    </w:p>
    <w:p w:rsidR="00000000" w:rsidDel="00000000" w:rsidP="00000000" w:rsidRDefault="00000000" w:rsidRPr="00000000" w14:paraId="000000D0">
      <w:pPr>
        <w:spacing w:after="0" w:line="240" w:lineRule="auto"/>
        <w:jc w:val="both"/>
        <w:rPr>
          <w:rFonts w:ascii="Arial Narrow" w:cs="Arial Narrow" w:eastAsia="Arial Narrow" w:hAnsi="Arial Narrow"/>
          <w:color w:val="000000"/>
          <w:sz w:val="24"/>
          <w:szCs w:val="24"/>
        </w:rPr>
      </w:pPr>
      <w:r w:rsidDel="00000000" w:rsidR="00000000" w:rsidRPr="00000000">
        <w:rPr>
          <w:rFonts w:ascii="Arial Narrow" w:cs="Arial Narrow" w:eastAsia="Arial Narrow" w:hAnsi="Arial Narrow"/>
          <w:color w:val="000000"/>
          <w:sz w:val="24"/>
          <w:szCs w:val="24"/>
        </w:rPr>
        <w:drawing>
          <wp:inline distB="0" distT="0" distL="0" distR="0">
            <wp:extent cx="5612130" cy="2377440"/>
            <wp:effectExtent b="0" l="0" r="0" t="0"/>
            <wp:docPr id="1561361695" name="image3.png"/>
            <a:graphic>
              <a:graphicData uri="http://schemas.openxmlformats.org/drawingml/2006/picture">
                <pic:pic>
                  <pic:nvPicPr>
                    <pic:cNvPr id="0" name="image3.png"/>
                    <pic:cNvPicPr preferRelativeResize="0"/>
                  </pic:nvPicPr>
                  <pic:blipFill>
                    <a:blip r:embed="rId15"/>
                    <a:srcRect b="0" l="0" r="0" t="0"/>
                    <a:stretch>
                      <a:fillRect/>
                    </a:stretch>
                  </pic:blipFill>
                  <pic:spPr>
                    <a:xfrm>
                      <a:off x="0" y="0"/>
                      <a:ext cx="5612130" cy="2377440"/>
                    </a:xfrm>
                    <a:prstGeom prst="rect"/>
                    <a:ln/>
                  </pic:spPr>
                </pic:pic>
              </a:graphicData>
            </a:graphic>
          </wp:inline>
        </w:drawing>
      </w:r>
      <w:r w:rsidDel="00000000" w:rsidR="00000000" w:rsidRPr="00000000">
        <w:rPr>
          <w:rtl w:val="0"/>
        </w:rPr>
      </w:r>
    </w:p>
    <w:p w:rsidR="00000000" w:rsidDel="00000000" w:rsidP="00000000" w:rsidRDefault="00000000" w:rsidRPr="00000000" w14:paraId="000000D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612130" cy="1780540"/>
            <wp:effectExtent b="0" l="0" r="0" t="0"/>
            <wp:docPr descr="Interfaz de usuario gráfica&#10;&#10;El contenido generado por IA puede ser incorrecto." id="1561361698" name="image2.png"/>
            <a:graphic>
              <a:graphicData uri="http://schemas.openxmlformats.org/drawingml/2006/picture">
                <pic:pic>
                  <pic:nvPicPr>
                    <pic:cNvPr descr="Interfaz de usuario gráfica&#10;&#10;El contenido generado por IA puede ser incorrecto." id="0" name="image2.png"/>
                    <pic:cNvPicPr preferRelativeResize="0"/>
                  </pic:nvPicPr>
                  <pic:blipFill>
                    <a:blip r:embed="rId16"/>
                    <a:srcRect b="0" l="0" r="0" t="0"/>
                    <a:stretch>
                      <a:fillRect/>
                    </a:stretch>
                  </pic:blipFill>
                  <pic:spPr>
                    <a:xfrm>
                      <a:off x="0" y="0"/>
                      <a:ext cx="5612130" cy="1780540"/>
                    </a:xfrm>
                    <a:prstGeom prst="rect"/>
                    <a:ln/>
                  </pic:spPr>
                </pic:pic>
              </a:graphicData>
            </a:graphic>
          </wp:inline>
        </w:drawing>
      </w:r>
      <w:r w:rsidDel="00000000" w:rsidR="00000000" w:rsidRPr="00000000">
        <w:rPr>
          <w:rtl w:val="0"/>
        </w:rPr>
      </w:r>
    </w:p>
    <w:p w:rsidR="00000000" w:rsidDel="00000000" w:rsidP="00000000" w:rsidRDefault="00000000" w:rsidRPr="00000000" w14:paraId="000000D2">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612130" cy="3371215"/>
            <wp:effectExtent b="0" l="0" r="0" t="0"/>
            <wp:docPr descr="Texto&#10;&#10;El contenido generado por IA puede ser incorrecto." id="1561361696" name="image6.png"/>
            <a:graphic>
              <a:graphicData uri="http://schemas.openxmlformats.org/drawingml/2006/picture">
                <pic:pic>
                  <pic:nvPicPr>
                    <pic:cNvPr descr="Texto&#10;&#10;El contenido generado por IA puede ser incorrecto." id="0" name="image6.png"/>
                    <pic:cNvPicPr preferRelativeResize="0"/>
                  </pic:nvPicPr>
                  <pic:blipFill>
                    <a:blip r:embed="rId17"/>
                    <a:srcRect b="0" l="0" r="0" t="0"/>
                    <a:stretch>
                      <a:fillRect/>
                    </a:stretch>
                  </pic:blipFill>
                  <pic:spPr>
                    <a:xfrm>
                      <a:off x="0" y="0"/>
                      <a:ext cx="5612130" cy="3371215"/>
                    </a:xfrm>
                    <a:prstGeom prst="rect"/>
                    <a:ln/>
                  </pic:spPr>
                </pic:pic>
              </a:graphicData>
            </a:graphic>
          </wp:inline>
        </w:drawing>
      </w:r>
      <w:r w:rsidDel="00000000" w:rsidR="00000000" w:rsidRPr="00000000">
        <w:rPr>
          <w:rtl w:val="0"/>
        </w:rPr>
      </w:r>
    </w:p>
    <w:p w:rsidR="00000000" w:rsidDel="00000000" w:rsidP="00000000" w:rsidRDefault="00000000" w:rsidRPr="00000000" w14:paraId="000000D3">
      <w:pPr>
        <w:spacing w:after="240" w:before="240" w:line="240" w:lineRule="auto"/>
        <w:jc w:val="both"/>
        <w:rPr>
          <w:rFonts w:ascii="Arial Narrow" w:cs="Arial Narrow" w:eastAsia="Arial Narrow" w:hAnsi="Arial Narrow"/>
          <w:sz w:val="24"/>
          <w:szCs w:val="24"/>
        </w:rPr>
      </w:pPr>
      <w:r w:rsidDel="00000000" w:rsidR="00000000" w:rsidRPr="00000000">
        <w:rPr>
          <w:rtl w:val="0"/>
        </w:rPr>
      </w:r>
    </w:p>
    <w:p w:rsidR="00000000" w:rsidDel="00000000" w:rsidP="00000000" w:rsidRDefault="00000000" w:rsidRPr="00000000" w14:paraId="000000D4">
      <w:pPr>
        <w:jc w:val="both"/>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Narrow">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Calibri" w:cs="Calibri" w:eastAsia="Calibri" w:hAnsi="Calibri"/>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Prrafodelista">
    <w:name w:val="List Paragraph"/>
    <w:basedOn w:val="Normal"/>
    <w:uiPriority w:val="34"/>
    <w:qFormat w:val="1"/>
    <w:rsid w:val="00B07537"/>
    <w:pPr>
      <w:ind w:left="720"/>
      <w:contextualSpacing w:val="1"/>
    </w:pPr>
  </w:style>
  <w:style w:type="paragraph" w:styleId="Bibliografa">
    <w:name w:val="Bibliography"/>
    <w:basedOn w:val="Normal"/>
    <w:next w:val="Normal"/>
    <w:uiPriority w:val="37"/>
    <w:unhideWhenUsed w:val="1"/>
    <w:rsid w:val="00ED35AC"/>
  </w:style>
  <w:style w:type="paragraph" w:styleId="NormalWeb">
    <w:name w:val="Normal (Web)"/>
    <w:basedOn w:val="Normal"/>
    <w:uiPriority w:val="99"/>
    <w:unhideWhenUsed w:val="1"/>
    <w:rsid w:val="005874C6"/>
    <w:pPr>
      <w:spacing w:after="100" w:afterAutospacing="1" w:before="100" w:beforeAutospacing="1" w:line="240" w:lineRule="auto"/>
    </w:pPr>
    <w:rPr>
      <w:rFonts w:ascii="Times New Roman" w:cs="Times New Roman" w:eastAsia="Times New Roman" w:hAnsi="Times New Roman"/>
      <w:sz w:val="24"/>
      <w:szCs w:val="24"/>
    </w:rPr>
  </w:style>
  <w:style w:type="character" w:styleId="Hipervnculo">
    <w:name w:val="Hyperlink"/>
    <w:basedOn w:val="Fuentedeprrafopredeter"/>
    <w:uiPriority w:val="99"/>
    <w:unhideWhenUsed w:val="1"/>
    <w:rsid w:val="000145FE"/>
    <w:rPr>
      <w:color w:val="0000ff" w:themeColor="hyperlink"/>
      <w:u w:val="single"/>
    </w:rPr>
  </w:style>
  <w:style w:type="character" w:styleId="Mencinsinresolver">
    <w:name w:val="Unresolved Mention"/>
    <w:basedOn w:val="Fuentedeprrafopredeter"/>
    <w:uiPriority w:val="99"/>
    <w:semiHidden w:val="1"/>
    <w:unhideWhenUsed w:val="1"/>
    <w:rsid w:val="000145FE"/>
    <w:rPr>
      <w:color w:val="605e5c"/>
      <w:shd w:color="auto" w:fill="e1dfdd" w:val="clear"/>
    </w:rPr>
  </w:style>
  <w:style w:type="character" w:styleId="Textoennegrita">
    <w:name w:val="Strong"/>
    <w:basedOn w:val="Fuentedeprrafopredeter"/>
    <w:uiPriority w:val="22"/>
    <w:qFormat w:val="1"/>
    <w:rsid w:val="00195673"/>
    <w:rPr>
      <w:b w:val="1"/>
      <w:bCs w:val="1"/>
    </w:rPr>
  </w:style>
  <w:style w:type="character" w:styleId="text-start" w:customStyle="1">
    <w:name w:val="text-start"/>
    <w:basedOn w:val="Fuentedeprrafopredeter"/>
    <w:rsid w:val="00CD1D08"/>
  </w:style>
  <w:style w:type="character" w:styleId="TtuloCar" w:customStyle="1">
    <w:name w:val="Título Car"/>
    <w:basedOn w:val="Fuentedeprrafopredeter"/>
    <w:link w:val="Ttulo"/>
    <w:uiPriority w:val="10"/>
    <w:rsid w:val="00CD1D08"/>
    <w:rPr>
      <w:b w:val="1"/>
      <w:sz w:val="72"/>
      <w:szCs w:val="72"/>
    </w:rPr>
  </w:style>
  <w:style w:type="paragraph" w:styleId="Listaconvietas">
    <w:name w:val="List Bullet"/>
    <w:basedOn w:val="Normal"/>
    <w:uiPriority w:val="99"/>
    <w:semiHidden w:val="1"/>
    <w:unhideWhenUsed w:val="1"/>
    <w:rsid w:val="00C705B8"/>
    <w:pPr>
      <w:numPr>
        <w:numId w:val="10"/>
      </w:numPr>
      <w:spacing w:after="200" w:line="276" w:lineRule="auto"/>
      <w:contextualSpacing w:val="1"/>
    </w:pPr>
    <w:rPr>
      <w:rFonts w:asciiTheme="minorHAnsi" w:cstheme="minorBidi" w:eastAsiaTheme="minorEastAsia" w:hAnsiTheme="minorHAnsi"/>
      <w:lang w:eastAsia="en-US" w:val="en-US"/>
    </w:rPr>
  </w:style>
  <w:style w:type="character" w:styleId="elsevieritemreferenciahostrevistalink" w:customStyle="1">
    <w:name w:val="elsevieritemreferenciahostrevistalink"/>
    <w:basedOn w:val="Fuentedeprrafopredeter"/>
    <w:rsid w:val="00B13046"/>
  </w:style>
  <w:style w:type="character" w:styleId="nfasis">
    <w:name w:val="Emphasis"/>
    <w:basedOn w:val="Fuentedeprrafopredeter"/>
    <w:uiPriority w:val="20"/>
    <w:qFormat w:val="1"/>
    <w:rsid w:val="006A5D55"/>
    <w:rPr>
      <w:i w:val="1"/>
      <w:iCs w:val="1"/>
    </w:rPr>
  </w:style>
  <w:style w:type="table" w:styleId="Tablaconcuadrcula">
    <w:name w:val="Table Grid"/>
    <w:basedOn w:val="Tablanormal"/>
    <w:uiPriority w:val="59"/>
    <w:rsid w:val="00D16C08"/>
    <w:pPr>
      <w:spacing w:after="0" w:line="240" w:lineRule="auto"/>
    </w:pPr>
    <w:rPr>
      <w:rFonts w:asciiTheme="minorHAnsi" w:cstheme="minorBidi" w:eastAsiaTheme="minorEastAsia" w:hAnsiTheme="minorHAnsi"/>
      <w:lang w:eastAsia="en-US" w:val="en-US"/>
    </w:rPr>
    <w:tblPr>
      <w:tblInd w:w="0.0" w:type="nil"/>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chart" Target="charts/chart2.xml"/><Relationship Id="rId10" Type="http://schemas.openxmlformats.org/officeDocument/2006/relationships/image" Target="media/image1.png"/><Relationship Id="rId13" Type="http://schemas.openxmlformats.org/officeDocument/2006/relationships/image" Target="media/image7.png"/><Relationship Id="rId12" Type="http://schemas.openxmlformats.org/officeDocument/2006/relationships/chart" Target="charts/chart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15" Type="http://schemas.openxmlformats.org/officeDocument/2006/relationships/image" Target="media/image3.png"/><Relationship Id="rId14" Type="http://schemas.openxmlformats.org/officeDocument/2006/relationships/hyperlink" Target="http://dx.doi.org/10.1245/s10434-006-9187-5" TargetMode="External"/><Relationship Id="rId17" Type="http://schemas.openxmlformats.org/officeDocument/2006/relationships/image" Target="media/image6.png"/><Relationship Id="rId16" Type="http://schemas.openxmlformats.org/officeDocument/2006/relationships/image" Target="media/image2.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4.png"/><Relationship Id="rId8" Type="http://schemas.openxmlformats.org/officeDocument/2006/relationships/chart" Target="charts/chart1.xml"/></Relationships>
</file>

<file path=word/_rels/fontTable.xml.rels><?xml version="1.0" encoding="UTF-8" standalone="yes"?><Relationships xmlns="http://schemas.openxmlformats.org/package/2006/relationships"><Relationship Id="rId1" Type="http://schemas.openxmlformats.org/officeDocument/2006/relationships/font" Target="fonts/ArialNarrow-regular.ttf"/><Relationship Id="rId2" Type="http://schemas.openxmlformats.org/officeDocument/2006/relationships/font" Target="fonts/ArialNarrow-bold.ttf"/><Relationship Id="rId3" Type="http://schemas.openxmlformats.org/officeDocument/2006/relationships/font" Target="fonts/ArialNarrow-italic.ttf"/><Relationship Id="rId4" Type="http://schemas.openxmlformats.org/officeDocument/2006/relationships/font" Target="fonts/ArialNarrow-boldItalic.ttf"/></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solidFill>
            <a:schemeClr val="tx1"/>
          </a:solid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bar"/>
        <c:grouping val="clustered"/>
        <c:varyColors val="0"/>
        <c:ser>
          <c:idx val="0"/>
          <c:order val="0"/>
          <c:tx>
            <c:v>UNIDADES TRASFUNDIDAS </c:v>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Hoja1!$N$8:$N$10</c:f>
              <c:strCache>
                <c:ptCount val="3"/>
                <c:pt idx="0">
                  <c:v>1-2 UNIDADES</c:v>
                </c:pt>
                <c:pt idx="1">
                  <c:v>3-4 UNIDADES </c:v>
                </c:pt>
                <c:pt idx="2">
                  <c:v>&gt;5 UNIDADES </c:v>
                </c:pt>
              </c:strCache>
            </c:strRef>
          </c:cat>
          <c:val>
            <c:numRef>
              <c:f>Hoja1!$O$8:$O$10</c:f>
              <c:numCache>
                <c:formatCode>0.00%</c:formatCode>
                <c:ptCount val="3"/>
                <c:pt idx="0">
                  <c:v>0.25</c:v>
                </c:pt>
                <c:pt idx="1">
                  <c:v>0.111</c:v>
                </c:pt>
                <c:pt idx="2">
                  <c:v>0.63900000000000001</c:v>
                </c:pt>
              </c:numCache>
            </c:numRef>
          </c:val>
          <c:extLst>
            <c:ext xmlns:c16="http://schemas.microsoft.com/office/drawing/2014/chart" uri="{C3380CC4-5D6E-409C-BE32-E72D297353CC}">
              <c16:uniqueId val="{00000000-9A52-41E2-A9F2-65A1CFD815F3}"/>
            </c:ext>
          </c:extLst>
        </c:ser>
        <c:dLbls>
          <c:showLegendKey val="0"/>
          <c:showVal val="0"/>
          <c:showCatName val="0"/>
          <c:showSerName val="0"/>
          <c:showPercent val="0"/>
          <c:showBubbleSize val="0"/>
        </c:dLbls>
        <c:gapWidth val="150"/>
        <c:axId val="716304488"/>
        <c:axId val="716304848"/>
      </c:barChart>
      <c:catAx>
        <c:axId val="7163044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16304848"/>
        <c:crosses val="autoZero"/>
        <c:auto val="1"/>
        <c:lblAlgn val="ctr"/>
        <c:lblOffset val="100"/>
        <c:noMultiLvlLbl val="0"/>
      </c:catAx>
      <c:valAx>
        <c:axId val="71630484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16304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8100" cap="flat" cmpd="sng" algn="ctr">
      <a:solidFill>
        <a:schemeClr val="tx1">
          <a:lumMod val="95000"/>
          <a:lumOff val="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s-CO" sz="1400" b="1" dirty="0">
                <a:solidFill>
                  <a:schemeClr val="tx1"/>
                </a:solidFill>
              </a:rPr>
              <a:t>Comparación</a:t>
            </a:r>
            <a:r>
              <a:rPr lang="es-CO" sz="1400" b="1" baseline="0" dirty="0">
                <a:solidFill>
                  <a:schemeClr val="tx1"/>
                </a:solidFill>
              </a:rPr>
              <a:t> de Resultados entre los 2 grupos</a:t>
            </a:r>
            <a:endParaRPr lang="es-CO" sz="1400" b="1" dirty="0">
              <a:solidFill>
                <a:schemeClr val="tx1"/>
              </a:solidFill>
            </a:endParaRP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CO"/>
        </a:p>
      </c:txPr>
    </c:title>
    <c:autoTitleDeleted val="0"/>
    <c:plotArea>
      <c:layout/>
      <c:barChart>
        <c:barDir val="col"/>
        <c:grouping val="clustered"/>
        <c:varyColors val="0"/>
        <c:ser>
          <c:idx val="0"/>
          <c:order val="0"/>
          <c:tx>
            <c:v>Grupo control n 44    Grupo prehabilitacion n 10</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Hoja1!$U$20:$U$23</c:f>
              <c:strCache>
                <c:ptCount val="4"/>
                <c:pt idx="0">
                  <c:v>Morbilidad Clavien-Dindo ≥ III</c:v>
                </c:pt>
                <c:pt idx="1">
                  <c:v>Mortalidad a 30 días</c:v>
                </c:pt>
                <c:pt idx="2">
                  <c:v>Reintervención quirúrgica</c:v>
                </c:pt>
                <c:pt idx="3">
                  <c:v>Eventos Adversos</c:v>
                </c:pt>
              </c:strCache>
            </c:strRef>
          </c:cat>
          <c:val>
            <c:numRef>
              <c:f>Hoja1!$V$20:$V$23</c:f>
              <c:numCache>
                <c:formatCode>0.00%</c:formatCode>
                <c:ptCount val="4"/>
                <c:pt idx="0">
                  <c:v>0.29499999999999998</c:v>
                </c:pt>
                <c:pt idx="1">
                  <c:v>0.20499999999999999</c:v>
                </c:pt>
                <c:pt idx="2">
                  <c:v>0.318</c:v>
                </c:pt>
                <c:pt idx="3">
                  <c:v>6.8000000000000005E-2</c:v>
                </c:pt>
              </c:numCache>
            </c:numRef>
          </c:val>
          <c:extLst>
            <c:ext xmlns:c16="http://schemas.microsoft.com/office/drawing/2014/chart" uri="{C3380CC4-5D6E-409C-BE32-E72D297353CC}">
              <c16:uniqueId val="{00000000-8AB8-4FBF-9EBE-A3E39C92CE7B}"/>
            </c:ext>
          </c:extLst>
        </c:ser>
        <c:ser>
          <c:idx val="1"/>
          <c:order val="1"/>
          <c:tx>
            <c:strRef>
              <c:f>Hoja1!$W$19</c:f>
              <c:strCache>
                <c:ptCount val="1"/>
                <c:pt idx="0">
                  <c:v>PREHABILITACION n=10</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Hoja1!$U$20:$U$23</c:f>
              <c:strCache>
                <c:ptCount val="4"/>
                <c:pt idx="0">
                  <c:v>Morbilidad Clavien-Dindo ≥ III</c:v>
                </c:pt>
                <c:pt idx="1">
                  <c:v>Mortalidad a 30 días</c:v>
                </c:pt>
                <c:pt idx="2">
                  <c:v>Reintervención quirúrgica</c:v>
                </c:pt>
                <c:pt idx="3">
                  <c:v>Eventos Adversos</c:v>
                </c:pt>
              </c:strCache>
            </c:strRef>
          </c:cat>
          <c:val>
            <c:numRef>
              <c:f>Hoja1!$W$20:$W$23</c:f>
              <c:numCache>
                <c:formatCode>0%</c:formatCode>
                <c:ptCount val="4"/>
                <c:pt idx="0">
                  <c:v>0.2</c:v>
                </c:pt>
                <c:pt idx="1">
                  <c:v>0.1</c:v>
                </c:pt>
                <c:pt idx="2">
                  <c:v>0.1</c:v>
                </c:pt>
                <c:pt idx="3">
                  <c:v>0</c:v>
                </c:pt>
              </c:numCache>
            </c:numRef>
          </c:val>
          <c:extLst>
            <c:ext xmlns:c16="http://schemas.microsoft.com/office/drawing/2014/chart" uri="{C3380CC4-5D6E-409C-BE32-E72D297353CC}">
              <c16:uniqueId val="{00000001-8AB8-4FBF-9EBE-A3E39C92CE7B}"/>
            </c:ext>
          </c:extLst>
        </c:ser>
        <c:dLbls>
          <c:dLblPos val="outEnd"/>
          <c:showLegendKey val="0"/>
          <c:showVal val="1"/>
          <c:showCatName val="0"/>
          <c:showSerName val="0"/>
          <c:showPercent val="0"/>
          <c:showBubbleSize val="0"/>
        </c:dLbls>
        <c:gapWidth val="267"/>
        <c:overlap val="-43"/>
        <c:axId val="720844088"/>
        <c:axId val="720844808"/>
      </c:barChart>
      <c:catAx>
        <c:axId val="72084408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O"/>
          </a:p>
        </c:txPr>
        <c:crossAx val="720844808"/>
        <c:crosses val="autoZero"/>
        <c:auto val="1"/>
        <c:lblAlgn val="ctr"/>
        <c:lblOffset val="100"/>
        <c:noMultiLvlLbl val="0"/>
      </c:catAx>
      <c:valAx>
        <c:axId val="720844808"/>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crossAx val="720844088"/>
        <c:crosses val="autoZero"/>
        <c:crossBetween val="between"/>
      </c:valAx>
      <c:dTable>
        <c:showHorzBorder val="1"/>
        <c:showVertBorder val="1"/>
        <c:showOutline val="1"/>
        <c:showKeys val="1"/>
        <c:spPr>
          <a:noFill/>
          <a:ln w="9525" cap="flat" cmpd="sng" algn="ctr">
            <a:solidFill>
              <a:schemeClr val="tx1"/>
            </a:solidFill>
            <a:round/>
          </a:ln>
          <a:effectLst/>
        </c:spPr>
        <c:txPr>
          <a:bodyPr rot="0" spcFirstLastPara="1" vertOverflow="ellipsis" vert="horz" wrap="square" anchor="ctr" anchorCtr="1"/>
          <a:lstStyle/>
          <a:p>
            <a:pPr rtl="0">
              <a:defRPr sz="800" b="0" i="0" u="none" strike="noStrike" kern="1200" baseline="0">
                <a:solidFill>
                  <a:schemeClr val="dk1">
                    <a:lumMod val="65000"/>
                    <a:lumOff val="35000"/>
                  </a:schemeClr>
                </a:solidFill>
                <a:latin typeface="+mn-lt"/>
                <a:ea typeface="+mn-ea"/>
                <a:cs typeface="+mn-cs"/>
              </a:defRPr>
            </a:pPr>
            <a:endParaRPr lang="es-CO"/>
          </a:p>
        </c:txPr>
      </c:dTable>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38100" cap="flat" cmpd="sng" algn="ctr">
      <a:solidFill>
        <a:schemeClr val="tx1"/>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s-CO" dirty="0">
                <a:solidFill>
                  <a:schemeClr val="tx1"/>
                </a:solidFill>
              </a:rPr>
              <a:t>Días de Hospitalización</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CO"/>
        </a:p>
      </c:txPr>
    </c:title>
    <c:autoTitleDeleted val="0"/>
    <c:plotArea>
      <c:layout/>
      <c:barChart>
        <c:barDir val="col"/>
        <c:grouping val="clustered"/>
        <c:varyColors val="0"/>
        <c:ser>
          <c:idx val="0"/>
          <c:order val="0"/>
          <c:tx>
            <c:strRef>
              <c:f>Hoja1!$U$28</c:f>
              <c:strCache>
                <c:ptCount val="1"/>
                <c:pt idx="0">
                  <c:v>Estancia hospitalaria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Hoja1!$V$27:$W$27</c:f>
              <c:strCache>
                <c:ptCount val="2"/>
                <c:pt idx="0">
                  <c:v>CONTROL n=44</c:v>
                </c:pt>
                <c:pt idx="1">
                  <c:v>PREHABILITACION n=10</c:v>
                </c:pt>
              </c:strCache>
            </c:strRef>
          </c:cat>
          <c:val>
            <c:numRef>
              <c:f>Hoja1!$V$28:$W$28</c:f>
              <c:numCache>
                <c:formatCode>General</c:formatCode>
                <c:ptCount val="2"/>
                <c:pt idx="0">
                  <c:v>25</c:v>
                </c:pt>
                <c:pt idx="1">
                  <c:v>11.8</c:v>
                </c:pt>
              </c:numCache>
            </c:numRef>
          </c:val>
          <c:extLst>
            <c:ext xmlns:c16="http://schemas.microsoft.com/office/drawing/2014/chart" uri="{C3380CC4-5D6E-409C-BE32-E72D297353CC}">
              <c16:uniqueId val="{00000000-2AEF-46A4-A335-A3ECB3105E1E}"/>
            </c:ext>
          </c:extLst>
        </c:ser>
        <c:ser>
          <c:idx val="1"/>
          <c:order val="1"/>
          <c:tx>
            <c:strRef>
              <c:f>Hoja1!$U$29</c:f>
              <c:strCache>
                <c:ptCount val="1"/>
                <c:pt idx="0">
                  <c:v>Estancia en UCI</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Hoja1!$V$27:$W$27</c:f>
              <c:strCache>
                <c:ptCount val="2"/>
                <c:pt idx="0">
                  <c:v>CONTROL n=44</c:v>
                </c:pt>
                <c:pt idx="1">
                  <c:v>PREHABILITACION n=10</c:v>
                </c:pt>
              </c:strCache>
            </c:strRef>
          </c:cat>
          <c:val>
            <c:numRef>
              <c:f>Hoja1!$V$29:$W$29</c:f>
              <c:numCache>
                <c:formatCode>General</c:formatCode>
                <c:ptCount val="2"/>
                <c:pt idx="0">
                  <c:v>8.5</c:v>
                </c:pt>
                <c:pt idx="1">
                  <c:v>5.6</c:v>
                </c:pt>
              </c:numCache>
            </c:numRef>
          </c:val>
          <c:extLst>
            <c:ext xmlns:c16="http://schemas.microsoft.com/office/drawing/2014/chart" uri="{C3380CC4-5D6E-409C-BE32-E72D297353CC}">
              <c16:uniqueId val="{00000001-2AEF-46A4-A335-A3ECB3105E1E}"/>
            </c:ext>
          </c:extLst>
        </c:ser>
        <c:dLbls>
          <c:dLblPos val="outEnd"/>
          <c:showLegendKey val="0"/>
          <c:showVal val="1"/>
          <c:showCatName val="0"/>
          <c:showSerName val="0"/>
          <c:showPercent val="0"/>
          <c:showBubbleSize val="0"/>
        </c:dLbls>
        <c:gapWidth val="267"/>
        <c:overlap val="-43"/>
        <c:axId val="622501432"/>
        <c:axId val="622501792"/>
      </c:barChart>
      <c:catAx>
        <c:axId val="62250143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O"/>
          </a:p>
        </c:txPr>
        <c:crossAx val="622501792"/>
        <c:crosses val="autoZero"/>
        <c:auto val="1"/>
        <c:lblAlgn val="ctr"/>
        <c:lblOffset val="100"/>
        <c:noMultiLvlLbl val="0"/>
      </c:catAx>
      <c:valAx>
        <c:axId val="62250179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crossAx val="622501432"/>
        <c:crosses val="autoZero"/>
        <c:crossBetween val="between"/>
      </c:val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dk1">
                    <a:lumMod val="65000"/>
                    <a:lumOff val="35000"/>
                  </a:schemeClr>
                </a:solidFill>
                <a:latin typeface="+mn-lt"/>
                <a:ea typeface="+mn-ea"/>
                <a:cs typeface="+mn-cs"/>
              </a:defRPr>
            </a:pPr>
            <a:endParaRPr lang="es-CO"/>
          </a:p>
        </c:txPr>
      </c:dTable>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38100" cap="flat" cmpd="sng" algn="ctr">
      <a:solidFill>
        <a:schemeClr val="tx1"/>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nAliA+55KLjWI5wx402R8Lq2KA==">CgMxLjAyDmgucXZuanZhb3ZqcTI3OAByITFsVUlXWkN6cGE3OTg5R2JXQ1pmM3RYSkNaWXByclo4Vw==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2025-05-31T02:27:00Z</dcterms:created>
  <dc:creator>PC HP</dc:creator>
</cp:coreProperties>
</file>