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71F5C8" w14:textId="77777777" w:rsidR="00833EC6" w:rsidRPr="00E507F3" w:rsidRDefault="00833EC6" w:rsidP="00833EC6">
      <w:pPr>
        <w:spacing w:line="240" w:lineRule="auto"/>
        <w:jc w:val="center"/>
        <w:rPr>
          <w:rFonts w:ascii="Times New Roman" w:eastAsia="Times New Roman" w:hAnsi="Times New Roman" w:cs="Times New Roman"/>
          <w:color w:val="000000"/>
          <w:kern w:val="0"/>
          <w14:ligatures w14:val="none"/>
        </w:rPr>
      </w:pPr>
      <w:r>
        <w:rPr>
          <w:rFonts w:ascii="Arial" w:eastAsia="Times New Roman" w:hAnsi="Arial" w:cs="Arial"/>
          <w:b/>
          <w:bCs/>
          <w:color w:val="000000"/>
          <w:kern w:val="0"/>
          <w14:ligatures w14:val="none"/>
        </w:rPr>
        <w:t>Factores asociados a recaida tumoral en</w:t>
      </w:r>
      <w:r w:rsidRPr="00E507F3">
        <w:rPr>
          <w:rFonts w:ascii="Arial" w:eastAsia="Times New Roman" w:hAnsi="Arial" w:cs="Arial"/>
          <w:b/>
          <w:bCs/>
          <w:color w:val="000000"/>
          <w:kern w:val="0"/>
          <w14:ligatures w14:val="none"/>
        </w:rPr>
        <w:t xml:space="preserve"> pacientes con cáncer de mama en un </w:t>
      </w:r>
      <w:r>
        <w:rPr>
          <w:rFonts w:ascii="Arial" w:eastAsia="Times New Roman" w:hAnsi="Arial" w:cs="Arial"/>
          <w:b/>
          <w:bCs/>
          <w:color w:val="000000"/>
          <w:kern w:val="0"/>
          <w14:ligatures w14:val="none"/>
        </w:rPr>
        <w:t xml:space="preserve">centro oncológico de un país latinoamericano. </w:t>
      </w:r>
    </w:p>
    <w:p w14:paraId="3DEEED92" w14:textId="77777777" w:rsidR="00833EC6" w:rsidRPr="00E507F3" w:rsidRDefault="00833EC6" w:rsidP="00833EC6">
      <w:pPr>
        <w:spacing w:after="0" w:line="240" w:lineRule="auto"/>
        <w:rPr>
          <w:rFonts w:ascii="Times New Roman" w:eastAsia="Times New Roman" w:hAnsi="Times New Roman" w:cs="Times New Roman"/>
          <w:color w:val="000000"/>
          <w:kern w:val="0"/>
          <w14:ligatures w14:val="none"/>
        </w:rPr>
      </w:pPr>
    </w:p>
    <w:p w14:paraId="121CD3CE" w14:textId="77777777" w:rsidR="00833EC6" w:rsidRDefault="00833EC6" w:rsidP="00833EC6">
      <w:pPr>
        <w:spacing w:after="0" w:line="240" w:lineRule="auto"/>
        <w:jc w:val="both"/>
        <w:rPr>
          <w:rFonts w:ascii="Arial" w:eastAsia="Times New Roman" w:hAnsi="Arial" w:cs="Arial"/>
          <w:b/>
          <w:bCs/>
          <w:color w:val="000000"/>
          <w:kern w:val="0"/>
          <w:sz w:val="22"/>
          <w:szCs w:val="22"/>
          <w14:ligatures w14:val="none"/>
        </w:rPr>
      </w:pPr>
      <w:r w:rsidRPr="00E507F3">
        <w:rPr>
          <w:rFonts w:ascii="Arial" w:eastAsia="Times New Roman" w:hAnsi="Arial" w:cs="Arial"/>
          <w:b/>
          <w:bCs/>
          <w:color w:val="000000"/>
          <w:kern w:val="0"/>
          <w:sz w:val="22"/>
          <w:szCs w:val="22"/>
          <w14:ligatures w14:val="none"/>
        </w:rPr>
        <w:t>RESUMEN</w:t>
      </w:r>
    </w:p>
    <w:p w14:paraId="76F65089" w14:textId="77777777" w:rsidR="00833EC6" w:rsidRPr="00E507F3" w:rsidRDefault="00833EC6" w:rsidP="00833EC6">
      <w:pPr>
        <w:spacing w:after="0" w:line="240" w:lineRule="auto"/>
        <w:jc w:val="both"/>
        <w:rPr>
          <w:rFonts w:ascii="Times New Roman" w:eastAsia="Times New Roman" w:hAnsi="Times New Roman" w:cs="Times New Roman"/>
          <w:color w:val="000000"/>
          <w:kern w:val="0"/>
          <w14:ligatures w14:val="none"/>
        </w:rPr>
      </w:pPr>
    </w:p>
    <w:p w14:paraId="627C9BA4" w14:textId="77777777" w:rsidR="00833EC6" w:rsidRDefault="00833EC6" w:rsidP="00833EC6">
      <w:pPr>
        <w:spacing w:after="0" w:line="240" w:lineRule="auto"/>
        <w:jc w:val="both"/>
        <w:rPr>
          <w:rFonts w:ascii="Arial" w:eastAsia="Times New Roman" w:hAnsi="Arial" w:cs="Arial"/>
          <w:color w:val="000000" w:themeColor="text1"/>
          <w:kern w:val="0"/>
          <w:sz w:val="22"/>
          <w:szCs w:val="22"/>
          <w14:ligatures w14:val="none"/>
        </w:rPr>
      </w:pPr>
      <w:r w:rsidRPr="00E507F3">
        <w:rPr>
          <w:rFonts w:ascii="Arial" w:eastAsia="Times New Roman" w:hAnsi="Arial" w:cs="Arial"/>
          <w:b/>
          <w:bCs/>
          <w:color w:val="000000"/>
          <w:kern w:val="0"/>
          <w:sz w:val="22"/>
          <w:szCs w:val="22"/>
          <w14:ligatures w14:val="none"/>
        </w:rPr>
        <w:t xml:space="preserve">Introducción: </w:t>
      </w:r>
      <w:r w:rsidRPr="005C02E9">
        <w:rPr>
          <w:rFonts w:ascii="Arial" w:eastAsia="Times New Roman" w:hAnsi="Arial" w:cs="Arial"/>
          <w:color w:val="000000" w:themeColor="text1"/>
          <w:kern w:val="0"/>
          <w:sz w:val="22"/>
          <w:szCs w:val="22"/>
          <w14:ligatures w14:val="none"/>
        </w:rPr>
        <w:t>Aproximadamente un tercio de las pacientes con cáncer de mama temprano pueden experimentar  recaída de la enfermedad después de haber completado el tratamiento inicial con intención curativa</w:t>
      </w:r>
      <w:r>
        <w:rPr>
          <w:rFonts w:ascii="Arial" w:eastAsia="Times New Roman" w:hAnsi="Arial" w:cs="Arial"/>
          <w:color w:val="000000" w:themeColor="text1"/>
          <w:kern w:val="0"/>
          <w:sz w:val="22"/>
          <w:szCs w:val="22"/>
          <w14:ligatures w14:val="none"/>
        </w:rPr>
        <w:t xml:space="preserve">. </w:t>
      </w:r>
      <w:r w:rsidRPr="005C02E9">
        <w:rPr>
          <w:rFonts w:ascii="Arial" w:eastAsia="Times New Roman" w:hAnsi="Arial" w:cs="Arial"/>
          <w:color w:val="000000" w:themeColor="text1"/>
          <w:kern w:val="0"/>
          <w:sz w:val="22"/>
          <w:szCs w:val="22"/>
          <w14:ligatures w14:val="none"/>
        </w:rPr>
        <w:t>Las pacientes  con enfermedad  localmente avanzada, tienen una probabilidad de recaída por encima del 50%</w:t>
      </w:r>
      <w:r>
        <w:rPr>
          <w:rFonts w:ascii="Arial" w:eastAsia="Times New Roman" w:hAnsi="Arial" w:cs="Arial"/>
          <w:color w:val="000000" w:themeColor="text1"/>
          <w:kern w:val="0"/>
          <w:sz w:val="22"/>
          <w:szCs w:val="22"/>
          <w14:ligatures w14:val="none"/>
        </w:rPr>
        <w:t>.</w:t>
      </w:r>
    </w:p>
    <w:p w14:paraId="616BD6CA" w14:textId="77777777" w:rsidR="00833EC6" w:rsidRDefault="00833EC6" w:rsidP="00833EC6">
      <w:pPr>
        <w:spacing w:after="0" w:line="240" w:lineRule="auto"/>
        <w:jc w:val="both"/>
        <w:rPr>
          <w:rFonts w:ascii="Arial" w:eastAsia="Times New Roman" w:hAnsi="Arial" w:cs="Arial"/>
          <w:color w:val="000000" w:themeColor="text1"/>
          <w:kern w:val="0"/>
          <w:sz w:val="22"/>
          <w:szCs w:val="22"/>
          <w14:ligatures w14:val="none"/>
        </w:rPr>
      </w:pPr>
    </w:p>
    <w:p w14:paraId="011BF906" w14:textId="77777777" w:rsidR="00833EC6" w:rsidRDefault="00833EC6" w:rsidP="00833EC6">
      <w:pPr>
        <w:spacing w:after="0" w:line="240" w:lineRule="auto"/>
        <w:jc w:val="both"/>
        <w:rPr>
          <w:rFonts w:ascii="Arial" w:eastAsia="Times New Roman" w:hAnsi="Arial" w:cs="Arial"/>
          <w:color w:val="000000"/>
          <w:kern w:val="0"/>
          <w:sz w:val="22"/>
          <w:szCs w:val="22"/>
          <w14:ligatures w14:val="none"/>
        </w:rPr>
      </w:pPr>
      <w:r w:rsidRPr="00E507F3">
        <w:rPr>
          <w:rFonts w:ascii="Arial" w:eastAsia="Times New Roman" w:hAnsi="Arial" w:cs="Arial"/>
          <w:b/>
          <w:bCs/>
          <w:color w:val="000000"/>
          <w:kern w:val="0"/>
          <w:sz w:val="22"/>
          <w:szCs w:val="22"/>
          <w14:ligatures w14:val="none"/>
        </w:rPr>
        <w:t xml:space="preserve">Metodología: </w:t>
      </w:r>
      <w:r w:rsidRPr="00E507F3">
        <w:rPr>
          <w:rFonts w:ascii="Arial" w:eastAsia="Times New Roman" w:hAnsi="Arial" w:cs="Arial"/>
          <w:color w:val="000000"/>
          <w:kern w:val="0"/>
          <w:sz w:val="22"/>
          <w:szCs w:val="22"/>
          <w14:ligatures w14:val="none"/>
        </w:rPr>
        <w:t>Estudio observacional de tipo cohorte retrospectiva, descriptivo y analítico, que incluyó 833 pacientes con cáncer de mama en estadios clínicos I–III, tratadas entre 2013 y 2019 en el Instituto Nacional de Cancerología (INC) de Colombia. </w:t>
      </w:r>
    </w:p>
    <w:p w14:paraId="292D1567" w14:textId="77777777" w:rsidR="00833EC6" w:rsidRDefault="00833EC6" w:rsidP="00833EC6">
      <w:pPr>
        <w:pStyle w:val="NormalWeb"/>
        <w:spacing w:before="0" w:beforeAutospacing="0" w:after="0" w:afterAutospacing="0"/>
        <w:jc w:val="both"/>
        <w:textAlignment w:val="baseline"/>
        <w:rPr>
          <w:rFonts w:ascii="Arial" w:hAnsi="Arial" w:cs="Arial"/>
          <w:b/>
          <w:bCs/>
          <w:color w:val="000000"/>
          <w:sz w:val="22"/>
          <w:szCs w:val="22"/>
        </w:rPr>
      </w:pPr>
    </w:p>
    <w:p w14:paraId="419AC911" w14:textId="77777777" w:rsidR="00833EC6" w:rsidRPr="004E794C" w:rsidRDefault="00833EC6" w:rsidP="00833EC6">
      <w:pPr>
        <w:pStyle w:val="NormalWeb"/>
        <w:spacing w:before="0" w:beforeAutospacing="0" w:after="0" w:afterAutospacing="0"/>
        <w:jc w:val="both"/>
        <w:textAlignment w:val="baseline"/>
        <w:rPr>
          <w:rFonts w:ascii="Arial" w:hAnsi="Arial" w:cs="Arial"/>
          <w:color w:val="000000" w:themeColor="text1"/>
          <w:sz w:val="22"/>
          <w:szCs w:val="22"/>
        </w:rPr>
      </w:pPr>
      <w:r w:rsidRPr="00C05E5D">
        <w:rPr>
          <w:rFonts w:ascii="Arial" w:hAnsi="Arial" w:cs="Arial"/>
          <w:b/>
          <w:bCs/>
          <w:color w:val="000000"/>
          <w:sz w:val="22"/>
          <w:szCs w:val="22"/>
        </w:rPr>
        <w:t>Resultados: </w:t>
      </w:r>
      <w:r w:rsidRPr="00C05E5D">
        <w:rPr>
          <w:rFonts w:ascii="Arial" w:hAnsi="Arial" w:cs="Arial"/>
          <w:color w:val="000000" w:themeColor="text1"/>
          <w:sz w:val="22"/>
          <w:szCs w:val="22"/>
        </w:rPr>
        <w:t>El 22,9% de las pacientes de esta cohorte presentó recaida de la enfermedad a 5 años de seguimiento. La recaída a distancia </w:t>
      </w:r>
      <w:r>
        <w:rPr>
          <w:rFonts w:ascii="Arial" w:hAnsi="Arial" w:cs="Arial"/>
          <w:color w:val="000000" w:themeColor="text1"/>
          <w:sz w:val="22"/>
          <w:szCs w:val="22"/>
        </w:rPr>
        <w:t>se presentó en el</w:t>
      </w:r>
      <w:r w:rsidRPr="00C05E5D">
        <w:rPr>
          <w:rFonts w:ascii="Arial" w:hAnsi="Arial" w:cs="Arial"/>
          <w:color w:val="000000" w:themeColor="text1"/>
          <w:sz w:val="22"/>
          <w:szCs w:val="22"/>
        </w:rPr>
        <w:t xml:space="preserve"> 57% </w:t>
      </w:r>
      <w:r>
        <w:rPr>
          <w:rFonts w:ascii="Arial" w:hAnsi="Arial" w:cs="Arial"/>
          <w:color w:val="000000" w:themeColor="text1"/>
          <w:sz w:val="22"/>
          <w:szCs w:val="22"/>
        </w:rPr>
        <w:t xml:space="preserve">de los casos. </w:t>
      </w:r>
      <w:r w:rsidRPr="00C05E5D">
        <w:rPr>
          <w:rFonts w:ascii="Arial" w:hAnsi="Arial" w:cs="Arial"/>
          <w:color w:val="000000" w:themeColor="text1"/>
          <w:sz w:val="22"/>
          <w:szCs w:val="22"/>
        </w:rPr>
        <w:t xml:space="preserve">En el analisis multivariado </w:t>
      </w:r>
      <w:r>
        <w:rPr>
          <w:rFonts w:ascii="Arial" w:hAnsi="Arial" w:cs="Arial"/>
          <w:color w:val="000000" w:themeColor="text1"/>
          <w:sz w:val="22"/>
          <w:szCs w:val="22"/>
        </w:rPr>
        <w:t xml:space="preserve">los factores pronósticos asociados </w:t>
      </w:r>
      <w:r w:rsidRPr="00C05E5D">
        <w:rPr>
          <w:rFonts w:ascii="Arial" w:hAnsi="Arial" w:cs="Arial"/>
          <w:color w:val="000000" w:themeColor="text1"/>
          <w:sz w:val="22"/>
          <w:szCs w:val="22"/>
        </w:rPr>
        <w:t xml:space="preserve">con mayor </w:t>
      </w:r>
      <w:r>
        <w:rPr>
          <w:rFonts w:ascii="Arial" w:hAnsi="Arial" w:cs="Arial"/>
          <w:color w:val="000000" w:themeColor="text1"/>
          <w:sz w:val="22"/>
          <w:szCs w:val="22"/>
        </w:rPr>
        <w:t>riesgo de recaida fueron e</w:t>
      </w:r>
      <w:r w:rsidRPr="004E794C">
        <w:rPr>
          <w:rFonts w:ascii="Arial" w:hAnsi="Arial" w:cs="Arial"/>
          <w:color w:val="000000" w:themeColor="text1"/>
          <w:sz w:val="22"/>
          <w:szCs w:val="22"/>
        </w:rPr>
        <w:t xml:space="preserve">l estadio </w:t>
      </w:r>
      <w:r>
        <w:rPr>
          <w:rFonts w:ascii="Arial" w:hAnsi="Arial" w:cs="Arial"/>
          <w:color w:val="000000" w:themeColor="text1"/>
          <w:sz w:val="22"/>
          <w:szCs w:val="22"/>
        </w:rPr>
        <w:t xml:space="preserve">III </w:t>
      </w:r>
      <w:r w:rsidRPr="009839C4">
        <w:rPr>
          <w:rFonts w:ascii="Arial" w:hAnsi="Arial" w:cs="Arial"/>
          <w:color w:val="000000" w:themeColor="text1"/>
          <w:sz w:val="22"/>
          <w:szCs w:val="22"/>
        </w:rPr>
        <w:t xml:space="preserve">(p 0.16) </w:t>
      </w:r>
      <w:r w:rsidRPr="004E794C">
        <w:rPr>
          <w:rFonts w:ascii="Arial" w:hAnsi="Arial" w:cs="Arial"/>
          <w:color w:val="000000" w:themeColor="text1"/>
          <w:sz w:val="22"/>
          <w:szCs w:val="22"/>
        </w:rPr>
        <w:t>el compromiso ganglionar axilar</w:t>
      </w:r>
      <w:r>
        <w:rPr>
          <w:rFonts w:ascii="Arial" w:hAnsi="Arial" w:cs="Arial"/>
          <w:color w:val="000000" w:themeColor="text1"/>
          <w:sz w:val="22"/>
          <w:szCs w:val="22"/>
        </w:rPr>
        <w:t xml:space="preserve"> extenso (&gt; 3 ganglios) (</w:t>
      </w:r>
      <w:r w:rsidRPr="009839C4">
        <w:rPr>
          <w:rFonts w:ascii="Arial" w:hAnsi="Arial" w:cs="Arial"/>
          <w:color w:val="000000" w:themeColor="text1"/>
          <w:sz w:val="22"/>
          <w:szCs w:val="22"/>
        </w:rPr>
        <w:t>p&lt;0.01), tumores L</w:t>
      </w:r>
      <w:r w:rsidRPr="004E794C">
        <w:rPr>
          <w:rFonts w:ascii="Arial" w:hAnsi="Arial" w:cs="Arial"/>
          <w:color w:val="000000" w:themeColor="text1"/>
          <w:sz w:val="22"/>
          <w:szCs w:val="22"/>
        </w:rPr>
        <w:t>uminal B y triple negativo</w:t>
      </w:r>
      <w:r>
        <w:rPr>
          <w:rFonts w:ascii="Arial" w:hAnsi="Arial" w:cs="Arial"/>
          <w:color w:val="000000" w:themeColor="text1"/>
          <w:sz w:val="22"/>
          <w:szCs w:val="22"/>
        </w:rPr>
        <w:t xml:space="preserve"> </w:t>
      </w:r>
      <w:r w:rsidRPr="009839C4">
        <w:rPr>
          <w:rFonts w:ascii="Arial" w:hAnsi="Arial" w:cs="Arial"/>
          <w:color w:val="000000" w:themeColor="text1"/>
          <w:sz w:val="22"/>
          <w:szCs w:val="22"/>
        </w:rPr>
        <w:t xml:space="preserve">(p&lt;0.01), </w:t>
      </w:r>
      <w:r w:rsidRPr="004E794C">
        <w:rPr>
          <w:rFonts w:ascii="Arial" w:hAnsi="Arial" w:cs="Arial"/>
          <w:color w:val="000000" w:themeColor="text1"/>
          <w:sz w:val="22"/>
          <w:szCs w:val="22"/>
        </w:rPr>
        <w:t xml:space="preserve"> tamaño tumoral &gt; 5 cm</w:t>
      </w:r>
      <w:r>
        <w:rPr>
          <w:rFonts w:ascii="Arial" w:hAnsi="Arial" w:cs="Arial"/>
          <w:color w:val="000000" w:themeColor="text1"/>
          <w:sz w:val="22"/>
          <w:szCs w:val="22"/>
        </w:rPr>
        <w:t xml:space="preserve"> </w:t>
      </w:r>
      <w:r w:rsidRPr="009839C4">
        <w:rPr>
          <w:rFonts w:ascii="Arial" w:hAnsi="Arial" w:cs="Arial"/>
          <w:color w:val="000000" w:themeColor="text1"/>
          <w:sz w:val="22"/>
          <w:szCs w:val="22"/>
        </w:rPr>
        <w:t>(p&lt;0.01)</w:t>
      </w:r>
      <w:r w:rsidRPr="004E794C">
        <w:rPr>
          <w:rFonts w:ascii="Arial" w:hAnsi="Arial" w:cs="Arial"/>
          <w:color w:val="000000" w:themeColor="text1"/>
          <w:sz w:val="22"/>
          <w:szCs w:val="22"/>
        </w:rPr>
        <w:t xml:space="preserve"> y márgenes positivos</w:t>
      </w:r>
      <w:r>
        <w:rPr>
          <w:rFonts w:ascii="Arial" w:hAnsi="Arial" w:cs="Arial"/>
          <w:color w:val="000000" w:themeColor="text1"/>
          <w:sz w:val="22"/>
          <w:szCs w:val="22"/>
        </w:rPr>
        <w:t xml:space="preserve"> </w:t>
      </w:r>
      <w:r w:rsidRPr="009839C4">
        <w:rPr>
          <w:rFonts w:ascii="Arial" w:hAnsi="Arial" w:cs="Arial"/>
          <w:color w:val="000000" w:themeColor="text1"/>
          <w:sz w:val="22"/>
          <w:szCs w:val="22"/>
        </w:rPr>
        <w:t>(p&lt;0.01).</w:t>
      </w:r>
      <w:r>
        <w:rPr>
          <w:rFonts w:ascii="Arial" w:hAnsi="Arial" w:cs="Arial"/>
          <w:color w:val="000000" w:themeColor="text1"/>
          <w:sz w:val="22"/>
          <w:szCs w:val="22"/>
        </w:rPr>
        <w:t xml:space="preserve"> </w:t>
      </w:r>
    </w:p>
    <w:p w14:paraId="6A205C70" w14:textId="77777777" w:rsidR="00833EC6" w:rsidRPr="004E794C" w:rsidRDefault="00833EC6" w:rsidP="00833EC6">
      <w:pPr>
        <w:pStyle w:val="NormalWeb"/>
        <w:spacing w:after="0" w:afterAutospacing="0"/>
        <w:jc w:val="both"/>
        <w:rPr>
          <w:rFonts w:ascii="Arial" w:hAnsi="Arial" w:cs="Arial"/>
          <w:color w:val="000000" w:themeColor="text1"/>
          <w:sz w:val="22"/>
          <w:szCs w:val="22"/>
        </w:rPr>
      </w:pPr>
      <w:r w:rsidRPr="00E507F3">
        <w:rPr>
          <w:rFonts w:ascii="Arial" w:hAnsi="Arial" w:cs="Arial"/>
          <w:b/>
          <w:bCs/>
          <w:color w:val="000000"/>
          <w:sz w:val="22"/>
          <w:szCs w:val="22"/>
        </w:rPr>
        <w:t>Conclusión: </w:t>
      </w:r>
      <w:r w:rsidRPr="00C05E5D">
        <w:rPr>
          <w:rFonts w:ascii="Arial" w:hAnsi="Arial" w:cs="Arial"/>
          <w:color w:val="000000" w:themeColor="text1"/>
          <w:sz w:val="22"/>
          <w:szCs w:val="22"/>
        </w:rPr>
        <w:t>En esta cohorte de pacientes con cáncer de mama en estadios I–III, aproximadamente una cuarta parte desarrolló recaída tumoral durante el seguimiento, siendo la recaída a distancia el patrón predominante. La recurrencia se asoció de manera consistente con el estadio clínico avanzado, tumores luminal B HER2- y triple negativo, compromiso ganglionar extenso (&gt; 3 ganglios), invasión linfovascular, alto grado histológico y mayor carga tumoral residual, lo que confirma la influencia combinada de la biología tumoral y la extensión inicial de la enfermedad sobre el pronóstico oncológico.</w:t>
      </w:r>
    </w:p>
    <w:p w14:paraId="76873350" w14:textId="77777777" w:rsidR="00833EC6" w:rsidRDefault="00833EC6" w:rsidP="00833EC6">
      <w:pPr>
        <w:spacing w:after="0" w:line="240" w:lineRule="auto"/>
        <w:jc w:val="both"/>
        <w:rPr>
          <w:rFonts w:ascii="Arial" w:eastAsia="Times New Roman" w:hAnsi="Arial" w:cs="Arial"/>
          <w:b/>
          <w:bCs/>
          <w:color w:val="000000"/>
          <w:kern w:val="0"/>
          <w:sz w:val="22"/>
          <w:szCs w:val="22"/>
          <w14:ligatures w14:val="none"/>
        </w:rPr>
      </w:pPr>
    </w:p>
    <w:p w14:paraId="5D065026" w14:textId="2DAFC340" w:rsidR="00833EC6" w:rsidRPr="00833EC6" w:rsidRDefault="00833EC6" w:rsidP="00833EC6">
      <w:pPr>
        <w:spacing w:after="0" w:line="240" w:lineRule="auto"/>
        <w:jc w:val="both"/>
        <w:rPr>
          <w:rFonts w:ascii="Times New Roman" w:eastAsia="Times New Roman" w:hAnsi="Times New Roman" w:cs="Times New Roman"/>
          <w:color w:val="000000"/>
          <w:kern w:val="0"/>
          <w14:ligatures w14:val="none"/>
        </w:rPr>
      </w:pPr>
      <w:r w:rsidRPr="00E507F3">
        <w:rPr>
          <w:rFonts w:ascii="Arial" w:eastAsia="Times New Roman" w:hAnsi="Arial" w:cs="Arial"/>
          <w:b/>
          <w:bCs/>
          <w:color w:val="000000"/>
          <w:kern w:val="0"/>
          <w:sz w:val="22"/>
          <w:szCs w:val="22"/>
          <w14:ligatures w14:val="none"/>
        </w:rPr>
        <w:t>Keywords:</w:t>
      </w:r>
      <w:r>
        <w:rPr>
          <w:rFonts w:ascii="Arial" w:hAnsi="Arial" w:cs="Arial"/>
          <w:b/>
          <w:bCs/>
          <w:color w:val="000000"/>
          <w:sz w:val="22"/>
          <w:szCs w:val="22"/>
        </w:rPr>
        <w:t>B</w:t>
      </w:r>
      <w:r w:rsidRPr="00833EC6">
        <w:rPr>
          <w:rFonts w:ascii="Arial" w:eastAsia="Times New Roman" w:hAnsi="Arial" w:cs="Arial"/>
          <w:color w:val="000000" w:themeColor="text1"/>
          <w:kern w:val="0"/>
          <w:sz w:val="22"/>
          <w:szCs w:val="22"/>
          <w14:ligatures w14:val="none"/>
        </w:rPr>
        <w:t>reast neoplasms, neoplasm recurrence, residual cancer, pathology, molecular</w:t>
      </w:r>
      <w:r>
        <w:rPr>
          <w:rFonts w:ascii="Arial" w:eastAsia="Times New Roman" w:hAnsi="Arial" w:cs="Arial"/>
          <w:color w:val="000000" w:themeColor="text1"/>
          <w:kern w:val="0"/>
          <w:sz w:val="22"/>
          <w:szCs w:val="22"/>
          <w14:ligatures w14:val="none"/>
        </w:rPr>
        <w:t xml:space="preserve"> </w:t>
      </w:r>
      <w:r w:rsidRPr="00833EC6">
        <w:rPr>
          <w:rFonts w:ascii="Arial" w:eastAsia="Times New Roman" w:hAnsi="Arial" w:cs="Arial"/>
          <w:color w:val="000000" w:themeColor="text1"/>
          <w:kern w:val="0"/>
          <w:sz w:val="22"/>
          <w:szCs w:val="22"/>
          <w14:ligatures w14:val="none"/>
        </w:rPr>
        <w:t xml:space="preserve">biology. </w:t>
      </w:r>
    </w:p>
    <w:p w14:paraId="4ED728DC" w14:textId="77777777" w:rsidR="00833EC6" w:rsidRDefault="00833EC6" w:rsidP="00C1070C">
      <w:pPr>
        <w:spacing w:after="0" w:line="240" w:lineRule="auto"/>
        <w:ind w:left="720" w:hanging="360"/>
        <w:jc w:val="both"/>
      </w:pPr>
    </w:p>
    <w:p w14:paraId="6192E542" w14:textId="77777777" w:rsidR="00833EC6" w:rsidRDefault="00833EC6" w:rsidP="00C1070C">
      <w:pPr>
        <w:spacing w:after="0" w:line="240" w:lineRule="auto"/>
        <w:ind w:left="720" w:hanging="360"/>
        <w:jc w:val="both"/>
      </w:pPr>
    </w:p>
    <w:p w14:paraId="689B43E0" w14:textId="6B792E71" w:rsidR="005C02E9" w:rsidRPr="00833EC6" w:rsidRDefault="005C02E9" w:rsidP="00833EC6">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833EC6">
        <w:rPr>
          <w:rFonts w:ascii="Arial" w:eastAsia="Times New Roman" w:hAnsi="Arial" w:cs="Arial"/>
          <w:b/>
          <w:bCs/>
          <w:color w:val="000000" w:themeColor="text1"/>
          <w:kern w:val="0"/>
          <w:sz w:val="22"/>
          <w:szCs w:val="22"/>
          <w:u w:val="single"/>
          <w14:ligatures w14:val="none"/>
        </w:rPr>
        <w:t>INTRODUCCIÓN</w:t>
      </w:r>
    </w:p>
    <w:p w14:paraId="0C783AD2" w14:textId="77777777" w:rsidR="00833EC6" w:rsidRPr="00833EC6" w:rsidRDefault="00833EC6" w:rsidP="00833EC6">
      <w:pPr>
        <w:pStyle w:val="ListParagraph"/>
        <w:spacing w:after="0" w:line="240" w:lineRule="auto"/>
        <w:jc w:val="both"/>
        <w:rPr>
          <w:rFonts w:ascii="Arial" w:eastAsia="Times New Roman" w:hAnsi="Arial" w:cs="Arial"/>
          <w:b/>
          <w:bCs/>
          <w:color w:val="000000" w:themeColor="text1"/>
          <w:kern w:val="0"/>
          <w:sz w:val="22"/>
          <w:szCs w:val="22"/>
          <w:u w:val="single"/>
          <w14:ligatures w14:val="none"/>
        </w:rPr>
      </w:pPr>
    </w:p>
    <w:p w14:paraId="340BA95E" w14:textId="47D74DBC" w:rsidR="005C02E9" w:rsidRPr="005C02E9" w:rsidRDefault="005C02E9" w:rsidP="005C02E9">
      <w:pPr>
        <w:spacing w:after="0"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El cáncer de mama es la neoplasia de mayor incidencia </w:t>
      </w:r>
      <w:r w:rsidR="009C6591">
        <w:rPr>
          <w:rFonts w:ascii="Arial" w:eastAsia="Times New Roman" w:hAnsi="Arial" w:cs="Arial"/>
          <w:color w:val="000000" w:themeColor="text1"/>
          <w:kern w:val="0"/>
          <w:sz w:val="22"/>
          <w:szCs w:val="22"/>
          <w14:ligatures w14:val="none"/>
        </w:rPr>
        <w:t>mundial,</w:t>
      </w:r>
      <w:r w:rsidRPr="005C02E9">
        <w:rPr>
          <w:rFonts w:ascii="Arial" w:eastAsia="Times New Roman" w:hAnsi="Arial" w:cs="Arial"/>
          <w:color w:val="000000" w:themeColor="text1"/>
          <w:kern w:val="0"/>
          <w:sz w:val="22"/>
          <w:szCs w:val="22"/>
          <w14:ligatures w14:val="none"/>
        </w:rPr>
        <w:t xml:space="preserve">  con un  número estimado de </w:t>
      </w:r>
      <w:r w:rsidR="009C6591" w:rsidRPr="005C02E9">
        <w:rPr>
          <w:rFonts w:ascii="Arial" w:eastAsia="Times New Roman" w:hAnsi="Arial" w:cs="Arial"/>
          <w:color w:val="000000" w:themeColor="text1"/>
          <w:kern w:val="0"/>
          <w:sz w:val="22"/>
          <w:szCs w:val="22"/>
          <w14:ligatures w14:val="none"/>
        </w:rPr>
        <w:t>2.296.840</w:t>
      </w:r>
      <w:r w:rsidR="00103811">
        <w:rPr>
          <w:rFonts w:ascii="Arial" w:eastAsia="Times New Roman" w:hAnsi="Arial" w:cs="Arial"/>
          <w:color w:val="000000" w:themeColor="text1"/>
          <w:kern w:val="0"/>
          <w:sz w:val="22"/>
          <w:szCs w:val="22"/>
          <w14:ligatures w14:val="none"/>
        </w:rPr>
        <w:t xml:space="preserve"> de casos reportados por </w:t>
      </w:r>
      <w:r w:rsidRPr="005C02E9">
        <w:rPr>
          <w:rFonts w:ascii="Arial" w:eastAsia="Times New Roman" w:hAnsi="Arial" w:cs="Arial"/>
          <w:color w:val="000000" w:themeColor="text1"/>
          <w:kern w:val="0"/>
          <w:sz w:val="22"/>
          <w:szCs w:val="22"/>
          <w14:ligatures w14:val="none"/>
        </w:rPr>
        <w:t>Globocan 2022</w:t>
      </w:r>
      <w:r w:rsidR="009C6591">
        <w:rPr>
          <w:rFonts w:ascii="Arial" w:eastAsia="Times New Roman" w:hAnsi="Arial" w:cs="Arial"/>
          <w:color w:val="000000" w:themeColor="text1"/>
          <w:kern w:val="0"/>
          <w:sz w:val="22"/>
          <w:szCs w:val="22"/>
          <w14:ligatures w14:val="none"/>
        </w:rPr>
        <w:t xml:space="preserve">, </w:t>
      </w:r>
      <w:r w:rsidRPr="005C02E9">
        <w:rPr>
          <w:rFonts w:ascii="Arial" w:eastAsia="Times New Roman" w:hAnsi="Arial" w:cs="Arial"/>
          <w:color w:val="000000" w:themeColor="text1"/>
          <w:kern w:val="0"/>
          <w:sz w:val="22"/>
          <w:szCs w:val="22"/>
          <w14:ligatures w14:val="none"/>
        </w:rPr>
        <w:t xml:space="preserve">una tasa de incidencia de 46,8 y una tasa de mortalidad de 12,7 por 100.000 </w:t>
      </w:r>
      <w:r w:rsidR="009C6591">
        <w:rPr>
          <w:rFonts w:ascii="Arial" w:eastAsia="Times New Roman" w:hAnsi="Arial" w:cs="Arial"/>
          <w:color w:val="000000" w:themeColor="text1"/>
          <w:kern w:val="0"/>
          <w:sz w:val="22"/>
          <w:szCs w:val="22"/>
          <w14:ligatures w14:val="none"/>
        </w:rPr>
        <w:t xml:space="preserve">mujeres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1</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xml:space="preserve">. En Colombia, constituye tanto la primera causa de incidencia como de mortalidad por cáncer, con tasas anuales de 50,7 y 13,3 por cada 100.000 mujeres, respectivamente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2</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w:t>
      </w:r>
    </w:p>
    <w:p w14:paraId="3E6D3D16"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7FCD48D5" w14:textId="28D6792C"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Aproximadamente un tercio de las pacientes con cáncer de mama temprano pueden experimentar  recaída de la enfermedad después de haber completado el tratamiento inicial con intención curativa </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2,</w:t>
      </w:r>
      <w:r w:rsidR="009C6591">
        <w:rPr>
          <w:rFonts w:ascii="Arial" w:eastAsia="Times New Roman" w:hAnsi="Arial" w:cs="Arial"/>
          <w:color w:val="000000" w:themeColor="text1"/>
          <w:kern w:val="0"/>
          <w:sz w:val="22"/>
          <w:szCs w:val="22"/>
          <w14:ligatures w14:val="none"/>
        </w:rPr>
        <w:t>3</w:t>
      </w:r>
      <w:r w:rsidRPr="005C02E9">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xml:space="preserve">. Las pacientes  con enfermedad  localmente avanzada, tienen una probabilidad de recaída por encima del 50%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5</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01701D67" w14:textId="472259C7" w:rsidR="005C02E9" w:rsidRPr="005C02E9" w:rsidRDefault="005C02E9" w:rsidP="005C02E9">
      <w:pPr>
        <w:spacing w:after="0"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El cáncer de mama es una enfermedad heterogénea, cuyo curso clínico depende de su biología molecular. Los subtipos intrínsecos (Luminal A, Luminal B/HER2 negativo, Luminal B/HER2 positivo, HER2 puro y Triple Negativo) definen el pronóstico y guían las decisiones terapéuticas </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3</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Esta clasificación permite individualizar las estrategias de tratamiento y vigilancia, al reconocer los diferentes patrones de recurrencia. </w:t>
      </w:r>
    </w:p>
    <w:p w14:paraId="45249BDC"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287C1D8B" w14:textId="437623A4"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La mayoría de las recurrencias ocurren dentro de los primeros 5 años, sin embargo, dependiendo de la biología tumoral, especialmente en los tumores luminales se pueden presentar hasta 20 años después del diagnóstico (</w:t>
      </w:r>
      <w:r w:rsidR="009C6591">
        <w:rPr>
          <w:rFonts w:ascii="Arial" w:eastAsia="Times New Roman" w:hAnsi="Arial" w:cs="Arial"/>
          <w:color w:val="000000" w:themeColor="text1"/>
          <w:kern w:val="0"/>
          <w:sz w:val="22"/>
          <w:szCs w:val="22"/>
          <w14:ligatures w14:val="none"/>
        </w:rPr>
        <w:t>3</w:t>
      </w:r>
      <w:r w:rsidRPr="005C02E9">
        <w:rPr>
          <w:rFonts w:ascii="Arial" w:eastAsia="Times New Roman" w:hAnsi="Arial" w:cs="Arial"/>
          <w:color w:val="000000" w:themeColor="text1"/>
          <w:kern w:val="0"/>
          <w:sz w:val="22"/>
          <w:szCs w:val="22"/>
          <w14:ligatures w14:val="none"/>
        </w:rPr>
        <w:t>).  Mientras que en los tumores HER2 y triple negativo la mayoría de las recaídas se  presentan en los primeros 2 años</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3C861B8A" w14:textId="257F4D28"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Diversos estudios han identificado factores clínicos y patológicos asociados a la recurrencia, incluyendo el tamaño tumoral, la</w:t>
      </w:r>
      <w:r w:rsidR="00CF26C3">
        <w:rPr>
          <w:rFonts w:ascii="Arial" w:eastAsia="Times New Roman" w:hAnsi="Arial" w:cs="Arial"/>
          <w:color w:val="000000" w:themeColor="text1"/>
          <w:kern w:val="0"/>
          <w:sz w:val="22"/>
          <w:szCs w:val="22"/>
          <w14:ligatures w14:val="none"/>
        </w:rPr>
        <w:t>s</w:t>
      </w:r>
      <w:r w:rsidRPr="005C02E9">
        <w:rPr>
          <w:rFonts w:ascii="Arial" w:eastAsia="Times New Roman" w:hAnsi="Arial" w:cs="Arial"/>
          <w:color w:val="000000" w:themeColor="text1"/>
          <w:kern w:val="0"/>
          <w:sz w:val="22"/>
          <w:szCs w:val="22"/>
          <w14:ligatures w14:val="none"/>
        </w:rPr>
        <w:t xml:space="preserve"> biología</w:t>
      </w:r>
      <w:r w:rsidR="00CF26C3">
        <w:rPr>
          <w:rFonts w:ascii="Arial" w:eastAsia="Times New Roman" w:hAnsi="Arial" w:cs="Arial"/>
          <w:color w:val="000000" w:themeColor="text1"/>
          <w:kern w:val="0"/>
          <w:sz w:val="22"/>
          <w:szCs w:val="22"/>
          <w14:ligatures w14:val="none"/>
        </w:rPr>
        <w:t>s</w:t>
      </w:r>
      <w:r w:rsidRPr="005C02E9">
        <w:rPr>
          <w:rFonts w:ascii="Arial" w:eastAsia="Times New Roman" w:hAnsi="Arial" w:cs="Arial"/>
          <w:color w:val="000000" w:themeColor="text1"/>
          <w:kern w:val="0"/>
          <w:sz w:val="22"/>
          <w:szCs w:val="22"/>
          <w14:ligatures w14:val="none"/>
        </w:rPr>
        <w:t xml:space="preserve"> tumoral</w:t>
      </w:r>
      <w:r w:rsidR="00CF26C3">
        <w:rPr>
          <w:rFonts w:ascii="Arial" w:eastAsia="Times New Roman" w:hAnsi="Arial" w:cs="Arial"/>
          <w:color w:val="000000" w:themeColor="text1"/>
          <w:kern w:val="0"/>
          <w:sz w:val="22"/>
          <w:szCs w:val="22"/>
          <w14:ligatures w14:val="none"/>
        </w:rPr>
        <w:t>es</w:t>
      </w:r>
      <w:r w:rsidRPr="005C02E9">
        <w:rPr>
          <w:rFonts w:ascii="Arial" w:eastAsia="Times New Roman" w:hAnsi="Arial" w:cs="Arial"/>
          <w:color w:val="000000" w:themeColor="text1"/>
          <w:kern w:val="0"/>
          <w:sz w:val="22"/>
          <w:szCs w:val="22"/>
          <w14:ligatures w14:val="none"/>
        </w:rPr>
        <w:t xml:space="preserve"> triple negativo y luminal B erb2 negativo, el tratamiento con quimioterapia y el compromiso ganglionar, en especial la presencia de más de 4 ganglios,  con el aumento significativo de la recidiva. Otros estudios, describen como factores asociados la ausencia de receptores de progesterona, el grado histológico y la </w:t>
      </w:r>
      <w:r w:rsidR="00CF26C3">
        <w:rPr>
          <w:rFonts w:ascii="Arial" w:eastAsia="Times New Roman" w:hAnsi="Arial" w:cs="Arial"/>
          <w:color w:val="000000" w:themeColor="text1"/>
          <w:kern w:val="0"/>
          <w:sz w:val="22"/>
          <w:szCs w:val="22"/>
          <w14:ligatures w14:val="none"/>
        </w:rPr>
        <w:t xml:space="preserve"> enfermedad residual post quimioterapia </w:t>
      </w:r>
      <w:r w:rsidRPr="005C02E9">
        <w:rPr>
          <w:rFonts w:ascii="Arial" w:eastAsia="Times New Roman" w:hAnsi="Arial" w:cs="Arial"/>
          <w:color w:val="000000" w:themeColor="text1"/>
          <w:kern w:val="0"/>
          <w:sz w:val="22"/>
          <w:szCs w:val="22"/>
          <w14:ligatures w14:val="none"/>
        </w:rPr>
        <w:t xml:space="preserve">neoadyuvante </w:t>
      </w:r>
      <w:r w:rsidR="00B81CBA">
        <w:rPr>
          <w:rFonts w:ascii="Arial" w:eastAsia="Times New Roman" w:hAnsi="Arial" w:cs="Arial"/>
          <w:color w:val="000000" w:themeColor="text1"/>
          <w:kern w:val="0"/>
          <w:sz w:val="22"/>
          <w:szCs w:val="22"/>
          <w14:ligatures w14:val="none"/>
        </w:rPr>
        <w:t>[</w:t>
      </w:r>
      <w:r w:rsidR="009C6591">
        <w:rPr>
          <w:rFonts w:ascii="Arial" w:eastAsia="Times New Roman" w:hAnsi="Arial" w:cs="Arial"/>
          <w:color w:val="000000" w:themeColor="text1"/>
          <w:kern w:val="0"/>
          <w:sz w:val="22"/>
          <w:szCs w:val="22"/>
          <w14:ligatures w14:val="none"/>
        </w:rPr>
        <w:t>4</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6</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7</w:t>
      </w:r>
      <w:r w:rsidR="00B81CBA">
        <w:rPr>
          <w:rFonts w:ascii="Arial" w:eastAsia="Times New Roman" w:hAnsi="Arial" w:cs="Arial"/>
          <w:color w:val="000000" w:themeColor="text1"/>
          <w:kern w:val="0"/>
          <w:sz w:val="22"/>
          <w:szCs w:val="22"/>
          <w14:ligatures w14:val="none"/>
        </w:rPr>
        <w:t>]</w:t>
      </w:r>
    </w:p>
    <w:p w14:paraId="7FDB3FE4" w14:textId="1FBFBA98" w:rsidR="005C02E9" w:rsidRPr="005C02E9" w:rsidRDefault="005C02E9" w:rsidP="005C02E9">
      <w:pPr>
        <w:spacing w:line="240" w:lineRule="auto"/>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La carga tumoral residual (</w:t>
      </w:r>
      <w:r w:rsidRPr="005C02E9">
        <w:rPr>
          <w:rFonts w:ascii="Arial" w:eastAsia="Times New Roman" w:hAnsi="Arial" w:cs="Arial"/>
          <w:i/>
          <w:iCs/>
          <w:color w:val="000000" w:themeColor="text1"/>
          <w:kern w:val="0"/>
          <w:sz w:val="22"/>
          <w:szCs w:val="22"/>
          <w14:ligatures w14:val="none"/>
        </w:rPr>
        <w:t>Residual Cancer Burden</w:t>
      </w:r>
      <w:r w:rsidRPr="005C02E9">
        <w:rPr>
          <w:rFonts w:ascii="Arial" w:eastAsia="Times New Roman" w:hAnsi="Arial" w:cs="Arial"/>
          <w:color w:val="000000" w:themeColor="text1"/>
          <w:kern w:val="0"/>
          <w:sz w:val="22"/>
          <w:szCs w:val="22"/>
          <w14:ligatures w14:val="none"/>
        </w:rPr>
        <w:t xml:space="preserve">, RCB) y la ausencia de respuesta patològica completa (pCR) en los ùltimos 10 años se han consolidado como predictores robustos de recaída, especialmente en subtipos HER2 positivo y triple negativos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7</w:t>
      </w:r>
      <w:r w:rsidRPr="005C02E9">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8</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192F07F7" w14:textId="6D7606C9" w:rsidR="005C02E9" w:rsidRPr="005C02E9" w:rsidRDefault="00CF26C3" w:rsidP="005C02E9">
      <w:pPr>
        <w:spacing w:after="0" w:line="240" w:lineRule="auto"/>
        <w:jc w:val="both"/>
        <w:rPr>
          <w:rFonts w:ascii="Times New Roman" w:eastAsia="Times New Roman" w:hAnsi="Times New Roman" w:cs="Times New Roman"/>
          <w:color w:val="000000" w:themeColor="text1"/>
          <w:kern w:val="0"/>
          <w14:ligatures w14:val="none"/>
        </w:rPr>
      </w:pPr>
      <w:r>
        <w:rPr>
          <w:rFonts w:ascii="Arial" w:eastAsia="Times New Roman" w:hAnsi="Arial" w:cs="Arial"/>
          <w:color w:val="000000" w:themeColor="text1"/>
          <w:kern w:val="0"/>
          <w:sz w:val="22"/>
          <w:szCs w:val="22"/>
          <w14:ligatures w14:val="none"/>
        </w:rPr>
        <w:t>Las pacientes que se atienden en</w:t>
      </w:r>
      <w:r w:rsidR="005C02E9" w:rsidRPr="005C02E9">
        <w:rPr>
          <w:rFonts w:ascii="Arial" w:eastAsia="Times New Roman" w:hAnsi="Arial" w:cs="Arial"/>
          <w:color w:val="000000" w:themeColor="text1"/>
          <w:kern w:val="0"/>
          <w:sz w:val="22"/>
          <w:szCs w:val="22"/>
          <w14:ligatures w14:val="none"/>
        </w:rPr>
        <w:t xml:space="preserve"> el Instituto Nacional de Cancerología (INC), </w:t>
      </w:r>
      <w:r>
        <w:rPr>
          <w:rFonts w:ascii="Arial" w:eastAsia="Times New Roman" w:hAnsi="Arial" w:cs="Arial"/>
          <w:color w:val="000000" w:themeColor="text1"/>
          <w:kern w:val="0"/>
          <w:sz w:val="22"/>
          <w:szCs w:val="22"/>
          <w14:ligatures w14:val="none"/>
        </w:rPr>
        <w:t xml:space="preserve"> tienen un bajo nivel socio economico y esto se refleja en el estadio clinico en el cual se diagnostican, es asi como </w:t>
      </w:r>
      <w:r w:rsidR="005C02E9" w:rsidRPr="005C02E9">
        <w:rPr>
          <w:rFonts w:ascii="Arial" w:eastAsia="Times New Roman" w:hAnsi="Arial" w:cs="Arial"/>
          <w:color w:val="000000" w:themeColor="text1"/>
          <w:kern w:val="0"/>
          <w:sz w:val="22"/>
          <w:szCs w:val="22"/>
          <w14:ligatures w14:val="none"/>
        </w:rPr>
        <w:t xml:space="preserve">el 31%  </w:t>
      </w:r>
      <w:r>
        <w:rPr>
          <w:rFonts w:ascii="Arial" w:eastAsia="Times New Roman" w:hAnsi="Arial" w:cs="Arial"/>
          <w:color w:val="000000" w:themeColor="text1"/>
          <w:kern w:val="0"/>
          <w:sz w:val="22"/>
          <w:szCs w:val="22"/>
          <w14:ligatures w14:val="none"/>
        </w:rPr>
        <w:t>tienen</w:t>
      </w:r>
      <w:r w:rsidR="005C02E9" w:rsidRPr="005C02E9">
        <w:rPr>
          <w:rFonts w:ascii="Arial" w:eastAsia="Times New Roman" w:hAnsi="Arial" w:cs="Arial"/>
          <w:color w:val="000000" w:themeColor="text1"/>
          <w:kern w:val="0"/>
          <w:sz w:val="22"/>
          <w:szCs w:val="22"/>
          <w14:ligatures w14:val="none"/>
        </w:rPr>
        <w:t xml:space="preserve"> estadio temprano, 48,2% localmente avanzado</w:t>
      </w:r>
      <w:r>
        <w:rPr>
          <w:rFonts w:ascii="Arial" w:eastAsia="Times New Roman" w:hAnsi="Arial" w:cs="Arial"/>
          <w:color w:val="000000" w:themeColor="text1"/>
          <w:kern w:val="0"/>
          <w:sz w:val="22"/>
          <w:szCs w:val="22"/>
          <w14:ligatures w14:val="none"/>
        </w:rPr>
        <w:t xml:space="preserve"> </w:t>
      </w:r>
      <w:r w:rsidR="005C02E9" w:rsidRPr="005C02E9">
        <w:rPr>
          <w:rFonts w:ascii="Arial" w:eastAsia="Times New Roman" w:hAnsi="Arial" w:cs="Arial"/>
          <w:color w:val="000000" w:themeColor="text1"/>
          <w:kern w:val="0"/>
          <w:sz w:val="22"/>
          <w:szCs w:val="22"/>
          <w14:ligatures w14:val="none"/>
        </w:rPr>
        <w:t xml:space="preserve">y 16,9% </w:t>
      </w:r>
      <w:r>
        <w:rPr>
          <w:rFonts w:ascii="Arial" w:eastAsia="Times New Roman" w:hAnsi="Arial" w:cs="Arial"/>
          <w:color w:val="000000" w:themeColor="text1"/>
          <w:kern w:val="0"/>
          <w:sz w:val="22"/>
          <w:szCs w:val="22"/>
          <w14:ligatures w14:val="none"/>
        </w:rPr>
        <w:t xml:space="preserve"> enfermedad metastasica</w:t>
      </w:r>
      <w:r w:rsidR="005C02E9" w:rsidRPr="005C02E9">
        <w:rPr>
          <w:rFonts w:ascii="Arial" w:eastAsia="Times New Roman" w:hAnsi="Arial" w:cs="Arial"/>
          <w:color w:val="000000" w:themeColor="text1"/>
          <w:kern w:val="0"/>
          <w:sz w:val="22"/>
          <w:szCs w:val="22"/>
          <w14:ligatures w14:val="none"/>
        </w:rPr>
        <w:t xml:space="preserve"> </w:t>
      </w:r>
      <w:r w:rsidR="00B81CBA">
        <w:rPr>
          <w:rFonts w:ascii="Arial" w:eastAsia="Times New Roman" w:hAnsi="Arial" w:cs="Arial"/>
          <w:color w:val="000000" w:themeColor="text1"/>
          <w:kern w:val="0"/>
          <w:sz w:val="22"/>
          <w:szCs w:val="22"/>
          <w14:ligatures w14:val="none"/>
        </w:rPr>
        <w:t>[</w:t>
      </w:r>
      <w:r>
        <w:rPr>
          <w:rFonts w:ascii="Arial" w:eastAsia="Times New Roman" w:hAnsi="Arial" w:cs="Arial"/>
          <w:color w:val="000000" w:themeColor="text1"/>
          <w:kern w:val="0"/>
          <w:sz w:val="22"/>
          <w:szCs w:val="22"/>
          <w14:ligatures w14:val="none"/>
        </w:rPr>
        <w:t>9,</w:t>
      </w:r>
      <w:r w:rsidR="0058582D">
        <w:rPr>
          <w:rFonts w:ascii="Arial" w:eastAsia="Times New Roman" w:hAnsi="Arial" w:cs="Arial"/>
          <w:color w:val="000000" w:themeColor="text1"/>
          <w:kern w:val="0"/>
          <w:sz w:val="22"/>
          <w:szCs w:val="22"/>
          <w14:ligatures w14:val="none"/>
        </w:rPr>
        <w:t>10</w:t>
      </w:r>
      <w:r w:rsidR="00B81CBA">
        <w:rPr>
          <w:rFonts w:ascii="Arial" w:eastAsia="Times New Roman" w:hAnsi="Arial" w:cs="Arial"/>
          <w:color w:val="000000" w:themeColor="text1"/>
          <w:kern w:val="0"/>
          <w:sz w:val="22"/>
          <w:szCs w:val="22"/>
          <w14:ligatures w14:val="none"/>
        </w:rPr>
        <w:t>]</w:t>
      </w:r>
      <w:r w:rsidR="005C02E9" w:rsidRPr="005C02E9">
        <w:rPr>
          <w:rFonts w:ascii="Arial" w:eastAsia="Times New Roman" w:hAnsi="Arial" w:cs="Arial"/>
          <w:color w:val="000000" w:themeColor="text1"/>
          <w:kern w:val="0"/>
          <w:sz w:val="22"/>
          <w:szCs w:val="22"/>
          <w14:ligatures w14:val="none"/>
        </w:rPr>
        <w:t>. </w:t>
      </w:r>
    </w:p>
    <w:p w14:paraId="3C51450E" w14:textId="77777777" w:rsidR="005C02E9" w:rsidRPr="005C02E9" w:rsidRDefault="005C02E9" w:rsidP="005C02E9">
      <w:pPr>
        <w:spacing w:after="0" w:line="240" w:lineRule="auto"/>
        <w:rPr>
          <w:rFonts w:ascii="Times New Roman" w:eastAsia="Times New Roman" w:hAnsi="Times New Roman" w:cs="Times New Roman"/>
          <w:color w:val="000000" w:themeColor="text1"/>
          <w:kern w:val="0"/>
          <w14:ligatures w14:val="none"/>
        </w:rPr>
      </w:pPr>
    </w:p>
    <w:p w14:paraId="14D2F804" w14:textId="01CC2B39" w:rsidR="005C02E9" w:rsidRPr="005C02E9" w:rsidRDefault="005C02E9" w:rsidP="005C02E9">
      <w:pPr>
        <w:spacing w:before="20" w:after="0" w:line="240" w:lineRule="auto"/>
        <w:ind w:right="140"/>
        <w:jc w:val="both"/>
        <w:rPr>
          <w:rFonts w:ascii="Times New Roman" w:eastAsia="Times New Roman" w:hAnsi="Times New Roman" w:cs="Times New Roman"/>
          <w:color w:val="000000" w:themeColor="text1"/>
          <w:kern w:val="0"/>
          <w14:ligatures w14:val="none"/>
        </w:rPr>
      </w:pPr>
      <w:r w:rsidRPr="005C02E9">
        <w:rPr>
          <w:rFonts w:ascii="Arial" w:eastAsia="Times New Roman" w:hAnsi="Arial" w:cs="Arial"/>
          <w:color w:val="000000" w:themeColor="text1"/>
          <w:kern w:val="0"/>
          <w:sz w:val="22"/>
          <w:szCs w:val="22"/>
          <w14:ligatures w14:val="none"/>
        </w:rPr>
        <w:t xml:space="preserve">La recurrencia del cáncer de mama es un problema complejo influenciado por múltiples factores. Así pues, la comprensión de los factores relacionados con la recaída tumoral es crucial para mejorar el seguimiento clínico de estas pacientes y, por consecuencia, su pronóstico oncológico </w:t>
      </w:r>
      <w:r w:rsidR="00B81CBA">
        <w:rPr>
          <w:rFonts w:ascii="Arial" w:eastAsia="Times New Roman" w:hAnsi="Arial" w:cs="Arial"/>
          <w:color w:val="000000" w:themeColor="text1"/>
          <w:kern w:val="0"/>
          <w:sz w:val="22"/>
          <w:szCs w:val="22"/>
          <w14:ligatures w14:val="none"/>
        </w:rPr>
        <w:t>[</w:t>
      </w:r>
      <w:r w:rsidR="0058582D">
        <w:rPr>
          <w:rFonts w:ascii="Arial" w:eastAsia="Times New Roman" w:hAnsi="Arial" w:cs="Arial"/>
          <w:color w:val="000000" w:themeColor="text1"/>
          <w:kern w:val="0"/>
          <w:sz w:val="22"/>
          <w:szCs w:val="22"/>
          <w14:ligatures w14:val="none"/>
        </w:rPr>
        <w:t>5</w:t>
      </w:r>
      <w:r w:rsidR="00B81CBA">
        <w:rPr>
          <w:rFonts w:ascii="Arial" w:eastAsia="Times New Roman" w:hAnsi="Arial" w:cs="Arial"/>
          <w:color w:val="000000" w:themeColor="text1"/>
          <w:kern w:val="0"/>
          <w:sz w:val="22"/>
          <w:szCs w:val="22"/>
          <w14:ligatures w14:val="none"/>
        </w:rPr>
        <w:t>]</w:t>
      </w:r>
      <w:r w:rsidRPr="005C02E9">
        <w:rPr>
          <w:rFonts w:ascii="Arial" w:eastAsia="Times New Roman" w:hAnsi="Arial" w:cs="Arial"/>
          <w:color w:val="000000" w:themeColor="text1"/>
          <w:kern w:val="0"/>
          <w:sz w:val="22"/>
          <w:szCs w:val="22"/>
          <w14:ligatures w14:val="none"/>
        </w:rPr>
        <w:t>. </w:t>
      </w:r>
    </w:p>
    <w:p w14:paraId="360A99F3" w14:textId="76A178F6" w:rsidR="00103811" w:rsidRDefault="005C02E9" w:rsidP="005C02E9">
      <w:pPr>
        <w:rPr>
          <w:rFonts w:ascii="Arial" w:eastAsia="Times New Roman" w:hAnsi="Arial" w:cs="Arial"/>
          <w:color w:val="000000" w:themeColor="text1"/>
          <w:kern w:val="0"/>
          <w:sz w:val="22"/>
          <w:szCs w:val="22"/>
          <w14:ligatures w14:val="none"/>
        </w:rPr>
      </w:pPr>
      <w:r w:rsidRPr="005C02E9">
        <w:rPr>
          <w:rFonts w:ascii="Times New Roman" w:eastAsia="Times New Roman" w:hAnsi="Times New Roman" w:cs="Times New Roman"/>
          <w:color w:val="000000" w:themeColor="text1"/>
          <w:kern w:val="0"/>
          <w14:ligatures w14:val="none"/>
        </w:rPr>
        <w:br/>
      </w:r>
      <w:r w:rsidRPr="005C02E9">
        <w:rPr>
          <w:rFonts w:ascii="Arial" w:eastAsia="Times New Roman" w:hAnsi="Arial" w:cs="Arial"/>
          <w:color w:val="000000" w:themeColor="text1"/>
          <w:kern w:val="0"/>
          <w:sz w:val="22"/>
          <w:szCs w:val="22"/>
          <w14:ligatures w14:val="none"/>
        </w:rPr>
        <w:t>El objetivo principal de esta cohorte fue</w:t>
      </w:r>
      <w:r w:rsidRPr="005C02E9">
        <w:rPr>
          <w:rFonts w:ascii="Times New Roman" w:eastAsia="Times New Roman" w:hAnsi="Times New Roman" w:cs="Times New Roman"/>
          <w:color w:val="000000" w:themeColor="text1"/>
          <w:kern w:val="0"/>
          <w:sz w:val="14"/>
          <w:szCs w:val="14"/>
          <w14:ligatures w14:val="none"/>
        </w:rPr>
        <w:t xml:space="preserve"> </w:t>
      </w:r>
      <w:r w:rsidRPr="005C02E9">
        <w:rPr>
          <w:rFonts w:ascii="Arial" w:eastAsia="Times New Roman" w:hAnsi="Arial" w:cs="Arial"/>
          <w:color w:val="000000" w:themeColor="text1"/>
          <w:kern w:val="0"/>
          <w:sz w:val="22"/>
          <w:szCs w:val="22"/>
          <w14:ligatures w14:val="none"/>
        </w:rPr>
        <w:t>determinar cuáles son los factores asociados con la recaída tumoral a nivel local, regional y a distancia, en pacientes con cáncer de mama en estadios I-III, tratadas en la Unidad Funcional de Seno y Tejidos Blandos (UFSTB) del INC, durante el periodo de tiempo comprendido entre Septiembre de 2013 y el 30 de Agosto de 2019. Además caracterizar la población, determinar la tasa de incidencia de los diferentes tipos de recaída y analizar la asociación de los diferentes factores de riesgo (clínicos</w:t>
      </w:r>
      <w:r w:rsidR="00CF26C3">
        <w:rPr>
          <w:rFonts w:ascii="Arial" w:eastAsia="Times New Roman" w:hAnsi="Arial" w:cs="Arial"/>
          <w:color w:val="000000" w:themeColor="text1"/>
          <w:kern w:val="0"/>
          <w:sz w:val="22"/>
          <w:szCs w:val="22"/>
          <w14:ligatures w14:val="none"/>
        </w:rPr>
        <w:t xml:space="preserve"> e </w:t>
      </w:r>
      <w:r w:rsidRPr="005C02E9">
        <w:rPr>
          <w:rFonts w:ascii="Arial" w:eastAsia="Times New Roman" w:hAnsi="Arial" w:cs="Arial"/>
          <w:color w:val="000000" w:themeColor="text1"/>
          <w:kern w:val="0"/>
          <w:sz w:val="22"/>
          <w:szCs w:val="22"/>
          <w14:ligatures w14:val="none"/>
        </w:rPr>
        <w:t xml:space="preserve">histopatológicos) </w:t>
      </w:r>
      <w:r w:rsidR="00CF26C3">
        <w:rPr>
          <w:rFonts w:ascii="Arial" w:eastAsia="Times New Roman" w:hAnsi="Arial" w:cs="Arial"/>
          <w:color w:val="000000" w:themeColor="text1"/>
          <w:kern w:val="0"/>
          <w:sz w:val="22"/>
          <w:szCs w:val="22"/>
          <w14:ligatures w14:val="none"/>
        </w:rPr>
        <w:t xml:space="preserve"> con la recurrencia tumoral.</w:t>
      </w:r>
    </w:p>
    <w:p w14:paraId="641E634D" w14:textId="29E2CFF9" w:rsidR="00103811" w:rsidRPr="00C1070C" w:rsidRDefault="00103811" w:rsidP="00C1070C">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C1070C">
        <w:rPr>
          <w:rFonts w:ascii="Arial" w:eastAsia="Times New Roman" w:hAnsi="Arial" w:cs="Arial"/>
          <w:b/>
          <w:bCs/>
          <w:color w:val="000000" w:themeColor="text1"/>
          <w:kern w:val="0"/>
          <w:sz w:val="22"/>
          <w:szCs w:val="22"/>
          <w:u w:val="single"/>
          <w14:ligatures w14:val="none"/>
        </w:rPr>
        <w:t>MATERIALES Y MÉTODOS</w:t>
      </w:r>
    </w:p>
    <w:p w14:paraId="5D7815D7" w14:textId="77777777" w:rsidR="002F76FC" w:rsidRDefault="002F76FC" w:rsidP="00103811">
      <w:pPr>
        <w:spacing w:after="0" w:line="240" w:lineRule="auto"/>
        <w:jc w:val="both"/>
        <w:rPr>
          <w:rFonts w:ascii="Arial" w:eastAsia="Times New Roman" w:hAnsi="Arial" w:cs="Arial"/>
          <w:b/>
          <w:bCs/>
          <w:color w:val="000000" w:themeColor="text1"/>
          <w:kern w:val="0"/>
          <w:sz w:val="22"/>
          <w:szCs w:val="22"/>
          <w:u w:val="single"/>
          <w14:ligatures w14:val="none"/>
        </w:rPr>
      </w:pPr>
    </w:p>
    <w:p w14:paraId="658B89C9" w14:textId="54750AB9" w:rsidR="002F76FC" w:rsidRPr="002F76FC" w:rsidRDefault="00C1070C" w:rsidP="00103811">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2.1 </w:t>
      </w:r>
      <w:r w:rsidR="002F76FC">
        <w:rPr>
          <w:rFonts w:ascii="Arial" w:eastAsia="Times New Roman" w:hAnsi="Arial" w:cs="Arial"/>
          <w:i/>
          <w:iCs/>
          <w:color w:val="000000" w:themeColor="text1"/>
          <w:kern w:val="0"/>
          <w:sz w:val="22"/>
          <w:szCs w:val="22"/>
          <w14:ligatures w14:val="none"/>
        </w:rPr>
        <w:t>Diseño del estudio y criterios de selcción de los pacientes</w:t>
      </w:r>
    </w:p>
    <w:p w14:paraId="7DB5C4FC" w14:textId="77777777" w:rsidR="00F10E91" w:rsidRPr="00103811" w:rsidRDefault="00F10E91" w:rsidP="00103811">
      <w:pPr>
        <w:spacing w:after="0" w:line="240" w:lineRule="auto"/>
        <w:jc w:val="both"/>
        <w:rPr>
          <w:rFonts w:ascii="Arial" w:eastAsia="Times New Roman" w:hAnsi="Arial" w:cs="Arial"/>
          <w:b/>
          <w:bCs/>
          <w:color w:val="000000" w:themeColor="text1"/>
          <w:kern w:val="0"/>
          <w:sz w:val="22"/>
          <w:szCs w:val="22"/>
          <w:u w:val="single"/>
          <w14:ligatures w14:val="none"/>
        </w:rPr>
      </w:pPr>
    </w:p>
    <w:p w14:paraId="3E02AFDB" w14:textId="7C0B5C6A" w:rsidR="00273339" w:rsidRDefault="00F10E91">
      <w:pPr>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Se realizó un estudio de cohorte histórica, retrospectivo, observacional y analítico, que incluyó pacientes con diagnóstico confirmado de cáncer de mama infiltrante registradas en la base de datos prospectiva de la U</w:t>
      </w:r>
      <w:r>
        <w:rPr>
          <w:rFonts w:ascii="Arial" w:eastAsia="Times New Roman" w:hAnsi="Arial" w:cs="Arial"/>
          <w:color w:val="000000" w:themeColor="text1"/>
          <w:kern w:val="0"/>
          <w:sz w:val="22"/>
          <w:szCs w:val="22"/>
          <w14:ligatures w14:val="none"/>
        </w:rPr>
        <w:t xml:space="preserve">nidad </w:t>
      </w:r>
      <w:r w:rsidRPr="00F10E91">
        <w:rPr>
          <w:rFonts w:ascii="Arial" w:eastAsia="Times New Roman" w:hAnsi="Arial" w:cs="Arial"/>
          <w:color w:val="000000" w:themeColor="text1"/>
          <w:kern w:val="0"/>
          <w:sz w:val="22"/>
          <w:szCs w:val="22"/>
          <w14:ligatures w14:val="none"/>
        </w:rPr>
        <w:t>F</w:t>
      </w:r>
      <w:r>
        <w:rPr>
          <w:rFonts w:ascii="Arial" w:eastAsia="Times New Roman" w:hAnsi="Arial" w:cs="Arial"/>
          <w:color w:val="000000" w:themeColor="text1"/>
          <w:kern w:val="0"/>
          <w:sz w:val="22"/>
          <w:szCs w:val="22"/>
          <w14:ligatures w14:val="none"/>
        </w:rPr>
        <w:t xml:space="preserve">uncional de </w:t>
      </w:r>
      <w:r w:rsidR="00314560">
        <w:rPr>
          <w:rFonts w:ascii="Arial" w:eastAsia="Times New Roman" w:hAnsi="Arial" w:cs="Arial"/>
          <w:color w:val="000000" w:themeColor="text1"/>
          <w:kern w:val="0"/>
          <w:sz w:val="22"/>
          <w:szCs w:val="22"/>
          <w14:ligatures w14:val="none"/>
        </w:rPr>
        <w:t>Seno y Tejidos Blandos</w:t>
      </w:r>
      <w:r>
        <w:rPr>
          <w:rFonts w:ascii="Arial" w:eastAsia="Times New Roman" w:hAnsi="Arial" w:cs="Arial"/>
          <w:color w:val="000000" w:themeColor="text1"/>
          <w:kern w:val="0"/>
          <w:sz w:val="22"/>
          <w:szCs w:val="22"/>
          <w14:ligatures w14:val="none"/>
        </w:rPr>
        <w:t xml:space="preserve"> (UF</w:t>
      </w:r>
      <w:r w:rsidR="00314560">
        <w:rPr>
          <w:rFonts w:ascii="Arial" w:eastAsia="Times New Roman" w:hAnsi="Arial" w:cs="Arial"/>
          <w:color w:val="000000" w:themeColor="text1"/>
          <w:kern w:val="0"/>
          <w:sz w:val="22"/>
          <w:szCs w:val="22"/>
          <w14:ligatures w14:val="none"/>
        </w:rPr>
        <w:t>STB</w:t>
      </w:r>
      <w:r>
        <w:rPr>
          <w:rFonts w:ascii="Arial" w:eastAsia="Times New Roman" w:hAnsi="Arial" w:cs="Arial"/>
          <w:color w:val="000000" w:themeColor="text1"/>
          <w:kern w:val="0"/>
          <w:sz w:val="22"/>
          <w:szCs w:val="22"/>
          <w14:ligatures w14:val="none"/>
        </w:rPr>
        <w:t xml:space="preserve">) del </w:t>
      </w:r>
      <w:r w:rsidRPr="00F10E91">
        <w:rPr>
          <w:rFonts w:ascii="Arial" w:eastAsia="Times New Roman" w:hAnsi="Arial" w:cs="Arial"/>
          <w:color w:val="000000" w:themeColor="text1"/>
          <w:kern w:val="0"/>
          <w:sz w:val="22"/>
          <w:szCs w:val="22"/>
          <w14:ligatures w14:val="none"/>
        </w:rPr>
        <w:t>INC entre el 1 de septiembre de 2013 y el 3</w:t>
      </w:r>
      <w:r>
        <w:rPr>
          <w:rFonts w:ascii="Arial" w:eastAsia="Times New Roman" w:hAnsi="Arial" w:cs="Arial"/>
          <w:color w:val="000000" w:themeColor="text1"/>
          <w:kern w:val="0"/>
          <w:sz w:val="22"/>
          <w:szCs w:val="22"/>
          <w14:ligatures w14:val="none"/>
        </w:rPr>
        <w:t>0</w:t>
      </w:r>
      <w:r w:rsidRPr="00F10E91">
        <w:rPr>
          <w:rFonts w:ascii="Arial" w:eastAsia="Times New Roman" w:hAnsi="Arial" w:cs="Arial"/>
          <w:color w:val="000000" w:themeColor="text1"/>
          <w:kern w:val="0"/>
          <w:sz w:val="22"/>
          <w:szCs w:val="22"/>
          <w14:ligatures w14:val="none"/>
        </w:rPr>
        <w:t xml:space="preserve"> de agosto de 20</w:t>
      </w:r>
      <w:r>
        <w:rPr>
          <w:rFonts w:ascii="Arial" w:eastAsia="Times New Roman" w:hAnsi="Arial" w:cs="Arial"/>
          <w:color w:val="000000" w:themeColor="text1"/>
          <w:kern w:val="0"/>
          <w:sz w:val="22"/>
          <w:szCs w:val="22"/>
          <w14:ligatures w14:val="none"/>
        </w:rPr>
        <w:t>19</w:t>
      </w:r>
      <w:r w:rsidRPr="00F10E91">
        <w:rPr>
          <w:rFonts w:ascii="Arial" w:eastAsia="Times New Roman" w:hAnsi="Arial" w:cs="Arial"/>
          <w:color w:val="000000" w:themeColor="text1"/>
          <w:kern w:val="0"/>
          <w:sz w:val="22"/>
          <w:szCs w:val="22"/>
          <w14:ligatures w14:val="none"/>
        </w:rPr>
        <w:t xml:space="preserve">, quienes </w:t>
      </w:r>
      <w:r>
        <w:rPr>
          <w:rFonts w:ascii="Arial" w:eastAsia="Times New Roman" w:hAnsi="Arial" w:cs="Arial"/>
          <w:color w:val="000000" w:themeColor="text1"/>
          <w:kern w:val="0"/>
          <w:sz w:val="22"/>
          <w:szCs w:val="22"/>
          <w14:ligatures w14:val="none"/>
        </w:rPr>
        <w:t xml:space="preserve">recibieron tratamiento completo durante este periodo de tiempo . </w:t>
      </w:r>
    </w:p>
    <w:p w14:paraId="75A23071" w14:textId="70727C01" w:rsidR="00F10E91" w:rsidRDefault="00F10E91" w:rsidP="00E80471">
      <w:pPr>
        <w:jc w:val="both"/>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Se realizó una búsqueda en la base de datos de la UF</w:t>
      </w:r>
      <w:r w:rsidR="00314560">
        <w:rPr>
          <w:rFonts w:ascii="Arial" w:eastAsia="Times New Roman" w:hAnsi="Arial" w:cs="Arial"/>
          <w:color w:val="000000" w:themeColor="text1"/>
          <w:kern w:val="0"/>
          <w:sz w:val="22"/>
          <w:szCs w:val="22"/>
          <w14:ligatures w14:val="none"/>
        </w:rPr>
        <w:t>STB</w:t>
      </w:r>
      <w:r w:rsidRPr="00F10E91">
        <w:rPr>
          <w:rFonts w:ascii="Arial" w:eastAsia="Times New Roman" w:hAnsi="Arial" w:cs="Arial"/>
          <w:color w:val="000000" w:themeColor="text1"/>
          <w:kern w:val="0"/>
          <w:sz w:val="22"/>
          <w:szCs w:val="22"/>
          <w14:ligatures w14:val="none"/>
        </w:rPr>
        <w:t xml:space="preserve">-INC para identificar las historias clínicas de todas las pacientes </w:t>
      </w:r>
      <w:r>
        <w:rPr>
          <w:rFonts w:ascii="Arial" w:eastAsia="Times New Roman" w:hAnsi="Arial" w:cs="Arial"/>
          <w:color w:val="000000" w:themeColor="text1"/>
          <w:kern w:val="0"/>
          <w:sz w:val="22"/>
          <w:szCs w:val="22"/>
          <w14:ligatures w14:val="none"/>
        </w:rPr>
        <w:t>incluidas en</w:t>
      </w:r>
      <w:r w:rsidRPr="00F10E91">
        <w:rPr>
          <w:rFonts w:ascii="Arial" w:eastAsia="Times New Roman" w:hAnsi="Arial" w:cs="Arial"/>
          <w:color w:val="000000" w:themeColor="text1"/>
          <w:kern w:val="0"/>
          <w:sz w:val="22"/>
          <w:szCs w:val="22"/>
          <w14:ligatures w14:val="none"/>
        </w:rPr>
        <w:t xml:space="preserve"> el periodo </w:t>
      </w:r>
      <w:r w:rsidR="00CF26C3">
        <w:rPr>
          <w:rFonts w:ascii="Arial" w:eastAsia="Times New Roman" w:hAnsi="Arial" w:cs="Arial"/>
          <w:color w:val="000000" w:themeColor="text1"/>
          <w:kern w:val="0"/>
          <w:sz w:val="22"/>
          <w:szCs w:val="22"/>
          <w14:ligatures w14:val="none"/>
        </w:rPr>
        <w:t>descrito</w:t>
      </w:r>
      <w:r w:rsidRPr="00F10E91">
        <w:rPr>
          <w:rFonts w:ascii="Arial" w:eastAsia="Times New Roman" w:hAnsi="Arial" w:cs="Arial"/>
          <w:color w:val="000000" w:themeColor="text1"/>
          <w:kern w:val="0"/>
          <w:sz w:val="22"/>
          <w:szCs w:val="22"/>
          <w14:ligatures w14:val="none"/>
        </w:rPr>
        <w:t>. Posteriormente, estos registros fueron revisados en el sistema de historia clínica electrónica SAP® [SAP SE. SAP ERP 6.0, Enhancement Package 7 y SAP NetWeaver 7.4. Walldorf, Alemania: SAP SE, 2025. Software informático. Accedido el 20 de octubre de 2025. </w:t>
      </w:r>
      <w:r w:rsidRPr="00F10E91">
        <w:rPr>
          <w:rFonts w:ascii="Arial" w:eastAsia="Times New Roman" w:hAnsi="Arial" w:cs="Arial"/>
          <w:color w:val="000000" w:themeColor="text1"/>
          <w:kern w:val="0"/>
          <w:sz w:val="22"/>
          <w:szCs w:val="22"/>
          <w14:ligatures w14:val="none"/>
        </w:rPr>
        <w:fldChar w:fldCharType="begin"/>
      </w:r>
      <w:r w:rsidRPr="00F10E91">
        <w:rPr>
          <w:rFonts w:ascii="Arial" w:eastAsia="Times New Roman" w:hAnsi="Arial" w:cs="Arial"/>
          <w:color w:val="000000" w:themeColor="text1"/>
          <w:kern w:val="0"/>
          <w:sz w:val="22"/>
          <w:szCs w:val="22"/>
          <w14:ligatures w14:val="none"/>
        </w:rPr>
        <w:instrText>HYPERLINK "https://www.sap.com/" \t "_new"</w:instrText>
      </w:r>
      <w:r w:rsidRPr="00F10E91">
        <w:rPr>
          <w:rFonts w:ascii="Arial" w:eastAsia="Times New Roman" w:hAnsi="Arial" w:cs="Arial"/>
          <w:color w:val="000000" w:themeColor="text1"/>
          <w:kern w:val="0"/>
          <w:sz w:val="22"/>
          <w:szCs w:val="22"/>
          <w14:ligatures w14:val="none"/>
        </w:rPr>
      </w:r>
      <w:r w:rsidRPr="00F10E91">
        <w:rPr>
          <w:rFonts w:ascii="Arial" w:eastAsia="Times New Roman" w:hAnsi="Arial" w:cs="Arial"/>
          <w:color w:val="000000" w:themeColor="text1"/>
          <w:kern w:val="0"/>
          <w:sz w:val="22"/>
          <w:szCs w:val="22"/>
          <w14:ligatures w14:val="none"/>
        </w:rPr>
        <w:fldChar w:fldCharType="separate"/>
      </w:r>
      <w:r w:rsidRPr="00F10E91">
        <w:rPr>
          <w:rFonts w:ascii="Arial" w:eastAsia="Times New Roman" w:hAnsi="Arial" w:cs="Arial"/>
          <w:color w:val="000000" w:themeColor="text1"/>
          <w:kern w:val="0"/>
          <w:sz w:val="22"/>
          <w:szCs w:val="22"/>
          <w14:ligatures w14:val="none"/>
        </w:rPr>
        <w:t>https://www.sap.com</w:t>
      </w:r>
      <w:r w:rsidRPr="00F10E91">
        <w:rPr>
          <w:rFonts w:ascii="Arial" w:eastAsia="Times New Roman" w:hAnsi="Arial" w:cs="Arial"/>
          <w:color w:val="000000" w:themeColor="text1"/>
          <w:kern w:val="0"/>
          <w:sz w:val="22"/>
          <w:szCs w:val="22"/>
          <w14:ligatures w14:val="none"/>
        </w:rPr>
        <w:fldChar w:fldCharType="end"/>
      </w:r>
      <w:r w:rsidRPr="00F10E91">
        <w:rPr>
          <w:rFonts w:ascii="Arial" w:eastAsia="Times New Roman" w:hAnsi="Arial" w:cs="Arial"/>
          <w:color w:val="000000" w:themeColor="text1"/>
          <w:kern w:val="0"/>
          <w:sz w:val="22"/>
          <w:szCs w:val="22"/>
          <w14:ligatures w14:val="none"/>
        </w:rPr>
        <w:t xml:space="preserve">], con el fin de identificar </w:t>
      </w:r>
      <w:r w:rsidRPr="00F10E91">
        <w:rPr>
          <w:rFonts w:ascii="Arial" w:eastAsia="Times New Roman" w:hAnsi="Arial" w:cs="Arial"/>
          <w:color w:val="000000" w:themeColor="text1"/>
          <w:kern w:val="0"/>
          <w:sz w:val="22"/>
          <w:szCs w:val="22"/>
          <w14:ligatures w14:val="none"/>
        </w:rPr>
        <w:lastRenderedPageBreak/>
        <w:t>aquellas pacientes que cumplían los criterios de inclusión del estudio:</w:t>
      </w:r>
      <w:r>
        <w:rPr>
          <w:rFonts w:ascii="Arial" w:eastAsia="Times New Roman" w:hAnsi="Arial" w:cs="Arial"/>
          <w:color w:val="000000" w:themeColor="text1"/>
          <w:kern w:val="0"/>
          <w:sz w:val="22"/>
          <w:szCs w:val="22"/>
          <w14:ligatures w14:val="none"/>
        </w:rPr>
        <w:t xml:space="preserve"> mujeres mayores de 18 años con cáncer de mama en estadios I, II o III, que recibieron tratamiento oncológico y seguimiento </w:t>
      </w:r>
      <w:r w:rsidR="00314560">
        <w:rPr>
          <w:rFonts w:ascii="Arial" w:eastAsia="Times New Roman" w:hAnsi="Arial" w:cs="Arial"/>
          <w:color w:val="000000" w:themeColor="text1"/>
          <w:kern w:val="0"/>
          <w:sz w:val="22"/>
          <w:szCs w:val="22"/>
          <w14:ligatures w14:val="none"/>
        </w:rPr>
        <w:t xml:space="preserve">mínimo de 5 años </w:t>
      </w:r>
      <w:r>
        <w:rPr>
          <w:rFonts w:ascii="Arial" w:eastAsia="Times New Roman" w:hAnsi="Arial" w:cs="Arial"/>
          <w:color w:val="000000" w:themeColor="text1"/>
          <w:kern w:val="0"/>
          <w:sz w:val="22"/>
          <w:szCs w:val="22"/>
          <w14:ligatures w14:val="none"/>
        </w:rPr>
        <w:t xml:space="preserve">durante el periodo de tiempo establecido. </w:t>
      </w:r>
    </w:p>
    <w:p w14:paraId="4E74C697" w14:textId="1D03EBDA" w:rsidR="00F10E91" w:rsidRDefault="00F10E91" w:rsidP="00E80471">
      <w:pPr>
        <w:jc w:val="both"/>
        <w:rPr>
          <w:rFonts w:ascii="Arial" w:eastAsia="Times New Roman" w:hAnsi="Arial" w:cs="Arial"/>
          <w:color w:val="000000" w:themeColor="text1"/>
          <w:kern w:val="0"/>
          <w:sz w:val="22"/>
          <w:szCs w:val="22"/>
          <w14:ligatures w14:val="none"/>
        </w:rPr>
      </w:pPr>
      <w:r w:rsidRPr="00F10E91">
        <w:rPr>
          <w:rFonts w:ascii="Arial" w:eastAsia="Times New Roman" w:hAnsi="Arial" w:cs="Arial"/>
          <w:color w:val="000000" w:themeColor="text1"/>
          <w:kern w:val="0"/>
          <w:sz w:val="22"/>
          <w:szCs w:val="22"/>
          <w14:ligatures w14:val="none"/>
        </w:rPr>
        <w:t xml:space="preserve">Se excluyeron las pacientes con diagnóstico de carcinoma ductal in situ, </w:t>
      </w:r>
      <w:r w:rsidRPr="00AD6D86">
        <w:rPr>
          <w:rFonts w:ascii="Arial" w:eastAsia="Arial" w:hAnsi="Arial" w:cs="Arial"/>
          <w:iCs/>
          <w:color w:val="000000"/>
          <w:sz w:val="20"/>
          <w:szCs w:val="20"/>
        </w:rPr>
        <w:t>cáncer de mama infiltrante estadio IV</w:t>
      </w:r>
      <w:r>
        <w:rPr>
          <w:rFonts w:ascii="Arial" w:eastAsia="Times New Roman" w:hAnsi="Arial" w:cs="Arial"/>
          <w:color w:val="000000" w:themeColor="text1"/>
          <w:kern w:val="0"/>
          <w:sz w:val="22"/>
          <w:szCs w:val="22"/>
          <w14:ligatures w14:val="none"/>
        </w:rPr>
        <w:t xml:space="preserve">, </w:t>
      </w:r>
      <w:r w:rsidRPr="00F10E91">
        <w:rPr>
          <w:rFonts w:ascii="Arial" w:eastAsia="Times New Roman" w:hAnsi="Arial" w:cs="Arial"/>
          <w:color w:val="000000" w:themeColor="text1"/>
          <w:kern w:val="0"/>
          <w:sz w:val="22"/>
          <w:szCs w:val="22"/>
          <w14:ligatures w14:val="none"/>
        </w:rPr>
        <w:t xml:space="preserve">aquellas </w:t>
      </w:r>
      <w:r>
        <w:rPr>
          <w:rFonts w:ascii="Arial" w:eastAsia="Times New Roman" w:hAnsi="Arial" w:cs="Arial"/>
          <w:color w:val="000000" w:themeColor="text1"/>
          <w:kern w:val="0"/>
          <w:sz w:val="22"/>
          <w:szCs w:val="22"/>
          <w14:ligatures w14:val="none"/>
        </w:rPr>
        <w:t>con manejo oncológico incompleto,</w:t>
      </w:r>
      <w:r w:rsidRPr="00F10E91">
        <w:rPr>
          <w:rFonts w:ascii="Arial" w:eastAsia="Times New Roman" w:hAnsi="Arial" w:cs="Arial"/>
          <w:color w:val="000000" w:themeColor="text1"/>
          <w:kern w:val="0"/>
          <w:sz w:val="22"/>
          <w:szCs w:val="22"/>
          <w14:ligatures w14:val="none"/>
        </w:rPr>
        <w:t xml:space="preserve"> que no continuaron seguimiento en la UFM-INC</w:t>
      </w:r>
      <w:r w:rsidR="002F76FC">
        <w:rPr>
          <w:rFonts w:ascii="Arial" w:eastAsia="Times New Roman" w:hAnsi="Arial" w:cs="Arial"/>
          <w:color w:val="000000" w:themeColor="text1"/>
          <w:kern w:val="0"/>
          <w:sz w:val="22"/>
          <w:szCs w:val="22"/>
          <w14:ligatures w14:val="none"/>
        </w:rPr>
        <w:t xml:space="preserve"> o que tuvieron pérdida del seguimiento y</w:t>
      </w:r>
      <w:r w:rsidRPr="00F10E91">
        <w:rPr>
          <w:rFonts w:ascii="Arial" w:eastAsia="Times New Roman" w:hAnsi="Arial" w:cs="Arial"/>
          <w:color w:val="000000" w:themeColor="text1"/>
          <w:kern w:val="0"/>
          <w:sz w:val="22"/>
          <w:szCs w:val="22"/>
          <w14:ligatures w14:val="none"/>
        </w:rPr>
        <w:t xml:space="preserve"> los pacientes de sexo masculino</w:t>
      </w:r>
      <w:r w:rsidR="002F76FC">
        <w:rPr>
          <w:rFonts w:ascii="Arial" w:eastAsia="Times New Roman" w:hAnsi="Arial" w:cs="Arial"/>
          <w:color w:val="000000" w:themeColor="text1"/>
          <w:kern w:val="0"/>
          <w:sz w:val="22"/>
          <w:szCs w:val="22"/>
          <w14:ligatures w14:val="none"/>
        </w:rPr>
        <w:t xml:space="preserve">. </w:t>
      </w:r>
      <w:r w:rsidRPr="00F10E91">
        <w:rPr>
          <w:rFonts w:ascii="Arial" w:eastAsia="Times New Roman" w:hAnsi="Arial" w:cs="Arial"/>
          <w:color w:val="000000" w:themeColor="text1"/>
          <w:kern w:val="0"/>
          <w:sz w:val="22"/>
          <w:szCs w:val="22"/>
          <w14:ligatures w14:val="none"/>
        </w:rPr>
        <w:t>Las variables del estudio incluyeron características clínicas y patológicas de la biopsia inicial y del espécimen quirúrgico, los tipos de tratamiento administrados</w:t>
      </w:r>
      <w:r w:rsidR="00314560">
        <w:rPr>
          <w:rFonts w:ascii="Arial" w:eastAsia="Times New Roman" w:hAnsi="Arial" w:cs="Arial"/>
          <w:color w:val="000000" w:themeColor="text1"/>
          <w:kern w:val="0"/>
          <w:sz w:val="22"/>
          <w:szCs w:val="22"/>
          <w14:ligatures w14:val="none"/>
        </w:rPr>
        <w:t>, e</w:t>
      </w:r>
      <w:r w:rsidRPr="00F10E91">
        <w:rPr>
          <w:rFonts w:ascii="Arial" w:eastAsia="Times New Roman" w:hAnsi="Arial" w:cs="Arial"/>
          <w:color w:val="000000" w:themeColor="text1"/>
          <w:kern w:val="0"/>
          <w:sz w:val="22"/>
          <w:szCs w:val="22"/>
          <w14:ligatures w14:val="none"/>
        </w:rPr>
        <w:t>l seguimiento clínico</w:t>
      </w:r>
      <w:r w:rsidR="00103BBA">
        <w:rPr>
          <w:rFonts w:ascii="Arial" w:eastAsia="Times New Roman" w:hAnsi="Arial" w:cs="Arial"/>
          <w:color w:val="000000" w:themeColor="text1"/>
          <w:kern w:val="0"/>
          <w:sz w:val="22"/>
          <w:szCs w:val="22"/>
          <w14:ligatures w14:val="none"/>
        </w:rPr>
        <w:t>,</w:t>
      </w:r>
      <w:r w:rsidR="00314560">
        <w:rPr>
          <w:rFonts w:ascii="Arial" w:eastAsia="Times New Roman" w:hAnsi="Arial" w:cs="Arial"/>
          <w:color w:val="000000" w:themeColor="text1"/>
          <w:kern w:val="0"/>
          <w:sz w:val="22"/>
          <w:szCs w:val="22"/>
          <w14:ligatures w14:val="none"/>
        </w:rPr>
        <w:t xml:space="preserve"> tipos</w:t>
      </w:r>
      <w:r w:rsidR="00103BBA">
        <w:rPr>
          <w:rFonts w:ascii="Arial" w:eastAsia="Times New Roman" w:hAnsi="Arial" w:cs="Arial"/>
          <w:color w:val="000000" w:themeColor="text1"/>
          <w:kern w:val="0"/>
          <w:sz w:val="22"/>
          <w:szCs w:val="22"/>
          <w14:ligatures w14:val="none"/>
        </w:rPr>
        <w:t xml:space="preserve"> y </w:t>
      </w:r>
      <w:r w:rsidR="00314560">
        <w:rPr>
          <w:rFonts w:ascii="Arial" w:eastAsia="Times New Roman" w:hAnsi="Arial" w:cs="Arial"/>
          <w:color w:val="000000" w:themeColor="text1"/>
          <w:kern w:val="0"/>
          <w:sz w:val="22"/>
          <w:szCs w:val="22"/>
          <w14:ligatures w14:val="none"/>
        </w:rPr>
        <w:t xml:space="preserve"> localización de</w:t>
      </w:r>
      <w:r w:rsidR="00103BBA">
        <w:rPr>
          <w:rFonts w:ascii="Arial" w:eastAsia="Times New Roman" w:hAnsi="Arial" w:cs="Arial"/>
          <w:color w:val="000000" w:themeColor="text1"/>
          <w:kern w:val="0"/>
          <w:sz w:val="22"/>
          <w:szCs w:val="22"/>
          <w14:ligatures w14:val="none"/>
        </w:rPr>
        <w:t xml:space="preserve"> la  recaida.</w:t>
      </w:r>
    </w:p>
    <w:p w14:paraId="1149AC20" w14:textId="66BEF45A" w:rsidR="00314560" w:rsidRPr="00314560" w:rsidRDefault="00314560" w:rsidP="00E80471">
      <w:pPr>
        <w:jc w:val="both"/>
        <w:rPr>
          <w:rFonts w:ascii="Arial" w:eastAsia="Times New Roman" w:hAnsi="Arial" w:cs="Arial"/>
          <w:color w:val="000000" w:themeColor="text1"/>
          <w:kern w:val="0"/>
          <w:sz w:val="22"/>
          <w:szCs w:val="22"/>
          <w14:ligatures w14:val="none"/>
        </w:rPr>
      </w:pPr>
      <w:r w:rsidRPr="00314560">
        <w:rPr>
          <w:rFonts w:ascii="Arial" w:eastAsia="Times New Roman" w:hAnsi="Arial" w:cs="Arial"/>
          <w:color w:val="000000" w:themeColor="text1"/>
          <w:kern w:val="0"/>
          <w:sz w:val="22"/>
          <w:szCs w:val="22"/>
          <w14:ligatures w14:val="none"/>
        </w:rPr>
        <w:t>La quimioterapia neoadyuvante (NACT) fue administrada de acuerdo con el subtipo biológico del cáncer de mama</w:t>
      </w:r>
      <w:r>
        <w:rPr>
          <w:rFonts w:ascii="Arial" w:eastAsia="Times New Roman" w:hAnsi="Arial" w:cs="Arial"/>
          <w:color w:val="000000" w:themeColor="text1"/>
          <w:kern w:val="0"/>
          <w:sz w:val="22"/>
          <w:szCs w:val="22"/>
          <w14:ligatures w14:val="none"/>
        </w:rPr>
        <w:t>. E</w:t>
      </w:r>
      <w:r w:rsidRPr="00314560">
        <w:rPr>
          <w:rFonts w:ascii="Arial" w:eastAsia="Times New Roman" w:hAnsi="Arial" w:cs="Arial"/>
          <w:color w:val="000000" w:themeColor="text1"/>
          <w:kern w:val="0"/>
          <w:sz w:val="22"/>
          <w:szCs w:val="22"/>
          <w14:ligatures w14:val="none"/>
        </w:rPr>
        <w:t xml:space="preserve">n relación al manejo quirúrgico </w:t>
      </w:r>
      <w:r>
        <w:rPr>
          <w:rFonts w:ascii="Arial" w:eastAsia="Times New Roman" w:hAnsi="Arial" w:cs="Arial"/>
          <w:color w:val="000000" w:themeColor="text1"/>
          <w:kern w:val="0"/>
          <w:sz w:val="22"/>
          <w:szCs w:val="22"/>
          <w14:ligatures w14:val="none"/>
        </w:rPr>
        <w:t xml:space="preserve">se realizó de acuerdo a </w:t>
      </w:r>
      <w:r w:rsidR="00103BBA">
        <w:rPr>
          <w:rFonts w:ascii="Arial" w:eastAsia="Times New Roman" w:hAnsi="Arial" w:cs="Arial"/>
          <w:color w:val="000000" w:themeColor="text1"/>
          <w:kern w:val="0"/>
          <w:sz w:val="22"/>
          <w:szCs w:val="22"/>
          <w14:ligatures w14:val="none"/>
        </w:rPr>
        <w:t>los protocolos de la unidad (</w:t>
      </w:r>
      <w:r w:rsidRPr="00314560">
        <w:rPr>
          <w:rFonts w:ascii="Arial" w:eastAsia="Times New Roman" w:hAnsi="Arial" w:cs="Arial"/>
          <w:color w:val="000000" w:themeColor="text1"/>
          <w:kern w:val="0"/>
          <w:sz w:val="22"/>
          <w:szCs w:val="22"/>
          <w14:ligatures w14:val="none"/>
        </w:rPr>
        <w:t>cirugía conservadora</w:t>
      </w:r>
      <w:r w:rsidR="00103BBA">
        <w:rPr>
          <w:rFonts w:ascii="Arial" w:eastAsia="Times New Roman" w:hAnsi="Arial" w:cs="Arial"/>
          <w:color w:val="000000" w:themeColor="text1"/>
          <w:kern w:val="0"/>
          <w:sz w:val="22"/>
          <w:szCs w:val="22"/>
          <w14:ligatures w14:val="none"/>
        </w:rPr>
        <w:t>, cirugia radical, reconstruccion mamaria, biopsia de</w:t>
      </w:r>
      <w:r w:rsidRPr="00314560">
        <w:rPr>
          <w:rFonts w:ascii="Arial" w:eastAsia="Times New Roman" w:hAnsi="Arial" w:cs="Arial"/>
          <w:color w:val="000000" w:themeColor="text1"/>
          <w:kern w:val="0"/>
          <w:sz w:val="22"/>
          <w:szCs w:val="22"/>
          <w14:ligatures w14:val="none"/>
        </w:rPr>
        <w:t xml:space="preserve"> ganglio centinela</w:t>
      </w:r>
      <w:r w:rsidR="00103BBA">
        <w:rPr>
          <w:rFonts w:ascii="Arial" w:eastAsia="Times New Roman" w:hAnsi="Arial" w:cs="Arial"/>
          <w:color w:val="000000" w:themeColor="text1"/>
          <w:kern w:val="0"/>
          <w:sz w:val="22"/>
          <w:szCs w:val="22"/>
          <w14:ligatures w14:val="none"/>
        </w:rPr>
        <w:t xml:space="preserve">, lindfadectomia axilar, </w:t>
      </w:r>
      <w:r w:rsidRPr="00314560">
        <w:rPr>
          <w:rFonts w:ascii="Arial" w:eastAsia="Times New Roman" w:hAnsi="Arial" w:cs="Arial"/>
          <w:color w:val="000000" w:themeColor="text1"/>
          <w:kern w:val="0"/>
          <w:sz w:val="22"/>
          <w:szCs w:val="22"/>
          <w14:ligatures w14:val="none"/>
        </w:rPr>
        <w:t xml:space="preserve"> </w:t>
      </w:r>
      <w:r w:rsidR="00103BBA">
        <w:rPr>
          <w:rFonts w:ascii="Arial" w:eastAsia="Times New Roman" w:hAnsi="Arial" w:cs="Arial"/>
          <w:color w:val="000000" w:themeColor="text1"/>
          <w:kern w:val="0"/>
          <w:sz w:val="22"/>
          <w:szCs w:val="22"/>
          <w14:ligatures w14:val="none"/>
        </w:rPr>
        <w:t xml:space="preserve">omision de linfadenectomia). </w:t>
      </w:r>
      <w:r>
        <w:rPr>
          <w:rFonts w:ascii="Arial" w:eastAsia="Times New Roman" w:hAnsi="Arial" w:cs="Arial"/>
          <w:color w:val="000000" w:themeColor="text1"/>
          <w:kern w:val="0"/>
          <w:sz w:val="22"/>
          <w:szCs w:val="22"/>
          <w14:ligatures w14:val="none"/>
        </w:rPr>
        <w:t>L</w:t>
      </w:r>
      <w:r w:rsidRPr="00314560">
        <w:rPr>
          <w:rFonts w:ascii="Arial" w:eastAsia="Times New Roman" w:hAnsi="Arial" w:cs="Arial"/>
          <w:color w:val="000000" w:themeColor="text1"/>
          <w:kern w:val="0"/>
          <w:sz w:val="22"/>
          <w:szCs w:val="22"/>
          <w14:ligatures w14:val="none"/>
        </w:rPr>
        <w:t xml:space="preserve">a radioterapia adyuvante se </w:t>
      </w:r>
      <w:r w:rsidR="00E80471">
        <w:rPr>
          <w:rFonts w:ascii="Arial" w:eastAsia="Times New Roman" w:hAnsi="Arial" w:cs="Arial"/>
          <w:color w:val="000000" w:themeColor="text1"/>
          <w:kern w:val="0"/>
          <w:sz w:val="22"/>
          <w:szCs w:val="22"/>
          <w14:ligatures w14:val="none"/>
        </w:rPr>
        <w:t>administró</w:t>
      </w:r>
      <w:r w:rsidRPr="00314560">
        <w:rPr>
          <w:rFonts w:ascii="Arial" w:eastAsia="Times New Roman" w:hAnsi="Arial" w:cs="Arial"/>
          <w:color w:val="000000" w:themeColor="text1"/>
          <w:kern w:val="0"/>
          <w:sz w:val="22"/>
          <w:szCs w:val="22"/>
          <w14:ligatures w14:val="none"/>
        </w:rPr>
        <w:t xml:space="preserve"> después de cirugía conservadora</w:t>
      </w:r>
      <w:r w:rsidR="00E80471">
        <w:rPr>
          <w:rFonts w:ascii="Arial" w:eastAsia="Times New Roman" w:hAnsi="Arial" w:cs="Arial"/>
          <w:color w:val="000000" w:themeColor="text1"/>
          <w:kern w:val="0"/>
          <w:sz w:val="22"/>
          <w:szCs w:val="22"/>
          <w14:ligatures w14:val="none"/>
        </w:rPr>
        <w:t xml:space="preserve"> y después de mastectomía en pacientes con ganglios positivos, cT3, estadios localmente avanzados y en los estadíos IIIB. </w:t>
      </w:r>
      <w:r>
        <w:rPr>
          <w:rFonts w:ascii="Arial" w:eastAsia="Times New Roman" w:hAnsi="Arial" w:cs="Arial"/>
          <w:color w:val="000000" w:themeColor="text1"/>
          <w:kern w:val="0"/>
          <w:sz w:val="22"/>
          <w:szCs w:val="22"/>
          <w14:ligatures w14:val="none"/>
        </w:rPr>
        <w:t>E</w:t>
      </w:r>
      <w:r w:rsidRPr="00314560">
        <w:rPr>
          <w:rFonts w:ascii="Arial" w:eastAsia="Times New Roman" w:hAnsi="Arial" w:cs="Arial"/>
          <w:color w:val="000000" w:themeColor="text1"/>
          <w:kern w:val="0"/>
          <w:sz w:val="22"/>
          <w:szCs w:val="22"/>
          <w14:ligatures w14:val="none"/>
        </w:rPr>
        <w:t xml:space="preserve">l tratamiento  sistémico adyuvante se administró de acuerdo a la biología tumoral y  en pacientes con enfermedad residual </w:t>
      </w:r>
      <w:r>
        <w:rPr>
          <w:rFonts w:ascii="Arial" w:eastAsia="Times New Roman" w:hAnsi="Arial" w:cs="Arial"/>
          <w:color w:val="000000" w:themeColor="text1"/>
          <w:kern w:val="0"/>
          <w:sz w:val="22"/>
          <w:szCs w:val="22"/>
          <w14:ligatures w14:val="none"/>
        </w:rPr>
        <w:t>en los subtipos biológicos HER-2 positivo</w:t>
      </w:r>
      <w:r w:rsidRPr="00314560">
        <w:rPr>
          <w:rFonts w:ascii="Arial" w:eastAsia="Times New Roman" w:hAnsi="Arial" w:cs="Arial"/>
          <w:color w:val="000000" w:themeColor="text1"/>
          <w:kern w:val="0"/>
          <w:sz w:val="22"/>
          <w:szCs w:val="22"/>
          <w14:ligatures w14:val="none"/>
        </w:rPr>
        <w:t> y triple negativ</w:t>
      </w:r>
      <w:r>
        <w:rPr>
          <w:rFonts w:ascii="Arial" w:eastAsia="Times New Roman" w:hAnsi="Arial" w:cs="Arial"/>
          <w:color w:val="000000" w:themeColor="text1"/>
          <w:kern w:val="0"/>
          <w:sz w:val="22"/>
          <w:szCs w:val="22"/>
          <w14:ligatures w14:val="none"/>
        </w:rPr>
        <w:t>o</w:t>
      </w:r>
      <w:r w:rsidR="00103BBA">
        <w:rPr>
          <w:rFonts w:ascii="Arial" w:eastAsia="Times New Roman" w:hAnsi="Arial" w:cs="Arial"/>
          <w:color w:val="000000" w:themeColor="text1"/>
          <w:kern w:val="0"/>
          <w:sz w:val="22"/>
          <w:szCs w:val="22"/>
          <w14:ligatures w14:val="none"/>
        </w:rPr>
        <w:t xml:space="preserve"> desde el año 2021</w:t>
      </w:r>
      <w:r>
        <w:rPr>
          <w:rFonts w:ascii="Arial" w:eastAsia="Times New Roman" w:hAnsi="Arial" w:cs="Arial"/>
          <w:color w:val="000000" w:themeColor="text1"/>
          <w:kern w:val="0"/>
          <w:sz w:val="22"/>
          <w:szCs w:val="22"/>
          <w14:ligatures w14:val="none"/>
        </w:rPr>
        <w:t xml:space="preserve">. </w:t>
      </w:r>
    </w:p>
    <w:p w14:paraId="7490F9DB" w14:textId="37D32A63" w:rsidR="002F76FC" w:rsidRDefault="002F76FC" w:rsidP="00E80471">
      <w:pPr>
        <w:jc w:val="both"/>
        <w:rPr>
          <w:rFonts w:ascii="Arial" w:eastAsia="Times New Roman" w:hAnsi="Arial" w:cs="Arial"/>
          <w:color w:val="000000" w:themeColor="text1"/>
          <w:kern w:val="0"/>
          <w:sz w:val="22"/>
          <w:szCs w:val="22"/>
          <w14:ligatures w14:val="none"/>
        </w:rPr>
      </w:pPr>
      <w:r w:rsidRPr="002F76FC">
        <w:rPr>
          <w:rFonts w:ascii="Arial" w:eastAsia="Times New Roman" w:hAnsi="Arial" w:cs="Arial"/>
          <w:color w:val="000000" w:themeColor="text1"/>
          <w:kern w:val="0"/>
          <w:sz w:val="22"/>
          <w:szCs w:val="22"/>
          <w14:ligatures w14:val="none"/>
        </w:rPr>
        <w:t xml:space="preserve">Dos autores realizaron la extracción e ingreso de los datos en una plataforma electrónica (REDCap® versión 7.1.2), diseñada para el registro de las variables clínicas del estudio. La calidad y precisión de la información fueron verificadas por un asistente de investigación asignado por la División de Investigación del INC. El estudio fue aprobado por el Comité de Ética del INC, de acuerdo con los estándares establecidos en la Declaración de Helsinki (Fortaleza, Brasil, 2013) y la Conferencia Internacional de Armonización para Buenas Prácticas Clínicas (ICH-GCP E6, 1996) </w:t>
      </w:r>
      <w:r w:rsidR="00B81CBA">
        <w:rPr>
          <w:rFonts w:ascii="Arial" w:eastAsia="Times New Roman" w:hAnsi="Arial" w:cs="Arial"/>
          <w:color w:val="000000" w:themeColor="text1"/>
          <w:kern w:val="0"/>
          <w:sz w:val="22"/>
          <w:szCs w:val="22"/>
          <w14:ligatures w14:val="none"/>
        </w:rPr>
        <w:t>[</w:t>
      </w:r>
      <w:r>
        <w:rPr>
          <w:rFonts w:ascii="Arial" w:eastAsia="Times New Roman" w:hAnsi="Arial" w:cs="Arial"/>
          <w:color w:val="000000" w:themeColor="text1"/>
          <w:kern w:val="0"/>
          <w:sz w:val="22"/>
          <w:szCs w:val="22"/>
          <w14:ligatures w14:val="none"/>
        </w:rPr>
        <w:t>11</w:t>
      </w:r>
      <w:r w:rsidR="00B81CBA">
        <w:rPr>
          <w:rFonts w:ascii="Arial" w:eastAsia="Times New Roman" w:hAnsi="Arial" w:cs="Arial"/>
          <w:color w:val="000000" w:themeColor="text1"/>
          <w:kern w:val="0"/>
          <w:sz w:val="22"/>
          <w:szCs w:val="22"/>
          <w14:ligatures w14:val="none"/>
        </w:rPr>
        <w:t>]</w:t>
      </w:r>
      <w:r w:rsidRPr="002F76FC">
        <w:rPr>
          <w:rFonts w:ascii="Arial" w:eastAsia="Times New Roman" w:hAnsi="Arial" w:cs="Arial"/>
          <w:color w:val="000000" w:themeColor="text1"/>
          <w:kern w:val="0"/>
          <w:sz w:val="22"/>
          <w:szCs w:val="22"/>
          <w14:ligatures w14:val="none"/>
        </w:rPr>
        <w:t>. Dado que se trató de un estudio retrospectivo, sin intervenciones adicionales a los protocolos de tratamiento de cáncer de mama seguidos en la UFM-INC, no fue requerida la firma de consentimiento informado.</w:t>
      </w:r>
    </w:p>
    <w:p w14:paraId="457CA2EB" w14:textId="03C2EA8E" w:rsidR="002F76FC" w:rsidRPr="002F76FC" w:rsidRDefault="00C1070C" w:rsidP="00E80471">
      <w:pPr>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2.2 </w:t>
      </w:r>
      <w:r w:rsidR="002F76FC">
        <w:rPr>
          <w:rFonts w:ascii="Arial" w:eastAsia="Times New Roman" w:hAnsi="Arial" w:cs="Arial"/>
          <w:i/>
          <w:iCs/>
          <w:color w:val="000000" w:themeColor="text1"/>
          <w:kern w:val="0"/>
          <w:sz w:val="22"/>
          <w:szCs w:val="22"/>
          <w14:ligatures w14:val="none"/>
        </w:rPr>
        <w:t>Análisis estadístico</w:t>
      </w:r>
    </w:p>
    <w:p w14:paraId="2135FA6E" w14:textId="505E6812" w:rsidR="002F76FC" w:rsidRPr="0051781F" w:rsidRDefault="002F76FC" w:rsidP="00E80471">
      <w:pPr>
        <w:spacing w:after="0" w:line="240" w:lineRule="auto"/>
        <w:jc w:val="both"/>
        <w:rPr>
          <w:rFonts w:ascii="Arial" w:eastAsia="Times New Roman" w:hAnsi="Arial" w:cs="Arial"/>
          <w:color w:val="000000" w:themeColor="text1"/>
          <w:kern w:val="0"/>
          <w:sz w:val="22"/>
          <w:szCs w:val="22"/>
          <w14:ligatures w14:val="none"/>
        </w:rPr>
      </w:pPr>
      <w:r>
        <w:rPr>
          <w:rFonts w:ascii="Arial" w:eastAsia="Times New Roman" w:hAnsi="Arial" w:cs="Arial"/>
          <w:color w:val="000000" w:themeColor="text1"/>
          <w:kern w:val="0"/>
          <w:sz w:val="22"/>
          <w:szCs w:val="22"/>
          <w14:ligatures w14:val="none"/>
        </w:rPr>
        <w:t>Se</w:t>
      </w:r>
      <w:r w:rsidRPr="0051781F">
        <w:rPr>
          <w:rFonts w:ascii="Arial" w:eastAsia="Times New Roman" w:hAnsi="Arial" w:cs="Arial"/>
          <w:color w:val="000000" w:themeColor="text1"/>
          <w:kern w:val="0"/>
          <w:sz w:val="22"/>
          <w:szCs w:val="22"/>
          <w14:ligatures w14:val="none"/>
        </w:rPr>
        <w:t xml:space="preserve"> realizó una caracterización descriptiva de las variables sociodemográficas, clínicas, biológicas y de tratamiento. Para las variables cualitativas se calcularon frecuencias absolutas y relativas. En las variables cuantitativas, se evaluó el supuesto de normalidad mediante la prueba de Kolmogórov-Smirnov. Las variables con distribución normal se describieron con media y desviación estándar, mientras que las que no cumplían este supuesto se resumen mediante mediana y rango intercuartílico. Para la estimación de la incidencia, considerando el tiempo individual de seguimiento de cada paciente, se utilizó la tasa de densidad de incidencia en función del tiempo observado. </w:t>
      </w:r>
    </w:p>
    <w:p w14:paraId="58182162" w14:textId="77777777" w:rsidR="002F76FC" w:rsidRDefault="002F76FC" w:rsidP="00E80471">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Se realizó un análisis bivariado comparando pacientes con y sin recaída tumoral, definiendo esta como cualquier evento de recaida local, regional o a distancia, con desenlace dicotómico (recaída sí/no). En variables cualitativas se aplicaron la prueba de Chi-cuadrado, la prueba exacta de Fisher y la prueba asintótica de Fisher-Freeman-Halton. En variables cuantitativas se emplearon la prueba t de Student o la prueba U de Mann-Whitney, según correspondió. </w:t>
      </w:r>
    </w:p>
    <w:p w14:paraId="2683E604" w14:textId="77777777" w:rsidR="002F76FC"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Como variables independientes se incluyeron aquellas con relevancia clínica basada en literatura y las que mostraron significancia estadística en el análisis bivariado, definiendo un umbral de </w:t>
      </w:r>
      <w:r w:rsidRPr="0051781F">
        <w:rPr>
          <w:rFonts w:ascii="Arial" w:eastAsia="Times New Roman" w:hAnsi="Arial" w:cs="Arial"/>
          <w:color w:val="000000" w:themeColor="text1"/>
          <w:kern w:val="0"/>
          <w:sz w:val="22"/>
          <w:szCs w:val="22"/>
          <w14:ligatures w14:val="none"/>
        </w:rPr>
        <w:lastRenderedPageBreak/>
        <w:t xml:space="preserve">valo-p &lt; 0.1 para no descartar variables potencialmente relevantes. Se evaluó el efecto univariado de cada variable mediante regresión logística no ajustada para: edad al diagnóstico (&lt;50 vs. ≥50 años), régimen de afiliación (subsidiado vs. contributivo/otros), estadio clínico (I vs. II y I vs. III), subtipo molecular (luminal A vs. luminal B Her2-, luminal A vs. luminal B Her2+, luminal A vs. Her2+, luminal A vs. triple negativo), quimioterapia neoadyuvante (no vs. sí), tipo de cirugía de mama (conservadora vs. radical), cirugía axilar (biopsia de ganglio centinela vs. linfadenectomía axilar), compromiso de márgenes (negativo vs. positivo), número de ganglios linfáticos afectados (negativo vs. 1-3 y negativo vs. &gt;3), tamaño tumoral patológico (sin tumor residual vs. infiltrante &lt;2 cm, 2-5 cm o &gt;5 cm), grado histológico (sin tumor residual vs. 1-2 y sin tumor residual vs. 3), invasión linfovascular (negativo vs. positivo), y terapias adyuvantes sistémica, endocrina y radioterapia (no vs. sí). </w:t>
      </w:r>
    </w:p>
    <w:p w14:paraId="22FDE416" w14:textId="30C59222" w:rsidR="002F76FC"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 xml:space="preserve">Para variables con más del 20% de datos ausentes, se restringió el análisis a la evaluación univariada para evitar sesgos. Dada la posible colinealidad entre variables como subtipo molecular y grado histológico (donde tumores triple negativo y HER2+ presentan diferenciación pobre) o subtipo molecular y terapia endocrina adyuvante (aplicada solo en tumores hormonosensibles), se aplicó la selección de variables mediante regresión LASSO (Least Absolute Shrinkage and Selection Operator) para lograr un modelo logístico parsimonioso. El parámetro de penalización λ se estimó por validación cruzada, seleccionando el valor que minimizó el error cuadratico medio de predicción. El modelo final incluyó solo variables con coeficientes distintos de cero según LASSO. </w:t>
      </w:r>
    </w:p>
    <w:p w14:paraId="2ED508A2" w14:textId="50CB5161" w:rsidR="002F76FC" w:rsidRPr="0051781F" w:rsidRDefault="002F76FC" w:rsidP="002F76FC">
      <w:pPr>
        <w:spacing w:after="0" w:line="240" w:lineRule="auto"/>
        <w:jc w:val="both"/>
        <w:rPr>
          <w:rFonts w:ascii="Arial" w:eastAsia="Times New Roman" w:hAnsi="Arial" w:cs="Arial"/>
          <w:color w:val="000000" w:themeColor="text1"/>
          <w:kern w:val="0"/>
          <w:sz w:val="22"/>
          <w:szCs w:val="22"/>
          <w14:ligatures w14:val="none"/>
        </w:rPr>
      </w:pPr>
      <w:r w:rsidRPr="0051781F">
        <w:rPr>
          <w:rFonts w:ascii="Arial" w:eastAsia="Times New Roman" w:hAnsi="Arial" w:cs="Arial"/>
          <w:color w:val="000000" w:themeColor="text1"/>
          <w:kern w:val="0"/>
          <w:sz w:val="22"/>
          <w:szCs w:val="22"/>
          <w14:ligatures w14:val="none"/>
        </w:rPr>
        <w:t>Finalmente, se evaluó la multicolinealidad con el factor de inflación de la varianza (VIF), la presencia de observaciones influyentes mediante la distancia de Cook's, y la bondad de ajuste del modelo final con la prueba de Hosmer-Lemeshow y gráficos de calibración. Todos los análisis estadísticos fueron bilaterales, considerando como estadísticamente significativa un p-valor &lt; 0.05. Todos los analisis estadisticos se realizaron con el software R versión 4.5.1 (R Foundation for Statistical Computing, Viena, Austria).</w:t>
      </w:r>
    </w:p>
    <w:p w14:paraId="7A1A1350" w14:textId="77777777" w:rsidR="002F76FC" w:rsidRPr="0051781F" w:rsidRDefault="002F76FC" w:rsidP="002F76FC">
      <w:pPr>
        <w:spacing w:after="0" w:line="240" w:lineRule="auto"/>
        <w:jc w:val="both"/>
        <w:rPr>
          <w:rFonts w:ascii="Arial" w:eastAsia="Times New Roman" w:hAnsi="Arial" w:cs="Arial"/>
          <w:color w:val="000000" w:themeColor="text1"/>
          <w:kern w:val="0"/>
          <w:sz w:val="22"/>
          <w:szCs w:val="22"/>
          <w14:ligatures w14:val="none"/>
        </w:rPr>
      </w:pPr>
    </w:p>
    <w:p w14:paraId="36267294" w14:textId="249FEAEE" w:rsidR="002F76FC" w:rsidRPr="00C1070C" w:rsidRDefault="002F76FC" w:rsidP="00C1070C">
      <w:pPr>
        <w:pStyle w:val="ListParagraph"/>
        <w:numPr>
          <w:ilvl w:val="0"/>
          <w:numId w:val="7"/>
        </w:numPr>
        <w:spacing w:after="0" w:line="240" w:lineRule="auto"/>
        <w:jc w:val="both"/>
        <w:rPr>
          <w:rFonts w:ascii="Arial" w:eastAsia="Times New Roman" w:hAnsi="Arial" w:cs="Arial"/>
          <w:b/>
          <w:bCs/>
          <w:color w:val="000000" w:themeColor="text1"/>
          <w:kern w:val="0"/>
          <w:sz w:val="22"/>
          <w:szCs w:val="22"/>
          <w:u w:val="single"/>
          <w14:ligatures w14:val="none"/>
        </w:rPr>
      </w:pPr>
      <w:r w:rsidRPr="00C1070C">
        <w:rPr>
          <w:rFonts w:ascii="Arial" w:eastAsia="Times New Roman" w:hAnsi="Arial" w:cs="Arial"/>
          <w:b/>
          <w:bCs/>
          <w:color w:val="000000" w:themeColor="text1"/>
          <w:kern w:val="0"/>
          <w:sz w:val="22"/>
          <w:szCs w:val="22"/>
          <w:u w:val="single"/>
          <w14:ligatures w14:val="none"/>
        </w:rPr>
        <w:t>RESULTADOS</w:t>
      </w:r>
    </w:p>
    <w:p w14:paraId="714977D0" w14:textId="77777777" w:rsidR="00F10E91" w:rsidRPr="002F76FC" w:rsidRDefault="00F10E91" w:rsidP="002F76FC">
      <w:pPr>
        <w:spacing w:after="0" w:line="240" w:lineRule="auto"/>
        <w:jc w:val="both"/>
        <w:rPr>
          <w:rFonts w:ascii="Arial" w:eastAsia="Times New Roman" w:hAnsi="Arial" w:cs="Arial"/>
          <w:color w:val="000000" w:themeColor="text1"/>
          <w:kern w:val="0"/>
          <w:sz w:val="22"/>
          <w:szCs w:val="22"/>
          <w14:ligatures w14:val="none"/>
        </w:rPr>
      </w:pPr>
    </w:p>
    <w:p w14:paraId="507AFDA2" w14:textId="46099BA1" w:rsidR="00C1070C" w:rsidRPr="00C1070C" w:rsidRDefault="00314560" w:rsidP="00C1070C">
      <w:pPr>
        <w:spacing w:after="0" w:line="240" w:lineRule="auto"/>
        <w:jc w:val="both"/>
        <w:rPr>
          <w:rFonts w:ascii="Arial" w:eastAsia="Times New Roman" w:hAnsi="Arial" w:cs="Arial"/>
          <w:color w:val="000000" w:themeColor="text1"/>
          <w:kern w:val="0"/>
          <w:sz w:val="22"/>
          <w:szCs w:val="22"/>
          <w14:ligatures w14:val="none"/>
        </w:rPr>
      </w:pPr>
      <w:r w:rsidRPr="00314560">
        <w:rPr>
          <w:rFonts w:ascii="Arial" w:eastAsia="Times New Roman" w:hAnsi="Arial" w:cs="Arial"/>
          <w:color w:val="000000" w:themeColor="text1"/>
          <w:kern w:val="0"/>
          <w:sz w:val="22"/>
          <w:szCs w:val="22"/>
          <w14:ligatures w14:val="none"/>
        </w:rPr>
        <w:t xml:space="preserve">Entre el 1 de </w:t>
      </w:r>
      <w:r>
        <w:rPr>
          <w:rFonts w:ascii="Arial" w:eastAsia="Times New Roman" w:hAnsi="Arial" w:cs="Arial"/>
          <w:color w:val="000000" w:themeColor="text1"/>
          <w:kern w:val="0"/>
          <w:sz w:val="22"/>
          <w:szCs w:val="22"/>
          <w14:ligatures w14:val="none"/>
        </w:rPr>
        <w:t>S</w:t>
      </w:r>
      <w:r w:rsidRPr="00314560">
        <w:rPr>
          <w:rFonts w:ascii="Arial" w:eastAsia="Times New Roman" w:hAnsi="Arial" w:cs="Arial"/>
          <w:color w:val="000000" w:themeColor="text1"/>
          <w:kern w:val="0"/>
          <w:sz w:val="22"/>
          <w:szCs w:val="22"/>
          <w14:ligatures w14:val="none"/>
        </w:rPr>
        <w:t xml:space="preserve">eptiembre de 2013 y el 30 de </w:t>
      </w:r>
      <w:r>
        <w:rPr>
          <w:rFonts w:ascii="Arial" w:eastAsia="Times New Roman" w:hAnsi="Arial" w:cs="Arial"/>
          <w:color w:val="000000" w:themeColor="text1"/>
          <w:kern w:val="0"/>
          <w:sz w:val="22"/>
          <w:szCs w:val="22"/>
          <w14:ligatures w14:val="none"/>
        </w:rPr>
        <w:t>A</w:t>
      </w:r>
      <w:r w:rsidRPr="00314560">
        <w:rPr>
          <w:rFonts w:ascii="Arial" w:eastAsia="Times New Roman" w:hAnsi="Arial" w:cs="Arial"/>
          <w:color w:val="000000" w:themeColor="text1"/>
          <w:kern w:val="0"/>
          <w:sz w:val="22"/>
          <w:szCs w:val="22"/>
          <w14:ligatures w14:val="none"/>
        </w:rPr>
        <w:t>gosto de 2019, se revisaron un total de 1</w:t>
      </w:r>
      <w:r w:rsidR="00103BBA">
        <w:rPr>
          <w:rFonts w:ascii="Arial" w:eastAsia="Times New Roman" w:hAnsi="Arial" w:cs="Arial"/>
          <w:color w:val="000000" w:themeColor="text1"/>
          <w:kern w:val="0"/>
          <w:sz w:val="22"/>
          <w:szCs w:val="22"/>
          <w14:ligatures w14:val="none"/>
        </w:rPr>
        <w:t>.</w:t>
      </w:r>
      <w:r w:rsidRPr="00314560">
        <w:rPr>
          <w:rFonts w:ascii="Arial" w:eastAsia="Times New Roman" w:hAnsi="Arial" w:cs="Arial"/>
          <w:color w:val="000000" w:themeColor="text1"/>
          <w:kern w:val="0"/>
          <w:sz w:val="22"/>
          <w:szCs w:val="22"/>
          <w14:ligatures w14:val="none"/>
        </w:rPr>
        <w:t>481 historias clínicas de pacientes en estadios I-III  en la UF</w:t>
      </w:r>
      <w:r>
        <w:rPr>
          <w:rFonts w:ascii="Arial" w:eastAsia="Times New Roman" w:hAnsi="Arial" w:cs="Arial"/>
          <w:color w:val="000000" w:themeColor="text1"/>
          <w:kern w:val="0"/>
          <w:sz w:val="22"/>
          <w:szCs w:val="22"/>
          <w14:ligatures w14:val="none"/>
        </w:rPr>
        <w:t>STB</w:t>
      </w:r>
      <w:r w:rsidRPr="00314560">
        <w:rPr>
          <w:rFonts w:ascii="Arial" w:eastAsia="Times New Roman" w:hAnsi="Arial" w:cs="Arial"/>
          <w:color w:val="000000" w:themeColor="text1"/>
          <w:kern w:val="0"/>
          <w:sz w:val="22"/>
          <w:szCs w:val="22"/>
          <w14:ligatures w14:val="none"/>
        </w:rPr>
        <w:t xml:space="preserve">-INC. Después de la revisión de los registros clínicos, se excluyeron </w:t>
      </w:r>
      <w:r w:rsidR="00C1070C">
        <w:rPr>
          <w:rFonts w:ascii="Arial" w:eastAsia="Times New Roman" w:hAnsi="Arial" w:cs="Arial"/>
          <w:color w:val="000000" w:themeColor="text1"/>
          <w:kern w:val="0"/>
          <w:sz w:val="22"/>
          <w:szCs w:val="22"/>
          <w14:ligatures w14:val="none"/>
        </w:rPr>
        <w:t>6</w:t>
      </w:r>
      <w:r w:rsidR="00E80471">
        <w:rPr>
          <w:rFonts w:ascii="Arial" w:eastAsia="Times New Roman" w:hAnsi="Arial" w:cs="Arial"/>
          <w:color w:val="000000" w:themeColor="text1"/>
          <w:kern w:val="0"/>
          <w:sz w:val="22"/>
          <w:szCs w:val="22"/>
          <w14:ligatures w14:val="none"/>
        </w:rPr>
        <w:t>32</w:t>
      </w:r>
      <w:r w:rsidR="00C1070C">
        <w:rPr>
          <w:rFonts w:ascii="Arial" w:eastAsia="Times New Roman" w:hAnsi="Arial" w:cs="Arial"/>
          <w:color w:val="000000" w:themeColor="text1"/>
          <w:kern w:val="0"/>
          <w:sz w:val="22"/>
          <w:szCs w:val="22"/>
          <w14:ligatures w14:val="none"/>
        </w:rPr>
        <w:t xml:space="preserve"> pacientes,</w:t>
      </w:r>
      <w:r w:rsidR="00E80471">
        <w:rPr>
          <w:rFonts w:ascii="Arial" w:eastAsia="Times New Roman" w:hAnsi="Arial" w:cs="Arial"/>
          <w:color w:val="000000" w:themeColor="text1"/>
          <w:kern w:val="0"/>
          <w:sz w:val="22"/>
          <w:szCs w:val="22"/>
          <w14:ligatures w14:val="none"/>
        </w:rPr>
        <w:t xml:space="preserve"> </w:t>
      </w:r>
      <w:r w:rsidR="00C1070C" w:rsidRPr="00C1070C">
        <w:rPr>
          <w:rFonts w:ascii="Arial" w:eastAsia="Times New Roman" w:hAnsi="Arial" w:cs="Arial"/>
          <w:color w:val="000000" w:themeColor="text1"/>
          <w:kern w:val="0"/>
          <w:sz w:val="22"/>
          <w:szCs w:val="22"/>
          <w14:ligatures w14:val="none"/>
        </w:rPr>
        <w:t xml:space="preserve">la mayoría por pérdida </w:t>
      </w:r>
      <w:r w:rsidR="00E80471">
        <w:rPr>
          <w:rFonts w:ascii="Arial" w:eastAsia="Times New Roman" w:hAnsi="Arial" w:cs="Arial"/>
          <w:color w:val="000000" w:themeColor="text1"/>
          <w:kern w:val="0"/>
          <w:sz w:val="22"/>
          <w:szCs w:val="22"/>
          <w14:ligatures w14:val="none"/>
        </w:rPr>
        <w:t>en el</w:t>
      </w:r>
      <w:r w:rsidR="00C1070C" w:rsidRPr="00C1070C">
        <w:rPr>
          <w:rFonts w:ascii="Arial" w:eastAsia="Times New Roman" w:hAnsi="Arial" w:cs="Arial"/>
          <w:color w:val="000000" w:themeColor="text1"/>
          <w:kern w:val="0"/>
          <w:sz w:val="22"/>
          <w:szCs w:val="22"/>
          <w14:ligatures w14:val="none"/>
        </w:rPr>
        <w:t xml:space="preserve"> seguimiento</w:t>
      </w:r>
      <w:r w:rsidR="00E80471">
        <w:rPr>
          <w:rFonts w:ascii="Arial" w:eastAsia="Times New Roman" w:hAnsi="Arial" w:cs="Arial"/>
          <w:color w:val="000000" w:themeColor="text1"/>
          <w:kern w:val="0"/>
          <w:sz w:val="22"/>
          <w:szCs w:val="22"/>
          <w14:ligatures w14:val="none"/>
        </w:rPr>
        <w:t xml:space="preserve"> y traslado a otras instituciones para continuar tratamiento fuera del INC. En la segunda revisión de la base de datos para el análisis estadiístico se excluyeron otras 16 pacientes.</w:t>
      </w:r>
      <w:r w:rsidR="00C1070C" w:rsidRPr="00C1070C">
        <w:rPr>
          <w:rFonts w:ascii="Arial" w:eastAsia="Times New Roman" w:hAnsi="Arial" w:cs="Arial"/>
          <w:color w:val="000000" w:themeColor="text1"/>
          <w:kern w:val="0"/>
          <w:sz w:val="22"/>
          <w:szCs w:val="22"/>
          <w14:ligatures w14:val="none"/>
        </w:rPr>
        <w:t xml:space="preserve"> Finalmente, se incluyeron 833 pacientes</w:t>
      </w:r>
      <w:r w:rsidR="00103BBA">
        <w:rPr>
          <w:rFonts w:ascii="Arial" w:eastAsia="Times New Roman" w:hAnsi="Arial" w:cs="Arial"/>
          <w:color w:val="000000" w:themeColor="text1"/>
          <w:kern w:val="0"/>
          <w:sz w:val="22"/>
          <w:szCs w:val="22"/>
          <w14:ligatures w14:val="none"/>
        </w:rPr>
        <w:t xml:space="preserve"> que </w:t>
      </w:r>
      <w:r w:rsidR="00C1070C" w:rsidRPr="00C1070C">
        <w:rPr>
          <w:rFonts w:ascii="Arial" w:eastAsia="Times New Roman" w:hAnsi="Arial" w:cs="Arial"/>
          <w:color w:val="000000" w:themeColor="text1"/>
          <w:kern w:val="0"/>
          <w:sz w:val="22"/>
          <w:szCs w:val="22"/>
          <w14:ligatures w14:val="none"/>
        </w:rPr>
        <w:t xml:space="preserve"> cumplieron los criterios de inclusión. Figura 1 </w:t>
      </w:r>
    </w:p>
    <w:p w14:paraId="196100ED" w14:textId="73241969" w:rsidR="00C1070C" w:rsidRPr="00C1070C" w:rsidRDefault="00C1070C" w:rsidP="00C1070C">
      <w:pPr>
        <w:spacing w:after="0" w:line="240" w:lineRule="auto"/>
        <w:rPr>
          <w:rFonts w:ascii="Times New Roman" w:eastAsia="Times New Roman" w:hAnsi="Times New Roman" w:cs="Times New Roman"/>
          <w:kern w:val="0"/>
          <w14:ligatures w14:val="none"/>
        </w:rPr>
      </w:pPr>
    </w:p>
    <w:p w14:paraId="24E55F11" w14:textId="387658E6" w:rsidR="00314560" w:rsidRPr="00314560" w:rsidRDefault="007E54A7" w:rsidP="00C1070C">
      <w:pPr>
        <w:spacing w:after="0" w:line="240" w:lineRule="auto"/>
        <w:jc w:val="both"/>
        <w:rPr>
          <w:rFonts w:ascii="Times New Roman" w:eastAsia="Times New Roman" w:hAnsi="Times New Roman" w:cs="Times New Roman"/>
          <w:kern w:val="0"/>
          <w14:ligatures w14:val="none"/>
        </w:rPr>
      </w:pPr>
      <w:r w:rsidRPr="007E54A7">
        <w:rPr>
          <w:rFonts w:ascii="Times New Roman" w:eastAsia="Times New Roman" w:hAnsi="Times New Roman" w:cs="Times New Roman"/>
          <w:noProof/>
          <w:kern w:val="0"/>
          <w14:ligatures w14:val="none"/>
        </w:rPr>
        <w:lastRenderedPageBreak/>
        <mc:AlternateContent>
          <mc:Choice Requires="wps">
            <w:drawing>
              <wp:anchor distT="0" distB="0" distL="114300" distR="114300" simplePos="0" relativeHeight="251661312" behindDoc="0" locked="0" layoutInCell="1" allowOverlap="1" wp14:anchorId="546645A3" wp14:editId="7998ABE8">
                <wp:simplePos x="0" y="0"/>
                <wp:positionH relativeFrom="column">
                  <wp:posOffset>-380044</wp:posOffset>
                </wp:positionH>
                <wp:positionV relativeFrom="paragraph">
                  <wp:posOffset>1600835</wp:posOffset>
                </wp:positionV>
                <wp:extent cx="3000000" cy="400200"/>
                <wp:effectExtent l="0" t="0" r="0" b="0"/>
                <wp:wrapNone/>
                <wp:docPr id="419" name="Google Shape;419;p17"/>
                <wp:cNvGraphicFramePr/>
                <a:graphic xmlns:a="http://schemas.openxmlformats.org/drawingml/2006/main">
                  <a:graphicData uri="http://schemas.microsoft.com/office/word/2010/wordprocessingShape">
                    <wps:wsp>
                      <wps:cNvSpPr txBox="1"/>
                      <wps:spPr>
                        <a:xfrm>
                          <a:off x="0" y="0"/>
                          <a:ext cx="3000000" cy="400200"/>
                        </a:xfrm>
                        <a:prstGeom prst="rect">
                          <a:avLst/>
                        </a:prstGeom>
                        <a:noFill/>
                        <a:ln>
                          <a:noFill/>
                        </a:ln>
                      </wps:spPr>
                      <wps:txbx>
                        <w:txbxContent>
                          <w:p w14:paraId="1FD35042" w14:textId="5BBFCA2D" w:rsidR="007E54A7" w:rsidRPr="007E54A7" w:rsidRDefault="007E54A7" w:rsidP="007E54A7">
                            <w:pPr>
                              <w:jc w:val="center"/>
                              <w:rPr>
                                <w:rFonts w:ascii="Raleway" w:eastAsia="Raleway" w:hAnsi="Raleway" w:cs="Raleway"/>
                                <w:b/>
                                <w:bCs/>
                                <w:color w:val="0E2841" w:themeColor="dark2"/>
                                <w:kern w:val="0"/>
                                <w:sz w:val="21"/>
                                <w:szCs w:val="21"/>
                                <w:lang w:val="es-CO"/>
                                <w14:ligatures w14:val="none"/>
                              </w:rPr>
                            </w:pPr>
                            <w:r w:rsidRPr="007E54A7">
                              <w:rPr>
                                <w:rFonts w:ascii="Raleway" w:eastAsia="Raleway" w:hAnsi="Raleway" w:cs="Raleway"/>
                                <w:b/>
                                <w:bCs/>
                                <w:color w:val="0E2841" w:themeColor="dark2"/>
                                <w:sz w:val="21"/>
                                <w:szCs w:val="21"/>
                                <w:lang w:val="es-CO"/>
                              </w:rPr>
                              <w:t>Excluidos de la base de datos</w:t>
                            </w:r>
                          </w:p>
                        </w:txbxContent>
                      </wps:txbx>
                      <wps:bodyPr spcFirstLastPara="1" wrap="square" lIns="91425" tIns="91425" rIns="91425" bIns="91425" anchor="t" anchorCtr="0">
                        <a:spAutoFit/>
                      </wps:bodyPr>
                    </wps:wsp>
                  </a:graphicData>
                </a:graphic>
              </wp:anchor>
            </w:drawing>
          </mc:Choice>
          <mc:Fallback>
            <w:pict>
              <v:shapetype w14:anchorId="546645A3" id="_x0000_t202" coordsize="21600,21600" o:spt="202" path="m,l,21600r21600,l21600,xe">
                <v:stroke joinstyle="miter"/>
                <v:path gradientshapeok="t" o:connecttype="rect"/>
              </v:shapetype>
              <v:shape id="Google Shape;419;p17" o:spid="_x0000_s1026" type="#_x0000_t202" style="position:absolute;left:0;text-align:left;margin-left:-29.9pt;margin-top:126.05pt;width:236.2pt;height:31.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" filled="f" stroked="f">
                <v:textbox style="mso-fit-shape-to-text:t" inset="2.53958mm,2.53958mm,2.53958mm,2.53958mm">
                  <w:txbxContent>
                    <w:p w14:paraId="1FD35042" w14:textId="5BBFCA2D" w:rsidR="007E54A7" w:rsidRPr="007E54A7" w:rsidRDefault="007E54A7" w:rsidP="007E54A7">
                      <w:pPr>
                        <w:jc w:val="center"/>
                        <w:rPr>
                          <w:rFonts w:ascii="Raleway" w:eastAsia="Raleway" w:hAnsi="Raleway" w:cs="Raleway"/>
                          <w:b/>
                          <w:bCs/>
                          <w:color w:val="0E2841" w:themeColor="dark2"/>
                          <w:kern w:val="0"/>
                          <w:sz w:val="21"/>
                          <w:szCs w:val="21"/>
                          <w:lang w:val="es-CO"/>
                          <w14:ligatures w14:val="none"/>
                        </w:rPr>
                      </w:pPr>
                      <w:r w:rsidRPr="007E54A7">
                        <w:rPr>
                          <w:rFonts w:ascii="Raleway" w:eastAsia="Raleway" w:hAnsi="Raleway" w:cs="Raleway"/>
                          <w:b/>
                          <w:bCs/>
                          <w:color w:val="0E2841" w:themeColor="dark2"/>
                          <w:sz w:val="21"/>
                          <w:szCs w:val="21"/>
                          <w:lang w:val="es-CO"/>
                        </w:rPr>
                        <w:t>Excluidos</w:t>
                      </w:r>
                      <w:r w:rsidRPr="007E54A7">
                        <w:rPr>
                          <w:rFonts w:ascii="Raleway" w:eastAsia="Raleway" w:hAnsi="Raleway" w:cs="Raleway"/>
                          <w:b/>
                          <w:bCs/>
                          <w:color w:val="0E2841" w:themeColor="dark2"/>
                          <w:sz w:val="21"/>
                          <w:szCs w:val="21"/>
                          <w:lang w:val="es-CO"/>
                        </w:rPr>
                        <w:t xml:space="preserve"> de la base de datos</w:t>
                      </w:r>
                    </w:p>
                  </w:txbxContent>
                </v:textbox>
              </v:shape>
            </w:pict>
          </mc:Fallback>
        </mc:AlternateContent>
      </w:r>
      <w:r w:rsidRPr="007E54A7">
        <w:rPr>
          <w:rFonts w:ascii="Arial" w:eastAsia="Times New Roman" w:hAnsi="Arial" w:cs="Arial"/>
          <w:noProof/>
          <w:color w:val="000000" w:themeColor="text1"/>
          <w:kern w:val="0"/>
          <w:sz w:val="22"/>
          <w:szCs w:val="22"/>
          <w14:ligatures w14:val="none"/>
        </w:rPr>
        <mc:AlternateContent>
          <mc:Choice Requires="wps">
            <w:drawing>
              <wp:anchor distT="0" distB="0" distL="114300" distR="114300" simplePos="0" relativeHeight="251659264" behindDoc="0" locked="0" layoutInCell="1" allowOverlap="1" wp14:anchorId="006E4DE0" wp14:editId="3D73D84D">
                <wp:simplePos x="0" y="0"/>
                <wp:positionH relativeFrom="column">
                  <wp:posOffset>3277235</wp:posOffset>
                </wp:positionH>
                <wp:positionV relativeFrom="paragraph">
                  <wp:posOffset>808405</wp:posOffset>
                </wp:positionV>
                <wp:extent cx="3000000" cy="400200"/>
                <wp:effectExtent l="0" t="0" r="0" b="0"/>
                <wp:wrapNone/>
                <wp:docPr id="418" name="Google Shape;418;p17"/>
                <wp:cNvGraphicFramePr/>
                <a:graphic xmlns:a="http://schemas.openxmlformats.org/drawingml/2006/main">
                  <a:graphicData uri="http://schemas.microsoft.com/office/word/2010/wordprocessingShape">
                    <wps:wsp>
                      <wps:cNvSpPr txBox="1"/>
                      <wps:spPr>
                        <a:xfrm>
                          <a:off x="0" y="0"/>
                          <a:ext cx="3000000" cy="400200"/>
                        </a:xfrm>
                        <a:prstGeom prst="rect">
                          <a:avLst/>
                        </a:prstGeom>
                        <a:noFill/>
                        <a:ln>
                          <a:noFill/>
                        </a:ln>
                      </wps:spPr>
                      <wps:txbx>
                        <w:txbxContent>
                          <w:p w14:paraId="22D206C0" w14:textId="05D68E84" w:rsidR="007E54A7" w:rsidRPr="007E54A7" w:rsidRDefault="007E54A7" w:rsidP="007E54A7">
                            <w:pPr>
                              <w:jc w:val="center"/>
                              <w:rPr>
                                <w:rFonts w:ascii="Raleway" w:eastAsia="Raleway" w:hAnsi="Raleway" w:cs="Raleway"/>
                                <w:b/>
                                <w:bCs/>
                                <w:color w:val="0E2841" w:themeColor="text2"/>
                                <w:kern w:val="0"/>
                                <w:sz w:val="21"/>
                                <w:szCs w:val="21"/>
                                <w:lang w:val="es-CO"/>
                                <w14:ligatures w14:val="none"/>
                              </w:rPr>
                            </w:pPr>
                            <w:r w:rsidRPr="007E54A7">
                              <w:rPr>
                                <w:rFonts w:ascii="Raleway" w:eastAsia="Raleway" w:hAnsi="Raleway" w:cs="Raleway"/>
                                <w:b/>
                                <w:bCs/>
                                <w:color w:val="0E2841" w:themeColor="text2"/>
                                <w:sz w:val="21"/>
                                <w:szCs w:val="21"/>
                                <w:lang w:val="es-CO"/>
                              </w:rPr>
                              <w:t>Excluidos en la revisión inicial</w:t>
                            </w:r>
                          </w:p>
                        </w:txbxContent>
                      </wps:txbx>
                      <wps:bodyPr spcFirstLastPara="1" wrap="square" lIns="91425" tIns="91425" rIns="91425" bIns="91425" anchor="t" anchorCtr="0">
                        <a:spAutoFit/>
                      </wps:bodyPr>
                    </wps:wsp>
                  </a:graphicData>
                </a:graphic>
              </wp:anchor>
            </w:drawing>
          </mc:Choice>
          <mc:Fallback>
            <w:pict>
              <v:shape w14:anchorId="006E4DE0" id="Google Shape;418;p17" o:spid="_x0000_s1027" type="#_x0000_t202" style="position:absolute;left:0;text-align:left;margin-left:258.05pt;margin-top:63.65pt;width:236.2pt;height:31.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" filled="f" stroked="f">
                <v:textbox style="mso-fit-shape-to-text:t" inset="2.53958mm,2.53958mm,2.53958mm,2.53958mm">
                  <w:txbxContent>
                    <w:p w14:paraId="22D206C0" w14:textId="05D68E84" w:rsidR="007E54A7" w:rsidRPr="007E54A7" w:rsidRDefault="007E54A7" w:rsidP="007E54A7">
                      <w:pPr>
                        <w:jc w:val="center"/>
                        <w:rPr>
                          <w:rFonts w:ascii="Raleway" w:eastAsia="Raleway" w:hAnsi="Raleway" w:cs="Raleway"/>
                          <w:b/>
                          <w:bCs/>
                          <w:color w:val="0E2841" w:themeColor="text2"/>
                          <w:kern w:val="0"/>
                          <w:sz w:val="21"/>
                          <w:szCs w:val="21"/>
                          <w:lang w:val="es-CO"/>
                          <w14:ligatures w14:val="none"/>
                        </w:rPr>
                      </w:pPr>
                      <w:r w:rsidRPr="007E54A7">
                        <w:rPr>
                          <w:rFonts w:ascii="Raleway" w:eastAsia="Raleway" w:hAnsi="Raleway" w:cs="Raleway"/>
                          <w:b/>
                          <w:bCs/>
                          <w:color w:val="0E2841" w:themeColor="text2"/>
                          <w:sz w:val="21"/>
                          <w:szCs w:val="21"/>
                          <w:lang w:val="es-CO"/>
                        </w:rPr>
                        <w:t>Excluidos</w:t>
                      </w:r>
                      <w:r w:rsidRPr="007E54A7">
                        <w:rPr>
                          <w:rFonts w:ascii="Raleway" w:eastAsia="Raleway" w:hAnsi="Raleway" w:cs="Raleway"/>
                          <w:b/>
                          <w:bCs/>
                          <w:color w:val="0E2841" w:themeColor="text2"/>
                          <w:sz w:val="21"/>
                          <w:szCs w:val="21"/>
                          <w:lang w:val="es-CO"/>
                        </w:rPr>
                        <w:t xml:space="preserve"> en la revisión inicial</w:t>
                      </w:r>
                    </w:p>
                  </w:txbxContent>
                </v:textbox>
              </v:shape>
            </w:pict>
          </mc:Fallback>
        </mc:AlternateContent>
      </w:r>
      <w:r w:rsidR="00314560">
        <w:rPr>
          <w:noProof/>
          <w:color w:val="000000"/>
          <w:bdr w:val="none" w:sz="0" w:space="0" w:color="auto" w:frame="1"/>
        </w:rPr>
        <w:drawing>
          <wp:inline distT="0" distB="0" distL="0" distR="0" wp14:anchorId="03017035" wp14:editId="7D3F8350">
            <wp:extent cx="5943600" cy="3689350"/>
            <wp:effectExtent l="0" t="0" r="0" b="6350"/>
            <wp:docPr id="1407292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3600" cy="3689350"/>
                    </a:xfrm>
                    <a:prstGeom prst="rect">
                      <a:avLst/>
                    </a:prstGeom>
                    <a:noFill/>
                    <a:ln>
                      <a:noFill/>
                    </a:ln>
                  </pic:spPr>
                </pic:pic>
              </a:graphicData>
            </a:graphic>
          </wp:inline>
        </w:drawing>
      </w:r>
    </w:p>
    <w:p w14:paraId="5D815CE4" w14:textId="76124148" w:rsidR="00C1070C" w:rsidRPr="00C1070C" w:rsidRDefault="00C1070C" w:rsidP="00C1070C">
      <w:pPr>
        <w:pStyle w:val="HTMLPreformatted"/>
        <w:spacing w:line="540" w:lineRule="atLeast"/>
        <w:jc w:val="center"/>
        <w:rPr>
          <w:rFonts w:ascii="Arial" w:hAnsi="Arial" w:cs="Arial"/>
          <w:color w:val="000000" w:themeColor="text1"/>
          <w:sz w:val="22"/>
          <w:szCs w:val="22"/>
        </w:rPr>
      </w:pPr>
      <w:r w:rsidRPr="00C1070C">
        <w:rPr>
          <w:rFonts w:ascii="Arial" w:hAnsi="Arial" w:cs="Arial"/>
          <w:color w:val="000000" w:themeColor="text1"/>
          <w:sz w:val="22"/>
          <w:szCs w:val="22"/>
        </w:rPr>
        <w:t>Figura 1. Diagrama de flujo de selección de pacientes.</w:t>
      </w:r>
    </w:p>
    <w:p w14:paraId="43FEC8C6" w14:textId="77777777" w:rsidR="00EB5FFA" w:rsidRDefault="00EB5FFA" w:rsidP="00EB5FFA">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p>
    <w:p w14:paraId="1BA4D213" w14:textId="77777777" w:rsidR="00686420" w:rsidRDefault="00EB5FFA" w:rsidP="00686420">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r w:rsidRPr="00C1070C">
        <w:rPr>
          <w:rFonts w:ascii="Arial" w:eastAsia="Times New Roman" w:hAnsi="Arial" w:cs="Arial"/>
          <w:i/>
          <w:iCs/>
          <w:color w:val="000000" w:themeColor="text1"/>
          <w:kern w:val="0"/>
          <w:sz w:val="22"/>
          <w:szCs w:val="22"/>
          <w14:ligatures w14:val="none"/>
        </w:rPr>
        <w:t xml:space="preserve">3.1 </w:t>
      </w:r>
      <w:r>
        <w:rPr>
          <w:rFonts w:ascii="Arial" w:eastAsia="Times New Roman" w:hAnsi="Arial" w:cs="Arial"/>
          <w:i/>
          <w:iCs/>
          <w:color w:val="000000" w:themeColor="text1"/>
          <w:kern w:val="0"/>
          <w:sz w:val="22"/>
          <w:szCs w:val="22"/>
          <w14:ligatures w14:val="none"/>
        </w:rPr>
        <w:t>Incidencia:</w:t>
      </w:r>
    </w:p>
    <w:p w14:paraId="591DFA05" w14:textId="0C598C20" w:rsidR="00686420" w:rsidRPr="00686420" w:rsidRDefault="00686420" w:rsidP="00686420">
      <w:pPr>
        <w:spacing w:after="0" w:line="240" w:lineRule="auto"/>
        <w:jc w:val="both"/>
        <w:rPr>
          <w:rFonts w:ascii="Arial" w:eastAsia="Times New Roman" w:hAnsi="Arial" w:cs="Arial"/>
          <w:i/>
          <w:iCs/>
          <w:color w:val="000000" w:themeColor="text1"/>
          <w:kern w:val="0"/>
          <w:sz w:val="22"/>
          <w:szCs w:val="22"/>
          <w14:ligatures w14:val="none"/>
        </w:rPr>
      </w:pPr>
      <w:r>
        <w:rPr>
          <w:rFonts w:ascii="Arial" w:hAnsi="Arial" w:cs="Arial"/>
          <w:color w:val="000000" w:themeColor="text1"/>
          <w:sz w:val="22"/>
          <w:szCs w:val="22"/>
        </w:rPr>
        <w:t>La</w:t>
      </w:r>
      <w:r w:rsidRPr="00686420">
        <w:rPr>
          <w:rFonts w:ascii="Arial" w:hAnsi="Arial" w:cs="Arial"/>
          <w:color w:val="000000" w:themeColor="text1"/>
          <w:sz w:val="22"/>
          <w:szCs w:val="22"/>
        </w:rPr>
        <w:t xml:space="preserve"> cohorte presentó tiempos de seguimiento heterogéneos y una inclusión dinámica de las pacientes, </w:t>
      </w:r>
      <w:r>
        <w:rPr>
          <w:rFonts w:ascii="Arial" w:hAnsi="Arial" w:cs="Arial"/>
          <w:color w:val="000000" w:themeColor="text1"/>
          <w:sz w:val="22"/>
          <w:szCs w:val="22"/>
        </w:rPr>
        <w:t xml:space="preserve">por lo que </w:t>
      </w:r>
      <w:r w:rsidRPr="00686420">
        <w:rPr>
          <w:rFonts w:ascii="Arial" w:hAnsi="Arial" w:cs="Arial"/>
          <w:color w:val="000000" w:themeColor="text1"/>
          <w:sz w:val="22"/>
          <w:szCs w:val="22"/>
        </w:rPr>
        <w:t>la incidencia de recaída se estimó mediante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tasa de densidad de incidencia</w:t>
      </w:r>
      <w:r w:rsidRPr="00686420">
        <w:rPr>
          <w:rFonts w:ascii="Arial" w:hAnsi="Arial" w:cs="Arial"/>
          <w:color w:val="000000" w:themeColor="text1"/>
          <w:sz w:val="22"/>
          <w:szCs w:val="22"/>
        </w:rPr>
        <w:t>, expresada como eventos por 100 pacientes</w:t>
      </w:r>
      <w:r>
        <w:rPr>
          <w:rFonts w:ascii="Arial" w:hAnsi="Arial" w:cs="Arial"/>
          <w:color w:val="000000" w:themeColor="text1"/>
          <w:sz w:val="22"/>
          <w:szCs w:val="22"/>
        </w:rPr>
        <w:t>/</w:t>
      </w:r>
      <w:r w:rsidRPr="00686420">
        <w:rPr>
          <w:rFonts w:ascii="Arial" w:hAnsi="Arial" w:cs="Arial"/>
          <w:color w:val="000000" w:themeColor="text1"/>
          <w:sz w:val="22"/>
          <w:szCs w:val="22"/>
        </w:rPr>
        <w:t>año.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incidencia global de recaída</w:t>
      </w:r>
      <w:r w:rsidRPr="00686420">
        <w:rPr>
          <w:rFonts w:ascii="Arial" w:eastAsia="Times New Roman" w:hAnsi="Arial" w:cs="Arial"/>
          <w:color w:val="000000" w:themeColor="text1"/>
          <w:sz w:val="22"/>
          <w:szCs w:val="22"/>
        </w:rPr>
        <w:t> </w:t>
      </w:r>
      <w:r w:rsidRPr="00686420">
        <w:rPr>
          <w:rFonts w:ascii="Arial" w:hAnsi="Arial" w:cs="Arial"/>
          <w:color w:val="000000" w:themeColor="text1"/>
          <w:sz w:val="22"/>
          <w:szCs w:val="22"/>
        </w:rPr>
        <w:t>fue de</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3,6 eventos por cada 100 pacientes</w:t>
      </w:r>
      <w:r w:rsidR="00103BBA">
        <w:rPr>
          <w:rFonts w:ascii="Arial" w:eastAsia="Times New Roman" w:hAnsi="Arial" w:cs="Arial"/>
          <w:b/>
          <w:bCs/>
          <w:color w:val="000000" w:themeColor="text1"/>
          <w:sz w:val="22"/>
          <w:szCs w:val="22"/>
        </w:rPr>
        <w:t xml:space="preserve"> a</w:t>
      </w:r>
      <w:r w:rsidRPr="00686420">
        <w:rPr>
          <w:rFonts w:ascii="Arial" w:eastAsia="Times New Roman" w:hAnsi="Arial" w:cs="Arial"/>
          <w:b/>
          <w:bCs/>
          <w:color w:val="000000" w:themeColor="text1"/>
          <w:sz w:val="22"/>
          <w:szCs w:val="22"/>
        </w:rPr>
        <w:t>ño</w:t>
      </w:r>
      <w:r w:rsidRPr="00686420">
        <w:rPr>
          <w:rFonts w:ascii="Arial" w:hAnsi="Arial" w:cs="Arial"/>
          <w:color w:val="000000" w:themeColor="text1"/>
          <w:sz w:val="22"/>
          <w:szCs w:val="22"/>
        </w:rPr>
        <w:t>. La</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recaída a distancia</w:t>
      </w:r>
      <w:r w:rsidRPr="00686420">
        <w:rPr>
          <w:rFonts w:ascii="Arial" w:eastAsia="Times New Roman" w:hAnsi="Arial" w:cs="Arial"/>
          <w:color w:val="000000" w:themeColor="text1"/>
          <w:sz w:val="22"/>
          <w:szCs w:val="22"/>
        </w:rPr>
        <w:t> </w:t>
      </w:r>
      <w:r w:rsidRPr="00686420">
        <w:rPr>
          <w:rFonts w:ascii="Arial" w:hAnsi="Arial" w:cs="Arial"/>
          <w:color w:val="000000" w:themeColor="text1"/>
          <w:sz w:val="22"/>
          <w:szCs w:val="22"/>
        </w:rPr>
        <w:t>constituyó el patrón más frecuente, con aproximadamente</w:t>
      </w:r>
      <w:r w:rsidRPr="00686420">
        <w:rPr>
          <w:rFonts w:ascii="Arial" w:eastAsia="Times New Roman" w:hAnsi="Arial" w:cs="Arial"/>
          <w:color w:val="000000" w:themeColor="text1"/>
          <w:sz w:val="22"/>
          <w:szCs w:val="22"/>
        </w:rPr>
        <w:t> </w:t>
      </w:r>
      <w:r w:rsidRPr="00686420">
        <w:rPr>
          <w:rFonts w:ascii="Arial" w:eastAsia="Times New Roman" w:hAnsi="Arial" w:cs="Arial"/>
          <w:b/>
          <w:bCs/>
          <w:color w:val="000000" w:themeColor="text1"/>
          <w:sz w:val="22"/>
          <w:szCs w:val="22"/>
        </w:rPr>
        <w:t>3 casos nuevos por cada 100 pacientes</w:t>
      </w:r>
      <w:r>
        <w:rPr>
          <w:rFonts w:ascii="Arial" w:eastAsia="Times New Roman" w:hAnsi="Arial" w:cs="Arial"/>
          <w:b/>
          <w:bCs/>
          <w:color w:val="000000" w:themeColor="text1"/>
          <w:sz w:val="22"/>
          <w:szCs w:val="22"/>
        </w:rPr>
        <w:t>/</w:t>
      </w:r>
      <w:r w:rsidRPr="00686420">
        <w:rPr>
          <w:rFonts w:ascii="Arial" w:eastAsia="Times New Roman" w:hAnsi="Arial" w:cs="Arial"/>
          <w:b/>
          <w:bCs/>
          <w:color w:val="000000" w:themeColor="text1"/>
          <w:sz w:val="22"/>
          <w:szCs w:val="22"/>
        </w:rPr>
        <w:t>año</w:t>
      </w:r>
      <w:r>
        <w:rPr>
          <w:rFonts w:ascii="Arial" w:hAnsi="Arial" w:cs="Arial"/>
          <w:color w:val="000000" w:themeColor="text1"/>
          <w:sz w:val="22"/>
          <w:szCs w:val="22"/>
        </w:rPr>
        <w:t>.</w:t>
      </w:r>
    </w:p>
    <w:p w14:paraId="22F17D20" w14:textId="3F53CC60" w:rsidR="00EB5FFA" w:rsidRPr="00686420" w:rsidRDefault="00686420" w:rsidP="00686420">
      <w:pPr>
        <w:pStyle w:val="NormalWeb"/>
        <w:jc w:val="both"/>
        <w:rPr>
          <w:rFonts w:ascii="Arial" w:hAnsi="Arial" w:cs="Arial"/>
          <w:color w:val="000000" w:themeColor="text1"/>
          <w:sz w:val="22"/>
          <w:szCs w:val="22"/>
        </w:rPr>
      </w:pPr>
      <w:r w:rsidRPr="00686420">
        <w:rPr>
          <w:rFonts w:ascii="Arial" w:hAnsi="Arial" w:cs="Arial"/>
          <w:color w:val="000000" w:themeColor="text1"/>
          <w:sz w:val="22"/>
          <w:szCs w:val="22"/>
        </w:rPr>
        <w:t>Al analizar la </w:t>
      </w:r>
      <w:r w:rsidRPr="00686420">
        <w:rPr>
          <w:rFonts w:ascii="Arial" w:hAnsi="Arial" w:cs="Arial"/>
          <w:b/>
          <w:bCs/>
          <w:color w:val="000000" w:themeColor="text1"/>
          <w:sz w:val="22"/>
          <w:szCs w:val="22"/>
        </w:rPr>
        <w:t>incidencia acumulada a 10 meses</w:t>
      </w:r>
      <w:r w:rsidRPr="00686420">
        <w:rPr>
          <w:rFonts w:ascii="Arial" w:hAnsi="Arial" w:cs="Arial"/>
          <w:color w:val="000000" w:themeColor="text1"/>
          <w:sz w:val="22"/>
          <w:szCs w:val="22"/>
        </w:rPr>
        <w:t>, la recaída local alcanzó un valor de </w:t>
      </w:r>
      <w:r w:rsidRPr="00686420">
        <w:rPr>
          <w:rFonts w:ascii="Arial" w:hAnsi="Arial" w:cs="Arial"/>
          <w:b/>
          <w:bCs/>
          <w:color w:val="000000" w:themeColor="text1"/>
          <w:sz w:val="22"/>
          <w:szCs w:val="22"/>
        </w:rPr>
        <w:t>0,417</w:t>
      </w:r>
      <w:r w:rsidRPr="00686420">
        <w:rPr>
          <w:rFonts w:ascii="Arial" w:hAnsi="Arial" w:cs="Arial"/>
          <w:color w:val="000000" w:themeColor="text1"/>
          <w:sz w:val="22"/>
          <w:szCs w:val="22"/>
        </w:rPr>
        <w:t>, lo que indica que el </w:t>
      </w:r>
      <w:r w:rsidRPr="00686420">
        <w:rPr>
          <w:rFonts w:ascii="Arial" w:hAnsi="Arial" w:cs="Arial"/>
          <w:b/>
          <w:bCs/>
          <w:color w:val="000000" w:themeColor="text1"/>
          <w:sz w:val="22"/>
          <w:szCs w:val="22"/>
        </w:rPr>
        <w:t>41,7%</w:t>
      </w:r>
      <w:r w:rsidRPr="00686420">
        <w:rPr>
          <w:rFonts w:ascii="Arial" w:hAnsi="Arial" w:cs="Arial"/>
          <w:color w:val="000000" w:themeColor="text1"/>
          <w:sz w:val="22"/>
          <w:szCs w:val="22"/>
        </w:rPr>
        <w:t>de las pacientes presentó este evento en dicho periodo. La incidencia acumulada de recaída regional fue de </w:t>
      </w:r>
      <w:r w:rsidRPr="00686420">
        <w:rPr>
          <w:rFonts w:ascii="Arial" w:hAnsi="Arial" w:cs="Arial"/>
          <w:b/>
          <w:bCs/>
          <w:color w:val="000000" w:themeColor="text1"/>
          <w:sz w:val="22"/>
          <w:szCs w:val="22"/>
        </w:rPr>
        <w:t>0,263</w:t>
      </w:r>
      <w:r w:rsidRPr="00686420">
        <w:rPr>
          <w:rFonts w:ascii="Arial" w:hAnsi="Arial" w:cs="Arial"/>
          <w:color w:val="000000" w:themeColor="text1"/>
          <w:sz w:val="22"/>
          <w:szCs w:val="22"/>
        </w:rPr>
        <w:t>(</w:t>
      </w:r>
      <w:r w:rsidRPr="00686420">
        <w:rPr>
          <w:rFonts w:ascii="Arial" w:hAnsi="Arial" w:cs="Arial"/>
          <w:b/>
          <w:bCs/>
          <w:color w:val="000000" w:themeColor="text1"/>
          <w:sz w:val="22"/>
          <w:szCs w:val="22"/>
        </w:rPr>
        <w:t>26,3%</w:t>
      </w:r>
      <w:r w:rsidRPr="00686420">
        <w:rPr>
          <w:rFonts w:ascii="Arial" w:hAnsi="Arial" w:cs="Arial"/>
          <w:color w:val="000000" w:themeColor="text1"/>
          <w:sz w:val="22"/>
          <w:szCs w:val="22"/>
        </w:rPr>
        <w:t>), mientras que la recaída a distancia fue de </w:t>
      </w:r>
      <w:r w:rsidRPr="00686420">
        <w:rPr>
          <w:rFonts w:ascii="Arial" w:hAnsi="Arial" w:cs="Arial"/>
          <w:b/>
          <w:bCs/>
          <w:color w:val="000000" w:themeColor="text1"/>
          <w:sz w:val="22"/>
          <w:szCs w:val="22"/>
        </w:rPr>
        <w:t>0,268</w:t>
      </w:r>
      <w:r w:rsidRPr="00686420">
        <w:rPr>
          <w:rFonts w:ascii="Arial" w:hAnsi="Arial" w:cs="Arial"/>
          <w:color w:val="000000" w:themeColor="text1"/>
          <w:sz w:val="22"/>
          <w:szCs w:val="22"/>
        </w:rPr>
        <w:t> (</w:t>
      </w:r>
      <w:r w:rsidRPr="00686420">
        <w:rPr>
          <w:rFonts w:ascii="Arial" w:hAnsi="Arial" w:cs="Arial"/>
          <w:b/>
          <w:bCs/>
          <w:color w:val="000000" w:themeColor="text1"/>
          <w:sz w:val="22"/>
          <w:szCs w:val="22"/>
        </w:rPr>
        <w:t>26,8%</w:t>
      </w:r>
      <w:r w:rsidRPr="00686420">
        <w:rPr>
          <w:rFonts w:ascii="Arial" w:hAnsi="Arial" w:cs="Arial"/>
          <w:color w:val="000000" w:themeColor="text1"/>
          <w:sz w:val="22"/>
          <w:szCs w:val="22"/>
        </w:rPr>
        <w:t>). Estos hallazgos muestran que, aunque la recaída a distancia fue el evento más frecuente, la </w:t>
      </w:r>
      <w:r w:rsidRPr="00686420">
        <w:rPr>
          <w:rFonts w:ascii="Arial" w:hAnsi="Arial" w:cs="Arial"/>
          <w:b/>
          <w:bCs/>
          <w:color w:val="000000" w:themeColor="text1"/>
          <w:sz w:val="22"/>
          <w:szCs w:val="22"/>
        </w:rPr>
        <w:t>recaída local ocurrió de forma más temprana</w:t>
      </w:r>
      <w:r w:rsidRPr="00686420">
        <w:rPr>
          <w:rFonts w:ascii="Arial" w:hAnsi="Arial" w:cs="Arial"/>
          <w:color w:val="000000" w:themeColor="text1"/>
          <w:sz w:val="22"/>
          <w:szCs w:val="22"/>
        </w:rPr>
        <w:t> dentro del seguimiento de la cohorte.</w:t>
      </w:r>
    </w:p>
    <w:p w14:paraId="700A2AE0" w14:textId="7ABB5692" w:rsidR="00C1070C" w:rsidRPr="00C1070C" w:rsidRDefault="00C1070C" w:rsidP="00C1070C">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 xml:space="preserve">     </w:t>
      </w:r>
      <w:r w:rsidRPr="00C1070C">
        <w:rPr>
          <w:rFonts w:ascii="Arial" w:eastAsia="Times New Roman" w:hAnsi="Arial" w:cs="Arial"/>
          <w:i/>
          <w:iCs/>
          <w:color w:val="000000" w:themeColor="text1"/>
          <w:kern w:val="0"/>
          <w:sz w:val="22"/>
          <w:szCs w:val="22"/>
          <w14:ligatures w14:val="none"/>
        </w:rPr>
        <w:t>3</w:t>
      </w:r>
      <w:r w:rsidR="000F3351">
        <w:rPr>
          <w:rFonts w:ascii="Arial" w:eastAsia="Times New Roman" w:hAnsi="Arial" w:cs="Arial"/>
          <w:i/>
          <w:iCs/>
          <w:color w:val="000000" w:themeColor="text1"/>
          <w:kern w:val="0"/>
          <w:sz w:val="22"/>
          <w:szCs w:val="22"/>
          <w14:ligatures w14:val="none"/>
        </w:rPr>
        <w:t>.2</w:t>
      </w:r>
      <w:r w:rsidRPr="00C1070C">
        <w:rPr>
          <w:rFonts w:ascii="Arial" w:eastAsia="Times New Roman" w:hAnsi="Arial" w:cs="Arial"/>
          <w:i/>
          <w:iCs/>
          <w:color w:val="000000" w:themeColor="text1"/>
          <w:kern w:val="0"/>
          <w:sz w:val="22"/>
          <w:szCs w:val="22"/>
          <w14:ligatures w14:val="none"/>
        </w:rPr>
        <w:t xml:space="preserve"> Características clinicopatológicas:  </w:t>
      </w:r>
    </w:p>
    <w:p w14:paraId="1389BB48" w14:textId="7C250163" w:rsidR="00C1070C" w:rsidRDefault="00C1070C" w:rsidP="00C1070C">
      <w:pPr>
        <w:spacing w:after="0" w:line="240" w:lineRule="auto"/>
        <w:jc w:val="both"/>
        <w:rPr>
          <w:rFonts w:ascii="Arial" w:eastAsia="Times New Roman" w:hAnsi="Arial" w:cs="Arial"/>
          <w:color w:val="000000" w:themeColor="text1"/>
          <w:kern w:val="0"/>
          <w:sz w:val="22"/>
          <w:szCs w:val="22"/>
          <w14:ligatures w14:val="none"/>
        </w:rPr>
      </w:pPr>
      <w:r>
        <w:rPr>
          <w:rFonts w:ascii="Arial" w:eastAsia="Times New Roman" w:hAnsi="Arial" w:cs="Arial"/>
          <w:color w:val="000000" w:themeColor="text1"/>
          <w:kern w:val="0"/>
          <w:sz w:val="22"/>
          <w:szCs w:val="22"/>
          <w14:ligatures w14:val="none"/>
        </w:rPr>
        <w:t>Entre</w:t>
      </w:r>
      <w:r w:rsidRPr="00C1070C">
        <w:rPr>
          <w:rFonts w:ascii="Arial" w:eastAsia="Times New Roman" w:hAnsi="Arial" w:cs="Arial"/>
          <w:color w:val="000000" w:themeColor="text1"/>
          <w:kern w:val="0"/>
          <w:sz w:val="22"/>
          <w:szCs w:val="22"/>
          <w14:ligatures w14:val="none"/>
        </w:rPr>
        <w:t xml:space="preserve"> los 833 pacientes incluidos en el estudio, la edad </w:t>
      </w:r>
      <w:r>
        <w:rPr>
          <w:rFonts w:ascii="Arial" w:eastAsia="Times New Roman" w:hAnsi="Arial" w:cs="Arial"/>
          <w:color w:val="000000" w:themeColor="text1"/>
          <w:kern w:val="0"/>
          <w:sz w:val="22"/>
          <w:szCs w:val="22"/>
          <w14:ligatures w14:val="none"/>
        </w:rPr>
        <w:t>promedio</w:t>
      </w:r>
      <w:r w:rsidRPr="00C1070C">
        <w:rPr>
          <w:rFonts w:ascii="Arial" w:eastAsia="Times New Roman" w:hAnsi="Arial" w:cs="Arial"/>
          <w:color w:val="000000" w:themeColor="text1"/>
          <w:kern w:val="0"/>
          <w:sz w:val="22"/>
          <w:szCs w:val="22"/>
          <w14:ligatures w14:val="none"/>
        </w:rPr>
        <w:t xml:space="preserve"> fue 57.1 ± 11.5 años; el 73.2 % (n=610) tenían 50 años o más. El 30% (n=250) se encontraban en estadio clínico IIA, 26.7% (n=22) en estadio IIIB. En cuanto a la biología tumoral, el subtipo biológico luminal A fue el más frecuente 37.7 % (n=314)</w:t>
      </w:r>
      <w:r w:rsidR="00E80471">
        <w:rPr>
          <w:rFonts w:ascii="Arial" w:eastAsia="Times New Roman" w:hAnsi="Arial" w:cs="Arial"/>
          <w:color w:val="000000" w:themeColor="text1"/>
          <w:kern w:val="0"/>
          <w:sz w:val="22"/>
          <w:szCs w:val="22"/>
          <w14:ligatures w14:val="none"/>
        </w:rPr>
        <w:t xml:space="preserve">. </w:t>
      </w:r>
      <w:r w:rsidRPr="00C1070C">
        <w:rPr>
          <w:rFonts w:ascii="Arial" w:eastAsia="Times New Roman" w:hAnsi="Arial" w:cs="Arial"/>
          <w:color w:val="000000" w:themeColor="text1"/>
          <w:kern w:val="0"/>
          <w:sz w:val="22"/>
          <w:szCs w:val="22"/>
          <w14:ligatures w14:val="none"/>
        </w:rPr>
        <w:t xml:space="preserve">De acuerdo con la histopatología, la mayoría </w:t>
      </w:r>
      <w:r>
        <w:rPr>
          <w:rFonts w:ascii="Arial" w:eastAsia="Times New Roman" w:hAnsi="Arial" w:cs="Arial"/>
          <w:color w:val="000000" w:themeColor="text1"/>
          <w:kern w:val="0"/>
          <w:sz w:val="22"/>
          <w:szCs w:val="22"/>
          <w14:ligatures w14:val="none"/>
        </w:rPr>
        <w:t>fue del</w:t>
      </w:r>
      <w:r w:rsidRPr="00C1070C">
        <w:rPr>
          <w:rFonts w:ascii="Arial" w:eastAsia="Times New Roman" w:hAnsi="Arial" w:cs="Arial"/>
          <w:color w:val="000000" w:themeColor="text1"/>
          <w:kern w:val="0"/>
          <w:sz w:val="22"/>
          <w:szCs w:val="22"/>
          <w14:ligatures w14:val="none"/>
        </w:rPr>
        <w:t xml:space="preserve"> tipo histológico ductal infiltrante (NOS) en un 86.1% (n=717) y de grado histológico 2, en un 61.2% (n= 510). El 44.8% (n=373) tenían tumores T2, el compromiso ganglionar N0 fue el más frecuente en un 47.3% (n=394).</w:t>
      </w:r>
      <w:r w:rsidR="00602563">
        <w:rPr>
          <w:rFonts w:ascii="Arial" w:eastAsia="Times New Roman" w:hAnsi="Arial" w:cs="Arial"/>
          <w:color w:val="000000" w:themeColor="text1"/>
          <w:kern w:val="0"/>
          <w:sz w:val="22"/>
          <w:szCs w:val="22"/>
          <w14:ligatures w14:val="none"/>
        </w:rPr>
        <w:t xml:space="preserve"> </w:t>
      </w:r>
      <w:r w:rsidR="00602563" w:rsidRPr="00602563">
        <w:rPr>
          <w:rFonts w:ascii="Arial" w:eastAsia="Times New Roman" w:hAnsi="Arial" w:cs="Arial"/>
          <w:b/>
          <w:bCs/>
          <w:color w:val="000000" w:themeColor="text1"/>
          <w:kern w:val="0"/>
          <w:sz w:val="22"/>
          <w:szCs w:val="22"/>
          <w14:ligatures w14:val="none"/>
        </w:rPr>
        <w:t>Tabla 1</w:t>
      </w:r>
      <w:r w:rsidR="00602563">
        <w:rPr>
          <w:rFonts w:ascii="Arial" w:eastAsia="Times New Roman" w:hAnsi="Arial" w:cs="Arial"/>
          <w:color w:val="000000" w:themeColor="text1"/>
          <w:kern w:val="0"/>
          <w:sz w:val="22"/>
          <w:szCs w:val="22"/>
          <w14:ligatures w14:val="none"/>
        </w:rPr>
        <w:t xml:space="preserve"> muest</w:t>
      </w:r>
      <w:r w:rsidR="00CC7410">
        <w:rPr>
          <w:rFonts w:ascii="Arial" w:eastAsia="Times New Roman" w:hAnsi="Arial" w:cs="Arial"/>
          <w:color w:val="000000" w:themeColor="text1"/>
          <w:kern w:val="0"/>
          <w:sz w:val="22"/>
          <w:szCs w:val="22"/>
          <w14:ligatures w14:val="none"/>
        </w:rPr>
        <w:t>r</w:t>
      </w:r>
      <w:r w:rsidR="00602563">
        <w:rPr>
          <w:rFonts w:ascii="Arial" w:eastAsia="Times New Roman" w:hAnsi="Arial" w:cs="Arial"/>
          <w:color w:val="000000" w:themeColor="text1"/>
          <w:kern w:val="0"/>
          <w:sz w:val="22"/>
          <w:szCs w:val="22"/>
          <w14:ligatures w14:val="none"/>
        </w:rPr>
        <w:t xml:space="preserve">a las características clínicas e histopatológicas de las pacientes incluídas en el estudio. </w:t>
      </w:r>
    </w:p>
    <w:p w14:paraId="2695855E" w14:textId="70FFD4F6" w:rsidR="00F02322" w:rsidRPr="00443690" w:rsidRDefault="00443690" w:rsidP="00443690">
      <w:pPr>
        <w:spacing w:after="240" w:line="240" w:lineRule="auto"/>
        <w:jc w:val="center"/>
        <w:rPr>
          <w:rFonts w:ascii="Times New Roman" w:eastAsia="Times New Roman" w:hAnsi="Times New Roman" w:cs="Times New Roman"/>
          <w:kern w:val="0"/>
          <w14:ligatures w14:val="none"/>
        </w:rPr>
      </w:pPr>
      <w:r w:rsidRPr="00602563">
        <w:rPr>
          <w:rFonts w:ascii="Calibri" w:hAnsi="Calibri" w:cs="Calibri"/>
          <w:b/>
          <w:bCs/>
          <w:color w:val="000000"/>
          <w:sz w:val="22"/>
          <w:szCs w:val="22"/>
        </w:rPr>
        <w:t>Tabla 1:</w:t>
      </w:r>
      <w:r w:rsidRPr="00602563">
        <w:rPr>
          <w:rFonts w:ascii="Calibri" w:hAnsi="Calibri" w:cs="Calibri"/>
          <w:color w:val="000000"/>
          <w:sz w:val="22"/>
          <w:szCs w:val="22"/>
        </w:rPr>
        <w:t xml:space="preserve"> Principales características de las pacientes diagnosticadas con cáncer de mama </w:t>
      </w:r>
    </w:p>
    <w:tbl>
      <w:tblPr>
        <w:tblW w:w="10109" w:type="dxa"/>
        <w:tblBorders>
          <w:top w:val="nil"/>
          <w:left w:val="nil"/>
          <w:bottom w:val="nil"/>
          <w:right w:val="nil"/>
          <w:insideH w:val="nil"/>
          <w:insideV w:val="nil"/>
        </w:tblBorders>
        <w:tblLayout w:type="fixed"/>
        <w:tblLook w:val="0400" w:firstRow="0" w:lastRow="0" w:firstColumn="0" w:lastColumn="0" w:noHBand="0" w:noVBand="1"/>
      </w:tblPr>
      <w:tblGrid>
        <w:gridCol w:w="5118"/>
        <w:gridCol w:w="3262"/>
        <w:gridCol w:w="1729"/>
      </w:tblGrid>
      <w:tr w:rsidR="00F02322" w:rsidRPr="004E6085" w14:paraId="247BCA75" w14:textId="77777777" w:rsidTr="00A873D8">
        <w:trPr>
          <w:trHeight w:val="340"/>
        </w:trPr>
        <w:tc>
          <w:tcPr>
            <w:tcW w:w="10109" w:type="dxa"/>
            <w:gridSpan w:val="3"/>
            <w:tcBorders>
              <w:top w:val="single" w:sz="8" w:space="0" w:color="000000"/>
              <w:bottom w:val="single" w:sz="8" w:space="0" w:color="000000"/>
            </w:tcBorders>
            <w:vAlign w:val="center"/>
          </w:tcPr>
          <w:p w14:paraId="75038E6C" w14:textId="77777777" w:rsidR="00F02322" w:rsidRPr="007A1920" w:rsidRDefault="00F02322" w:rsidP="00A873D8">
            <w:pPr>
              <w:jc w:val="center"/>
              <w:rPr>
                <w:rFonts w:ascii="Palatino Linotype" w:hAnsi="Palatino Linotype"/>
                <w:sz w:val="21"/>
                <w:szCs w:val="21"/>
              </w:rPr>
            </w:pPr>
            <w:r w:rsidRPr="007A1920">
              <w:rPr>
                <w:rFonts w:ascii="Palatino Linotype" w:hAnsi="Palatino Linotype"/>
                <w:b/>
                <w:sz w:val="21"/>
                <w:szCs w:val="21"/>
              </w:rPr>
              <w:lastRenderedPageBreak/>
              <w:t>Clinical and Histopathological Data</w:t>
            </w:r>
          </w:p>
        </w:tc>
      </w:tr>
      <w:tr w:rsidR="00F02322" w:rsidRPr="004E6085" w14:paraId="57E8ECDB" w14:textId="77777777" w:rsidTr="00A873D8">
        <w:trPr>
          <w:trHeight w:val="283"/>
        </w:trPr>
        <w:tc>
          <w:tcPr>
            <w:tcW w:w="5118" w:type="dxa"/>
            <w:tcBorders>
              <w:top w:val="single" w:sz="8" w:space="0" w:color="000000"/>
            </w:tcBorders>
          </w:tcPr>
          <w:p w14:paraId="3C12C2B2"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Age (Years)</w:t>
            </w:r>
          </w:p>
        </w:tc>
        <w:tc>
          <w:tcPr>
            <w:tcW w:w="3262" w:type="dxa"/>
            <w:tcBorders>
              <w:top w:val="single" w:sz="8" w:space="0" w:color="000000"/>
            </w:tcBorders>
          </w:tcPr>
          <w:p w14:paraId="36C3F87D"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Mean ± SD</w:t>
            </w:r>
          </w:p>
        </w:tc>
        <w:tc>
          <w:tcPr>
            <w:tcW w:w="1729" w:type="dxa"/>
            <w:tcBorders>
              <w:top w:val="single" w:sz="8" w:space="0" w:color="000000"/>
            </w:tcBorders>
          </w:tcPr>
          <w:p w14:paraId="1720946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57.1 ± 11.5</w:t>
            </w:r>
          </w:p>
        </w:tc>
      </w:tr>
      <w:tr w:rsidR="00F02322" w:rsidRPr="004E6085" w14:paraId="62B89451" w14:textId="77777777" w:rsidTr="00A873D8">
        <w:trPr>
          <w:trHeight w:val="283"/>
        </w:trPr>
        <w:tc>
          <w:tcPr>
            <w:tcW w:w="5118" w:type="dxa"/>
          </w:tcPr>
          <w:p w14:paraId="1DD3806D"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Age (Years), n (%)</w:t>
            </w:r>
          </w:p>
        </w:tc>
        <w:tc>
          <w:tcPr>
            <w:tcW w:w="3262" w:type="dxa"/>
          </w:tcPr>
          <w:p w14:paraId="55F29A8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&lt;50</w:t>
            </w:r>
          </w:p>
        </w:tc>
        <w:tc>
          <w:tcPr>
            <w:tcW w:w="1729" w:type="dxa"/>
          </w:tcPr>
          <w:p w14:paraId="571F3171"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 xml:space="preserve">223 (26.8) </w:t>
            </w:r>
          </w:p>
        </w:tc>
      </w:tr>
      <w:tr w:rsidR="00F02322" w:rsidRPr="004E6085" w14:paraId="00A3BF18" w14:textId="77777777" w:rsidTr="00A873D8">
        <w:trPr>
          <w:trHeight w:val="283"/>
        </w:trPr>
        <w:tc>
          <w:tcPr>
            <w:tcW w:w="5118" w:type="dxa"/>
            <w:tcBorders>
              <w:bottom w:val="single" w:sz="4" w:space="0" w:color="auto"/>
            </w:tcBorders>
          </w:tcPr>
          <w:p w14:paraId="5E1EC037"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4" w:space="0" w:color="auto"/>
            </w:tcBorders>
          </w:tcPr>
          <w:p w14:paraId="5CC0E12F" w14:textId="77777777" w:rsidR="00F02322" w:rsidRPr="007A1920" w:rsidRDefault="00F02322" w:rsidP="00A873D8">
            <w:pPr>
              <w:spacing w:line="360" w:lineRule="auto"/>
              <w:rPr>
                <w:rFonts w:ascii="Palatino Linotype" w:hAnsi="Palatino Linotype"/>
                <w:sz w:val="21"/>
                <w:szCs w:val="21"/>
              </w:rPr>
            </w:pPr>
            <w:r w:rsidRPr="007A1920">
              <w:rPr>
                <w:rFonts w:ascii="Palatino Linotype" w:eastAsia="Arial Unicode MS" w:hAnsi="Palatino Linotype" w:cs="Arial Unicode MS"/>
                <w:sz w:val="21"/>
                <w:szCs w:val="21"/>
              </w:rPr>
              <w:t>≥ 50</w:t>
            </w:r>
          </w:p>
        </w:tc>
        <w:tc>
          <w:tcPr>
            <w:tcW w:w="1729" w:type="dxa"/>
            <w:tcBorders>
              <w:bottom w:val="single" w:sz="4" w:space="0" w:color="auto"/>
            </w:tcBorders>
          </w:tcPr>
          <w:p w14:paraId="6E8BB4CB"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 xml:space="preserve">610 (73.2) </w:t>
            </w:r>
          </w:p>
        </w:tc>
      </w:tr>
      <w:tr w:rsidR="00F02322" w:rsidRPr="004E6085" w14:paraId="7CF7CB3E" w14:textId="77777777" w:rsidTr="00A873D8">
        <w:trPr>
          <w:trHeight w:val="283"/>
        </w:trPr>
        <w:tc>
          <w:tcPr>
            <w:tcW w:w="5118" w:type="dxa"/>
            <w:tcBorders>
              <w:top w:val="single" w:sz="4" w:space="0" w:color="auto"/>
              <w:left w:val="nil"/>
              <w:bottom w:val="nil"/>
              <w:right w:val="nil"/>
            </w:tcBorders>
          </w:tcPr>
          <w:p w14:paraId="24E6AC0D"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bCs/>
                <w:color w:val="000000"/>
                <w:sz w:val="21"/>
                <w:szCs w:val="21"/>
                <w:lang w:val="en-US"/>
              </w:rPr>
              <w:t>Health insurance, n (%)</w:t>
            </w:r>
          </w:p>
        </w:tc>
        <w:tc>
          <w:tcPr>
            <w:tcW w:w="3262" w:type="dxa"/>
            <w:tcBorders>
              <w:top w:val="single" w:sz="4" w:space="0" w:color="auto"/>
              <w:left w:val="nil"/>
              <w:bottom w:val="nil"/>
              <w:right w:val="nil"/>
            </w:tcBorders>
            <w:vAlign w:val="bottom"/>
          </w:tcPr>
          <w:p w14:paraId="40632845" w14:textId="77777777" w:rsidR="00F02322" w:rsidRPr="007A1920" w:rsidRDefault="00F02322" w:rsidP="00A873D8">
            <w:pPr>
              <w:spacing w:line="360" w:lineRule="auto"/>
              <w:rPr>
                <w:rFonts w:ascii="Palatino Linotype" w:eastAsia="Arial Unicode MS" w:hAnsi="Palatino Linotype" w:cs="Arial Unicode MS"/>
                <w:sz w:val="21"/>
                <w:szCs w:val="21"/>
              </w:rPr>
            </w:pPr>
            <w:r w:rsidRPr="007A1920">
              <w:rPr>
                <w:rFonts w:ascii="Palatino Linotype" w:hAnsi="Palatino Linotype"/>
                <w:color w:val="000000"/>
                <w:sz w:val="21"/>
                <w:szCs w:val="21"/>
                <w:lang w:val="en-US"/>
              </w:rPr>
              <w:t>Contributive/Others</w:t>
            </w:r>
          </w:p>
        </w:tc>
        <w:tc>
          <w:tcPr>
            <w:tcW w:w="1729" w:type="dxa"/>
            <w:tcBorders>
              <w:top w:val="single" w:sz="4" w:space="0" w:color="auto"/>
              <w:left w:val="nil"/>
              <w:bottom w:val="nil"/>
              <w:right w:val="nil"/>
            </w:tcBorders>
          </w:tcPr>
          <w:p w14:paraId="370CB13A"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435 (52.2)</w:t>
            </w:r>
          </w:p>
        </w:tc>
      </w:tr>
      <w:tr w:rsidR="00F02322" w:rsidRPr="004E6085" w14:paraId="36428F74" w14:textId="77777777" w:rsidTr="00A873D8">
        <w:trPr>
          <w:trHeight w:val="283"/>
        </w:trPr>
        <w:tc>
          <w:tcPr>
            <w:tcW w:w="5118" w:type="dxa"/>
            <w:tcBorders>
              <w:top w:val="nil"/>
              <w:left w:val="nil"/>
              <w:bottom w:val="single" w:sz="4" w:space="0" w:color="auto"/>
              <w:right w:val="nil"/>
            </w:tcBorders>
          </w:tcPr>
          <w:p w14:paraId="493D0D2C" w14:textId="77777777" w:rsidR="00F02322" w:rsidRPr="007A1920" w:rsidRDefault="00F02322" w:rsidP="00A873D8">
            <w:pPr>
              <w:spacing w:line="360" w:lineRule="auto"/>
              <w:rPr>
                <w:rFonts w:ascii="Palatino Linotype" w:hAnsi="Palatino Linotype"/>
                <w:b/>
                <w:sz w:val="21"/>
                <w:szCs w:val="21"/>
              </w:rPr>
            </w:pPr>
          </w:p>
        </w:tc>
        <w:tc>
          <w:tcPr>
            <w:tcW w:w="3262" w:type="dxa"/>
            <w:tcBorders>
              <w:top w:val="nil"/>
              <w:left w:val="nil"/>
              <w:bottom w:val="single" w:sz="4" w:space="0" w:color="auto"/>
              <w:right w:val="nil"/>
            </w:tcBorders>
            <w:vAlign w:val="bottom"/>
          </w:tcPr>
          <w:p w14:paraId="462F305E" w14:textId="77777777" w:rsidR="00F02322" w:rsidRPr="007A1920" w:rsidRDefault="00F02322" w:rsidP="00A873D8">
            <w:pPr>
              <w:spacing w:line="360" w:lineRule="auto"/>
              <w:rPr>
                <w:rFonts w:ascii="Palatino Linotype" w:eastAsia="Arial Unicode MS" w:hAnsi="Palatino Linotype" w:cs="Arial Unicode MS"/>
                <w:sz w:val="21"/>
                <w:szCs w:val="21"/>
              </w:rPr>
            </w:pPr>
            <w:r w:rsidRPr="007A1920">
              <w:rPr>
                <w:rFonts w:ascii="Palatino Linotype" w:hAnsi="Palatino Linotype"/>
                <w:color w:val="000000"/>
                <w:sz w:val="21"/>
                <w:szCs w:val="21"/>
                <w:lang w:val="en-US"/>
              </w:rPr>
              <w:t>Subsidized</w:t>
            </w:r>
          </w:p>
        </w:tc>
        <w:tc>
          <w:tcPr>
            <w:tcW w:w="1729" w:type="dxa"/>
            <w:tcBorders>
              <w:top w:val="nil"/>
              <w:left w:val="nil"/>
              <w:bottom w:val="single" w:sz="4" w:space="0" w:color="auto"/>
              <w:right w:val="nil"/>
            </w:tcBorders>
          </w:tcPr>
          <w:p w14:paraId="1B5F68C2"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398 (47.8)</w:t>
            </w:r>
          </w:p>
        </w:tc>
      </w:tr>
      <w:tr w:rsidR="00F02322" w:rsidRPr="004E6085" w14:paraId="50D83248" w14:textId="77777777" w:rsidTr="00A873D8">
        <w:trPr>
          <w:trHeight w:val="283"/>
        </w:trPr>
        <w:tc>
          <w:tcPr>
            <w:tcW w:w="5118" w:type="dxa"/>
            <w:tcBorders>
              <w:top w:val="single" w:sz="4" w:space="0" w:color="auto"/>
              <w:bottom w:val="nil"/>
            </w:tcBorders>
          </w:tcPr>
          <w:p w14:paraId="328618BA"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Tumor size (T), n (%)</w:t>
            </w:r>
          </w:p>
        </w:tc>
        <w:tc>
          <w:tcPr>
            <w:tcW w:w="3262" w:type="dxa"/>
            <w:tcBorders>
              <w:top w:val="single" w:sz="4" w:space="0" w:color="auto"/>
              <w:bottom w:val="nil"/>
            </w:tcBorders>
          </w:tcPr>
          <w:p w14:paraId="5D6F6B4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Tx</w:t>
            </w:r>
          </w:p>
        </w:tc>
        <w:tc>
          <w:tcPr>
            <w:tcW w:w="1729" w:type="dxa"/>
            <w:tcBorders>
              <w:top w:val="single" w:sz="4" w:space="0" w:color="auto"/>
              <w:bottom w:val="nil"/>
            </w:tcBorders>
          </w:tcPr>
          <w:p w14:paraId="1672E56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6 (0.70)</w:t>
            </w:r>
          </w:p>
        </w:tc>
      </w:tr>
      <w:tr w:rsidR="00F02322" w:rsidRPr="004E6085" w14:paraId="02C1DED7" w14:textId="77777777" w:rsidTr="00A873D8">
        <w:trPr>
          <w:trHeight w:val="283"/>
        </w:trPr>
        <w:tc>
          <w:tcPr>
            <w:tcW w:w="5118" w:type="dxa"/>
            <w:tcBorders>
              <w:top w:val="nil"/>
              <w:left w:val="nil"/>
              <w:bottom w:val="nil"/>
              <w:right w:val="nil"/>
            </w:tcBorders>
          </w:tcPr>
          <w:p w14:paraId="110DCA0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590C282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cT1a-cT1b</w:t>
            </w:r>
          </w:p>
        </w:tc>
        <w:tc>
          <w:tcPr>
            <w:tcW w:w="1729" w:type="dxa"/>
            <w:tcBorders>
              <w:top w:val="nil"/>
              <w:left w:val="nil"/>
              <w:bottom w:val="nil"/>
              <w:right w:val="nil"/>
            </w:tcBorders>
          </w:tcPr>
          <w:p w14:paraId="426DA0E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36 (4.30) </w:t>
            </w:r>
          </w:p>
        </w:tc>
      </w:tr>
      <w:tr w:rsidR="00F02322" w:rsidRPr="004E6085" w14:paraId="52576FB2" w14:textId="77777777" w:rsidTr="00A873D8">
        <w:trPr>
          <w:trHeight w:val="283"/>
        </w:trPr>
        <w:tc>
          <w:tcPr>
            <w:tcW w:w="5118" w:type="dxa"/>
            <w:tcBorders>
              <w:top w:val="nil"/>
            </w:tcBorders>
          </w:tcPr>
          <w:p w14:paraId="628E7E5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tcBorders>
          </w:tcPr>
          <w:p w14:paraId="0F91140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cT1c</w:t>
            </w:r>
          </w:p>
        </w:tc>
        <w:tc>
          <w:tcPr>
            <w:tcW w:w="1729" w:type="dxa"/>
            <w:tcBorders>
              <w:top w:val="nil"/>
            </w:tcBorders>
          </w:tcPr>
          <w:p w14:paraId="4BBAA4F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95 (11.4) </w:t>
            </w:r>
          </w:p>
        </w:tc>
      </w:tr>
      <w:tr w:rsidR="00F02322" w:rsidRPr="004E6085" w14:paraId="0DF4BCAC" w14:textId="77777777" w:rsidTr="00A873D8">
        <w:trPr>
          <w:trHeight w:val="283"/>
        </w:trPr>
        <w:tc>
          <w:tcPr>
            <w:tcW w:w="5118" w:type="dxa"/>
          </w:tcPr>
          <w:p w14:paraId="7F64E2F1"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C632B3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cT2</w:t>
            </w:r>
          </w:p>
        </w:tc>
        <w:tc>
          <w:tcPr>
            <w:tcW w:w="1729" w:type="dxa"/>
          </w:tcPr>
          <w:p w14:paraId="637EAE6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373 (44.8) </w:t>
            </w:r>
          </w:p>
        </w:tc>
      </w:tr>
      <w:tr w:rsidR="00F02322" w:rsidRPr="004E6085" w14:paraId="478BFBCD" w14:textId="77777777" w:rsidTr="00A873D8">
        <w:trPr>
          <w:trHeight w:val="283"/>
        </w:trPr>
        <w:tc>
          <w:tcPr>
            <w:tcW w:w="5118" w:type="dxa"/>
          </w:tcPr>
          <w:p w14:paraId="00F6C883" w14:textId="77777777" w:rsidR="00F02322" w:rsidRPr="004E6085" w:rsidRDefault="00F02322" w:rsidP="00A873D8">
            <w:pPr>
              <w:spacing w:line="360" w:lineRule="auto"/>
              <w:rPr>
                <w:rFonts w:ascii="Palatino Linotype" w:hAnsi="Palatino Linotype"/>
                <w:b/>
                <w:sz w:val="21"/>
                <w:szCs w:val="21"/>
              </w:rPr>
            </w:pPr>
          </w:p>
        </w:tc>
        <w:tc>
          <w:tcPr>
            <w:tcW w:w="3262" w:type="dxa"/>
          </w:tcPr>
          <w:p w14:paraId="1676FBA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cT3</w:t>
            </w:r>
          </w:p>
        </w:tc>
        <w:tc>
          <w:tcPr>
            <w:tcW w:w="1729" w:type="dxa"/>
          </w:tcPr>
          <w:p w14:paraId="6DA0A94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69 (8.30) </w:t>
            </w:r>
          </w:p>
        </w:tc>
      </w:tr>
      <w:tr w:rsidR="00F02322" w:rsidRPr="004E6085" w14:paraId="29719737" w14:textId="77777777" w:rsidTr="00A873D8">
        <w:trPr>
          <w:trHeight w:val="283"/>
        </w:trPr>
        <w:tc>
          <w:tcPr>
            <w:tcW w:w="5118" w:type="dxa"/>
            <w:tcBorders>
              <w:top w:val="single" w:sz="8" w:space="0" w:color="000000"/>
            </w:tcBorders>
          </w:tcPr>
          <w:p w14:paraId="6047BD44"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Node involvement (N), n (%)</w:t>
            </w:r>
          </w:p>
        </w:tc>
        <w:tc>
          <w:tcPr>
            <w:tcW w:w="3262" w:type="dxa"/>
            <w:tcBorders>
              <w:top w:val="single" w:sz="8" w:space="0" w:color="000000"/>
            </w:tcBorders>
          </w:tcPr>
          <w:p w14:paraId="3B34B2B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N0</w:t>
            </w:r>
          </w:p>
        </w:tc>
        <w:tc>
          <w:tcPr>
            <w:tcW w:w="1729" w:type="dxa"/>
            <w:tcBorders>
              <w:top w:val="single" w:sz="8" w:space="0" w:color="000000"/>
            </w:tcBorders>
          </w:tcPr>
          <w:p w14:paraId="6FB90E9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394 (47.3) </w:t>
            </w:r>
          </w:p>
        </w:tc>
      </w:tr>
      <w:tr w:rsidR="00F02322" w:rsidRPr="004E6085" w14:paraId="072C3F20" w14:textId="77777777" w:rsidTr="00A873D8">
        <w:trPr>
          <w:trHeight w:val="283"/>
        </w:trPr>
        <w:tc>
          <w:tcPr>
            <w:tcW w:w="5118" w:type="dxa"/>
            <w:tcBorders>
              <w:bottom w:val="nil"/>
            </w:tcBorders>
          </w:tcPr>
          <w:p w14:paraId="05C2E317"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nil"/>
            </w:tcBorders>
          </w:tcPr>
          <w:p w14:paraId="208E8F1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N1</w:t>
            </w:r>
          </w:p>
        </w:tc>
        <w:tc>
          <w:tcPr>
            <w:tcW w:w="1729" w:type="dxa"/>
            <w:tcBorders>
              <w:bottom w:val="nil"/>
            </w:tcBorders>
          </w:tcPr>
          <w:p w14:paraId="181560B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255 (30.6) </w:t>
            </w:r>
          </w:p>
        </w:tc>
      </w:tr>
      <w:tr w:rsidR="00F02322" w:rsidRPr="004E6085" w14:paraId="74010CC7" w14:textId="77777777" w:rsidTr="00A873D8">
        <w:trPr>
          <w:trHeight w:val="283"/>
        </w:trPr>
        <w:tc>
          <w:tcPr>
            <w:tcW w:w="5118" w:type="dxa"/>
            <w:tcBorders>
              <w:top w:val="nil"/>
              <w:left w:val="nil"/>
              <w:bottom w:val="nil"/>
              <w:right w:val="nil"/>
            </w:tcBorders>
          </w:tcPr>
          <w:p w14:paraId="477E5EA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5602171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N2</w:t>
            </w:r>
          </w:p>
        </w:tc>
        <w:tc>
          <w:tcPr>
            <w:tcW w:w="1729" w:type="dxa"/>
            <w:tcBorders>
              <w:top w:val="nil"/>
              <w:left w:val="nil"/>
              <w:bottom w:val="nil"/>
              <w:right w:val="nil"/>
            </w:tcBorders>
          </w:tcPr>
          <w:p w14:paraId="293BBE5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154 (18.5) </w:t>
            </w:r>
          </w:p>
        </w:tc>
      </w:tr>
      <w:tr w:rsidR="00F02322" w:rsidRPr="004E6085" w14:paraId="600996F7" w14:textId="77777777" w:rsidTr="00A873D8">
        <w:trPr>
          <w:trHeight w:val="283"/>
        </w:trPr>
        <w:tc>
          <w:tcPr>
            <w:tcW w:w="5118" w:type="dxa"/>
            <w:tcBorders>
              <w:top w:val="nil"/>
              <w:bottom w:val="single" w:sz="8" w:space="0" w:color="000000"/>
            </w:tcBorders>
          </w:tcPr>
          <w:p w14:paraId="675428F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8" w:space="0" w:color="000000"/>
            </w:tcBorders>
          </w:tcPr>
          <w:p w14:paraId="22B3D97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N3</w:t>
            </w:r>
          </w:p>
        </w:tc>
        <w:tc>
          <w:tcPr>
            <w:tcW w:w="1729" w:type="dxa"/>
            <w:tcBorders>
              <w:top w:val="nil"/>
              <w:bottom w:val="single" w:sz="8" w:space="0" w:color="000000"/>
            </w:tcBorders>
          </w:tcPr>
          <w:p w14:paraId="68AA158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30 (3.60) </w:t>
            </w:r>
          </w:p>
        </w:tc>
      </w:tr>
      <w:tr w:rsidR="00F02322" w:rsidRPr="004E6085" w14:paraId="2D40D28A" w14:textId="77777777" w:rsidTr="00A873D8">
        <w:trPr>
          <w:trHeight w:val="283"/>
        </w:trPr>
        <w:tc>
          <w:tcPr>
            <w:tcW w:w="5118" w:type="dxa"/>
            <w:tcBorders>
              <w:top w:val="single" w:sz="8" w:space="0" w:color="000000"/>
            </w:tcBorders>
          </w:tcPr>
          <w:p w14:paraId="6AF16C4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Clinical stage, n (%)</w:t>
            </w:r>
          </w:p>
        </w:tc>
        <w:tc>
          <w:tcPr>
            <w:tcW w:w="3262" w:type="dxa"/>
            <w:tcBorders>
              <w:top w:val="single" w:sz="8" w:space="0" w:color="000000"/>
            </w:tcBorders>
            <w:vAlign w:val="bottom"/>
          </w:tcPr>
          <w:p w14:paraId="4AD3C4D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w:t>
            </w:r>
          </w:p>
        </w:tc>
        <w:tc>
          <w:tcPr>
            <w:tcW w:w="1729" w:type="dxa"/>
            <w:tcBorders>
              <w:top w:val="single" w:sz="8" w:space="0" w:color="000000"/>
            </w:tcBorders>
            <w:vAlign w:val="bottom"/>
          </w:tcPr>
          <w:p w14:paraId="39347A3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119 (14.3) </w:t>
            </w:r>
          </w:p>
        </w:tc>
      </w:tr>
      <w:tr w:rsidR="00F02322" w:rsidRPr="004E6085" w14:paraId="710CA324" w14:textId="77777777" w:rsidTr="00A873D8">
        <w:trPr>
          <w:trHeight w:val="283"/>
        </w:trPr>
        <w:tc>
          <w:tcPr>
            <w:tcW w:w="5118" w:type="dxa"/>
          </w:tcPr>
          <w:p w14:paraId="2AD9D412"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01A98B8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IIA</w:t>
            </w:r>
          </w:p>
        </w:tc>
        <w:tc>
          <w:tcPr>
            <w:tcW w:w="1729" w:type="dxa"/>
            <w:vAlign w:val="bottom"/>
          </w:tcPr>
          <w:p w14:paraId="6059D35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250 (30.0) </w:t>
            </w:r>
          </w:p>
        </w:tc>
      </w:tr>
      <w:tr w:rsidR="00F02322" w:rsidRPr="004E6085" w14:paraId="216D16B4" w14:textId="77777777" w:rsidTr="00A873D8">
        <w:trPr>
          <w:trHeight w:val="283"/>
        </w:trPr>
        <w:tc>
          <w:tcPr>
            <w:tcW w:w="5118" w:type="dxa"/>
          </w:tcPr>
          <w:p w14:paraId="0CDB83C8"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5C5B521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IIB</w:t>
            </w:r>
          </w:p>
        </w:tc>
        <w:tc>
          <w:tcPr>
            <w:tcW w:w="1729" w:type="dxa"/>
            <w:vAlign w:val="bottom"/>
          </w:tcPr>
          <w:p w14:paraId="366A272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126 (15.1) </w:t>
            </w:r>
          </w:p>
        </w:tc>
      </w:tr>
      <w:tr w:rsidR="00F02322" w:rsidRPr="004E6085" w14:paraId="782B3553" w14:textId="77777777" w:rsidTr="00A873D8">
        <w:trPr>
          <w:trHeight w:val="283"/>
        </w:trPr>
        <w:tc>
          <w:tcPr>
            <w:tcW w:w="5118" w:type="dxa"/>
          </w:tcPr>
          <w:p w14:paraId="710CC3D1"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11C10D4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IIIA</w:t>
            </w:r>
          </w:p>
        </w:tc>
        <w:tc>
          <w:tcPr>
            <w:tcW w:w="1729" w:type="dxa"/>
            <w:vAlign w:val="bottom"/>
          </w:tcPr>
          <w:p w14:paraId="362658D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85 (10.2) </w:t>
            </w:r>
          </w:p>
        </w:tc>
      </w:tr>
      <w:tr w:rsidR="00F02322" w:rsidRPr="004E6085" w14:paraId="5FC54FCE" w14:textId="77777777" w:rsidTr="00A873D8">
        <w:trPr>
          <w:trHeight w:val="283"/>
        </w:trPr>
        <w:tc>
          <w:tcPr>
            <w:tcW w:w="5118" w:type="dxa"/>
          </w:tcPr>
          <w:p w14:paraId="2CA9AFB5" w14:textId="77777777" w:rsidR="00F02322" w:rsidRPr="004E6085" w:rsidRDefault="00F02322" w:rsidP="00A873D8">
            <w:pPr>
              <w:spacing w:line="360" w:lineRule="auto"/>
              <w:rPr>
                <w:rFonts w:ascii="Palatino Linotype" w:hAnsi="Palatino Linotype"/>
                <w:b/>
                <w:sz w:val="21"/>
                <w:szCs w:val="21"/>
              </w:rPr>
            </w:pPr>
          </w:p>
        </w:tc>
        <w:tc>
          <w:tcPr>
            <w:tcW w:w="3262" w:type="dxa"/>
            <w:vAlign w:val="bottom"/>
          </w:tcPr>
          <w:p w14:paraId="04C684A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IIIB</w:t>
            </w:r>
          </w:p>
        </w:tc>
        <w:tc>
          <w:tcPr>
            <w:tcW w:w="1729" w:type="dxa"/>
            <w:vAlign w:val="bottom"/>
          </w:tcPr>
          <w:p w14:paraId="4EDBC29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222 (26.7) </w:t>
            </w:r>
          </w:p>
        </w:tc>
      </w:tr>
      <w:tr w:rsidR="00F02322" w:rsidRPr="004E6085" w14:paraId="29D2B2B8" w14:textId="77777777" w:rsidTr="00A873D8">
        <w:trPr>
          <w:trHeight w:val="283"/>
        </w:trPr>
        <w:tc>
          <w:tcPr>
            <w:tcW w:w="5118" w:type="dxa"/>
            <w:tcBorders>
              <w:bottom w:val="single" w:sz="8" w:space="0" w:color="000000"/>
            </w:tcBorders>
          </w:tcPr>
          <w:p w14:paraId="2F93851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8" w:space="0" w:color="000000"/>
            </w:tcBorders>
            <w:vAlign w:val="bottom"/>
          </w:tcPr>
          <w:p w14:paraId="496511A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IIIC</w:t>
            </w:r>
          </w:p>
        </w:tc>
        <w:tc>
          <w:tcPr>
            <w:tcW w:w="1729" w:type="dxa"/>
            <w:tcBorders>
              <w:bottom w:val="single" w:sz="8" w:space="0" w:color="000000"/>
            </w:tcBorders>
            <w:vAlign w:val="bottom"/>
          </w:tcPr>
          <w:p w14:paraId="456409A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31 (3.70) </w:t>
            </w:r>
          </w:p>
        </w:tc>
      </w:tr>
      <w:tr w:rsidR="00F02322" w:rsidRPr="004E6085" w14:paraId="30846288" w14:textId="77777777" w:rsidTr="00A873D8">
        <w:trPr>
          <w:trHeight w:val="283"/>
        </w:trPr>
        <w:tc>
          <w:tcPr>
            <w:tcW w:w="5118" w:type="dxa"/>
            <w:tcBorders>
              <w:top w:val="single" w:sz="8" w:space="0" w:color="000000"/>
            </w:tcBorders>
          </w:tcPr>
          <w:p w14:paraId="131F040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type, n (%)</w:t>
            </w:r>
          </w:p>
        </w:tc>
        <w:tc>
          <w:tcPr>
            <w:tcW w:w="3262" w:type="dxa"/>
            <w:tcBorders>
              <w:top w:val="single" w:sz="8" w:space="0" w:color="000000"/>
            </w:tcBorders>
          </w:tcPr>
          <w:p w14:paraId="27EA497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Ductal (NOS)</w:t>
            </w:r>
          </w:p>
        </w:tc>
        <w:tc>
          <w:tcPr>
            <w:tcW w:w="1729" w:type="dxa"/>
            <w:tcBorders>
              <w:top w:val="single" w:sz="8" w:space="0" w:color="000000"/>
            </w:tcBorders>
            <w:vAlign w:val="bottom"/>
          </w:tcPr>
          <w:p w14:paraId="6210908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717 (86.1) </w:t>
            </w:r>
          </w:p>
        </w:tc>
      </w:tr>
      <w:tr w:rsidR="00F02322" w:rsidRPr="004E6085" w14:paraId="5FBDD8E8" w14:textId="77777777" w:rsidTr="00A873D8">
        <w:trPr>
          <w:trHeight w:val="283"/>
        </w:trPr>
        <w:tc>
          <w:tcPr>
            <w:tcW w:w="5118" w:type="dxa"/>
          </w:tcPr>
          <w:p w14:paraId="61C4C1B0"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447655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Lobular</w:t>
            </w:r>
          </w:p>
        </w:tc>
        <w:tc>
          <w:tcPr>
            <w:tcW w:w="1729" w:type="dxa"/>
            <w:vAlign w:val="bottom"/>
          </w:tcPr>
          <w:p w14:paraId="520688E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42 (5.00) </w:t>
            </w:r>
          </w:p>
        </w:tc>
      </w:tr>
      <w:tr w:rsidR="00F02322" w:rsidRPr="004E6085" w14:paraId="4C68CFA5" w14:textId="77777777" w:rsidTr="00A873D8">
        <w:trPr>
          <w:trHeight w:val="283"/>
        </w:trPr>
        <w:tc>
          <w:tcPr>
            <w:tcW w:w="5118" w:type="dxa"/>
            <w:tcBorders>
              <w:bottom w:val="single" w:sz="8" w:space="0" w:color="000000"/>
            </w:tcBorders>
          </w:tcPr>
          <w:p w14:paraId="11372CD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0CBF6DC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Other</w:t>
            </w:r>
          </w:p>
        </w:tc>
        <w:tc>
          <w:tcPr>
            <w:tcW w:w="1729" w:type="dxa"/>
            <w:tcBorders>
              <w:bottom w:val="single" w:sz="8" w:space="0" w:color="000000"/>
            </w:tcBorders>
            <w:vAlign w:val="bottom"/>
          </w:tcPr>
          <w:p w14:paraId="26E22316"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71 (8.50) </w:t>
            </w:r>
          </w:p>
        </w:tc>
      </w:tr>
      <w:tr w:rsidR="00F02322" w:rsidRPr="004E6085" w14:paraId="21591A86" w14:textId="77777777" w:rsidTr="00A873D8">
        <w:trPr>
          <w:trHeight w:val="283"/>
        </w:trPr>
        <w:tc>
          <w:tcPr>
            <w:tcW w:w="5118" w:type="dxa"/>
            <w:tcBorders>
              <w:top w:val="single" w:sz="8" w:space="0" w:color="000000"/>
            </w:tcBorders>
          </w:tcPr>
          <w:p w14:paraId="6BF2BFCF"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grade, n (%)</w:t>
            </w:r>
          </w:p>
        </w:tc>
        <w:tc>
          <w:tcPr>
            <w:tcW w:w="3262" w:type="dxa"/>
            <w:tcBorders>
              <w:top w:val="single" w:sz="8" w:space="0" w:color="000000"/>
            </w:tcBorders>
          </w:tcPr>
          <w:p w14:paraId="5AB5645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w:t>
            </w:r>
          </w:p>
        </w:tc>
        <w:tc>
          <w:tcPr>
            <w:tcW w:w="1729" w:type="dxa"/>
            <w:tcBorders>
              <w:top w:val="single" w:sz="8" w:space="0" w:color="000000"/>
            </w:tcBorders>
            <w:vAlign w:val="bottom"/>
          </w:tcPr>
          <w:p w14:paraId="7BD7D02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98 (11.8) </w:t>
            </w:r>
          </w:p>
        </w:tc>
      </w:tr>
      <w:tr w:rsidR="00F02322" w:rsidRPr="004E6085" w14:paraId="0FE6A4E0" w14:textId="77777777" w:rsidTr="00A873D8">
        <w:trPr>
          <w:trHeight w:val="283"/>
        </w:trPr>
        <w:tc>
          <w:tcPr>
            <w:tcW w:w="5118" w:type="dxa"/>
          </w:tcPr>
          <w:p w14:paraId="725B3C8D" w14:textId="77777777" w:rsidR="00F02322" w:rsidRPr="004E6085" w:rsidRDefault="00F02322" w:rsidP="00A873D8">
            <w:pPr>
              <w:spacing w:line="360" w:lineRule="auto"/>
              <w:rPr>
                <w:rFonts w:ascii="Palatino Linotype" w:hAnsi="Palatino Linotype"/>
                <w:b/>
                <w:sz w:val="21"/>
                <w:szCs w:val="21"/>
              </w:rPr>
            </w:pPr>
          </w:p>
        </w:tc>
        <w:tc>
          <w:tcPr>
            <w:tcW w:w="3262" w:type="dxa"/>
          </w:tcPr>
          <w:p w14:paraId="312EDE1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w:t>
            </w:r>
          </w:p>
        </w:tc>
        <w:tc>
          <w:tcPr>
            <w:tcW w:w="1729" w:type="dxa"/>
            <w:vAlign w:val="bottom"/>
          </w:tcPr>
          <w:p w14:paraId="6E09FAC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510 (61.2) </w:t>
            </w:r>
          </w:p>
        </w:tc>
      </w:tr>
      <w:tr w:rsidR="00F02322" w:rsidRPr="004E6085" w14:paraId="4053E84D" w14:textId="77777777" w:rsidTr="00A873D8">
        <w:trPr>
          <w:trHeight w:val="283"/>
        </w:trPr>
        <w:tc>
          <w:tcPr>
            <w:tcW w:w="5118" w:type="dxa"/>
          </w:tcPr>
          <w:p w14:paraId="1E4FCD2A" w14:textId="77777777" w:rsidR="00F02322" w:rsidRPr="007A1920" w:rsidRDefault="00F02322" w:rsidP="00A873D8">
            <w:pPr>
              <w:spacing w:line="360" w:lineRule="auto"/>
              <w:rPr>
                <w:rFonts w:ascii="Palatino Linotype" w:hAnsi="Palatino Linotype"/>
                <w:b/>
                <w:sz w:val="21"/>
                <w:szCs w:val="21"/>
              </w:rPr>
            </w:pPr>
          </w:p>
        </w:tc>
        <w:tc>
          <w:tcPr>
            <w:tcW w:w="3262" w:type="dxa"/>
          </w:tcPr>
          <w:p w14:paraId="767E890A"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3</w:t>
            </w:r>
          </w:p>
        </w:tc>
        <w:tc>
          <w:tcPr>
            <w:tcW w:w="1729" w:type="dxa"/>
            <w:vAlign w:val="bottom"/>
          </w:tcPr>
          <w:p w14:paraId="6F5C3B1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224 (26.9) </w:t>
            </w:r>
          </w:p>
        </w:tc>
      </w:tr>
      <w:tr w:rsidR="00F02322" w:rsidRPr="004E6085" w14:paraId="1DC804DC" w14:textId="77777777" w:rsidTr="00A873D8">
        <w:trPr>
          <w:trHeight w:val="283"/>
        </w:trPr>
        <w:tc>
          <w:tcPr>
            <w:tcW w:w="5118" w:type="dxa"/>
            <w:tcBorders>
              <w:bottom w:val="single" w:sz="8" w:space="0" w:color="000000"/>
            </w:tcBorders>
          </w:tcPr>
          <w:p w14:paraId="6E03B10E"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1EAC532F"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No data</w:t>
            </w:r>
          </w:p>
        </w:tc>
        <w:tc>
          <w:tcPr>
            <w:tcW w:w="1729" w:type="dxa"/>
            <w:tcBorders>
              <w:bottom w:val="single" w:sz="8" w:space="0" w:color="000000"/>
            </w:tcBorders>
            <w:vAlign w:val="bottom"/>
          </w:tcPr>
          <w:p w14:paraId="53FFF788"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1 (0.10) </w:t>
            </w:r>
          </w:p>
        </w:tc>
      </w:tr>
      <w:tr w:rsidR="00F02322" w:rsidRPr="004E6085" w14:paraId="408BBE16" w14:textId="77777777" w:rsidTr="00A873D8">
        <w:trPr>
          <w:trHeight w:val="283"/>
        </w:trPr>
        <w:tc>
          <w:tcPr>
            <w:tcW w:w="5118" w:type="dxa"/>
            <w:tcBorders>
              <w:top w:val="single" w:sz="8" w:space="0" w:color="000000"/>
            </w:tcBorders>
          </w:tcPr>
          <w:p w14:paraId="1D6F2758" w14:textId="77777777" w:rsidR="00F02322" w:rsidRPr="007A1920" w:rsidRDefault="00F02322" w:rsidP="00A873D8">
            <w:pPr>
              <w:spacing w:line="360" w:lineRule="auto"/>
              <w:rPr>
                <w:rFonts w:ascii="Palatino Linotype" w:hAnsi="Palatino Linotype"/>
                <w:b/>
                <w:sz w:val="21"/>
                <w:szCs w:val="21"/>
              </w:rPr>
            </w:pPr>
            <w:r w:rsidRPr="007A1920">
              <w:rPr>
                <w:rFonts w:ascii="Palatino Linotype" w:hAnsi="Palatino Linotype"/>
                <w:b/>
                <w:sz w:val="21"/>
                <w:szCs w:val="21"/>
              </w:rPr>
              <w:t>Molecular subtype, n (%)</w:t>
            </w:r>
          </w:p>
        </w:tc>
        <w:tc>
          <w:tcPr>
            <w:tcW w:w="3262" w:type="dxa"/>
            <w:tcBorders>
              <w:top w:val="single" w:sz="8" w:space="0" w:color="000000"/>
            </w:tcBorders>
          </w:tcPr>
          <w:p w14:paraId="4C45100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A</w:t>
            </w:r>
          </w:p>
        </w:tc>
        <w:tc>
          <w:tcPr>
            <w:tcW w:w="1729" w:type="dxa"/>
            <w:tcBorders>
              <w:top w:val="single" w:sz="8" w:space="0" w:color="000000"/>
            </w:tcBorders>
            <w:vAlign w:val="bottom"/>
          </w:tcPr>
          <w:p w14:paraId="10845A6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312 (37.5) </w:t>
            </w:r>
          </w:p>
        </w:tc>
      </w:tr>
      <w:tr w:rsidR="00F02322" w:rsidRPr="004E6085" w14:paraId="2C3BD4B3" w14:textId="77777777" w:rsidTr="00A873D8">
        <w:trPr>
          <w:trHeight w:val="283"/>
        </w:trPr>
        <w:tc>
          <w:tcPr>
            <w:tcW w:w="5118" w:type="dxa"/>
          </w:tcPr>
          <w:p w14:paraId="4C082816" w14:textId="77777777" w:rsidR="00F02322" w:rsidRPr="007A1920" w:rsidRDefault="00F02322" w:rsidP="00A873D8">
            <w:pPr>
              <w:spacing w:line="360" w:lineRule="auto"/>
              <w:rPr>
                <w:rFonts w:ascii="Palatino Linotype" w:hAnsi="Palatino Linotype"/>
                <w:b/>
                <w:sz w:val="21"/>
                <w:szCs w:val="21"/>
              </w:rPr>
            </w:pPr>
          </w:p>
        </w:tc>
        <w:tc>
          <w:tcPr>
            <w:tcW w:w="3262" w:type="dxa"/>
          </w:tcPr>
          <w:p w14:paraId="6FF6A28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B HER2-</w:t>
            </w:r>
          </w:p>
        </w:tc>
        <w:tc>
          <w:tcPr>
            <w:tcW w:w="1729" w:type="dxa"/>
            <w:vAlign w:val="bottom"/>
          </w:tcPr>
          <w:p w14:paraId="63C5899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246 (29.5) </w:t>
            </w:r>
          </w:p>
        </w:tc>
      </w:tr>
      <w:tr w:rsidR="00F02322" w:rsidRPr="004E6085" w14:paraId="01339219" w14:textId="77777777" w:rsidTr="00A873D8">
        <w:trPr>
          <w:trHeight w:val="283"/>
        </w:trPr>
        <w:tc>
          <w:tcPr>
            <w:tcW w:w="5118" w:type="dxa"/>
          </w:tcPr>
          <w:p w14:paraId="0E5B9A04" w14:textId="77777777" w:rsidR="00F02322" w:rsidRPr="007A1920" w:rsidRDefault="00F02322" w:rsidP="00A873D8">
            <w:pPr>
              <w:spacing w:line="360" w:lineRule="auto"/>
              <w:rPr>
                <w:rFonts w:ascii="Palatino Linotype" w:hAnsi="Palatino Linotype"/>
                <w:b/>
                <w:sz w:val="21"/>
                <w:szCs w:val="21"/>
              </w:rPr>
            </w:pPr>
          </w:p>
        </w:tc>
        <w:tc>
          <w:tcPr>
            <w:tcW w:w="3262" w:type="dxa"/>
          </w:tcPr>
          <w:p w14:paraId="6B304DC3"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Luminal B HER2+</w:t>
            </w:r>
          </w:p>
        </w:tc>
        <w:tc>
          <w:tcPr>
            <w:tcW w:w="1729" w:type="dxa"/>
            <w:vAlign w:val="bottom"/>
          </w:tcPr>
          <w:p w14:paraId="37242887"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126 (15.1) </w:t>
            </w:r>
          </w:p>
        </w:tc>
      </w:tr>
      <w:tr w:rsidR="00F02322" w:rsidRPr="004E6085" w14:paraId="64166841" w14:textId="77777777" w:rsidTr="00A873D8">
        <w:trPr>
          <w:trHeight w:val="283"/>
        </w:trPr>
        <w:tc>
          <w:tcPr>
            <w:tcW w:w="5118" w:type="dxa"/>
          </w:tcPr>
          <w:p w14:paraId="32786E66" w14:textId="77777777" w:rsidR="00F02322" w:rsidRPr="007A1920" w:rsidRDefault="00F02322" w:rsidP="00A873D8">
            <w:pPr>
              <w:spacing w:line="360" w:lineRule="auto"/>
              <w:rPr>
                <w:rFonts w:ascii="Palatino Linotype" w:hAnsi="Palatino Linotype"/>
                <w:b/>
                <w:sz w:val="21"/>
                <w:szCs w:val="21"/>
              </w:rPr>
            </w:pPr>
          </w:p>
        </w:tc>
        <w:tc>
          <w:tcPr>
            <w:tcW w:w="3262" w:type="dxa"/>
          </w:tcPr>
          <w:p w14:paraId="51300410"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Her2+</w:t>
            </w:r>
          </w:p>
        </w:tc>
        <w:tc>
          <w:tcPr>
            <w:tcW w:w="1729" w:type="dxa"/>
            <w:vAlign w:val="bottom"/>
          </w:tcPr>
          <w:p w14:paraId="3A18CA51"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55 (6.60) </w:t>
            </w:r>
          </w:p>
        </w:tc>
      </w:tr>
      <w:tr w:rsidR="00F02322" w:rsidRPr="004E6085" w14:paraId="5CD1657E" w14:textId="77777777" w:rsidTr="00A873D8">
        <w:trPr>
          <w:trHeight w:val="283"/>
        </w:trPr>
        <w:tc>
          <w:tcPr>
            <w:tcW w:w="5118" w:type="dxa"/>
            <w:tcBorders>
              <w:bottom w:val="single" w:sz="8" w:space="0" w:color="000000"/>
            </w:tcBorders>
          </w:tcPr>
          <w:p w14:paraId="4AAA75DB" w14:textId="77777777" w:rsidR="00F02322" w:rsidRPr="007A1920" w:rsidRDefault="00F02322" w:rsidP="00A873D8">
            <w:pPr>
              <w:spacing w:line="360" w:lineRule="auto"/>
              <w:rPr>
                <w:rFonts w:ascii="Palatino Linotype" w:hAnsi="Palatino Linotype"/>
                <w:b/>
                <w:sz w:val="21"/>
                <w:szCs w:val="21"/>
              </w:rPr>
            </w:pPr>
          </w:p>
        </w:tc>
        <w:tc>
          <w:tcPr>
            <w:tcW w:w="3262" w:type="dxa"/>
            <w:tcBorders>
              <w:bottom w:val="single" w:sz="8" w:space="0" w:color="000000"/>
            </w:tcBorders>
          </w:tcPr>
          <w:p w14:paraId="08783026"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sz w:val="21"/>
                <w:szCs w:val="21"/>
              </w:rPr>
              <w:t>Triple-negative</w:t>
            </w:r>
          </w:p>
        </w:tc>
        <w:tc>
          <w:tcPr>
            <w:tcW w:w="1729" w:type="dxa"/>
            <w:tcBorders>
              <w:bottom w:val="single" w:sz="8" w:space="0" w:color="000000"/>
            </w:tcBorders>
            <w:vAlign w:val="bottom"/>
          </w:tcPr>
          <w:p w14:paraId="05DBD044" w14:textId="77777777" w:rsidR="00F02322" w:rsidRPr="007A1920" w:rsidRDefault="00F02322" w:rsidP="00A873D8">
            <w:pPr>
              <w:spacing w:line="360" w:lineRule="auto"/>
              <w:rPr>
                <w:rFonts w:ascii="Palatino Linotype" w:hAnsi="Palatino Linotype"/>
                <w:sz w:val="21"/>
                <w:szCs w:val="21"/>
              </w:rPr>
            </w:pPr>
            <w:r w:rsidRPr="007A1920">
              <w:rPr>
                <w:rFonts w:ascii="Palatino Linotype" w:hAnsi="Palatino Linotype" w:cs="Calibri"/>
                <w:color w:val="000000"/>
                <w:sz w:val="21"/>
                <w:szCs w:val="21"/>
              </w:rPr>
              <w:t xml:space="preserve">94 (11.3) </w:t>
            </w:r>
          </w:p>
        </w:tc>
      </w:tr>
      <w:tr w:rsidR="00F02322" w:rsidRPr="004E6085" w14:paraId="7F77A86B" w14:textId="77777777" w:rsidTr="00A873D8">
        <w:trPr>
          <w:trHeight w:val="340"/>
        </w:trPr>
        <w:tc>
          <w:tcPr>
            <w:tcW w:w="10109" w:type="dxa"/>
            <w:gridSpan w:val="3"/>
            <w:tcBorders>
              <w:top w:val="single" w:sz="8" w:space="0" w:color="000000"/>
              <w:bottom w:val="single" w:sz="8" w:space="0" w:color="000000"/>
            </w:tcBorders>
            <w:vAlign w:val="center"/>
          </w:tcPr>
          <w:p w14:paraId="682F73BB" w14:textId="77777777" w:rsidR="00F02322" w:rsidRPr="007D53A8" w:rsidRDefault="00F02322" w:rsidP="00A873D8">
            <w:pPr>
              <w:spacing w:line="360" w:lineRule="auto"/>
              <w:jc w:val="center"/>
              <w:rPr>
                <w:rFonts w:ascii="Palatino Linotype" w:hAnsi="Palatino Linotype"/>
                <w:b/>
                <w:bCs/>
                <w:sz w:val="21"/>
                <w:szCs w:val="21"/>
                <w:lang w:val="en-US"/>
              </w:rPr>
            </w:pPr>
            <w:r w:rsidRPr="007D53A8">
              <w:rPr>
                <w:rFonts w:ascii="Palatino Linotype" w:hAnsi="Palatino Linotype"/>
                <w:b/>
                <w:bCs/>
                <w:sz w:val="21"/>
                <w:szCs w:val="21"/>
                <w:lang w:val="en-US"/>
              </w:rPr>
              <w:t>Prognostic data of the surgical specimen</w:t>
            </w:r>
          </w:p>
        </w:tc>
      </w:tr>
      <w:tr w:rsidR="00F02322" w:rsidRPr="004E6085" w14:paraId="32AFA277" w14:textId="77777777" w:rsidTr="00A873D8">
        <w:trPr>
          <w:trHeight w:val="283"/>
        </w:trPr>
        <w:tc>
          <w:tcPr>
            <w:tcW w:w="5118" w:type="dxa"/>
            <w:tcBorders>
              <w:top w:val="single" w:sz="8" w:space="0" w:color="000000"/>
            </w:tcBorders>
          </w:tcPr>
          <w:p w14:paraId="2C8508C2"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Pathological tumor size, n (%)</w:t>
            </w:r>
          </w:p>
        </w:tc>
        <w:tc>
          <w:tcPr>
            <w:tcW w:w="3262" w:type="dxa"/>
            <w:tcBorders>
              <w:top w:val="single" w:sz="8" w:space="0" w:color="000000"/>
            </w:tcBorders>
          </w:tcPr>
          <w:p w14:paraId="06ADC5E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residual tumor</w:t>
            </w:r>
          </w:p>
        </w:tc>
        <w:tc>
          <w:tcPr>
            <w:tcW w:w="1729" w:type="dxa"/>
            <w:tcBorders>
              <w:top w:val="single" w:sz="8" w:space="0" w:color="000000"/>
            </w:tcBorders>
          </w:tcPr>
          <w:p w14:paraId="538F11E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111 (13.3)</w:t>
            </w:r>
          </w:p>
        </w:tc>
      </w:tr>
      <w:tr w:rsidR="00F02322" w:rsidRPr="004E6085" w14:paraId="19D37681" w14:textId="77777777" w:rsidTr="00A873D8">
        <w:trPr>
          <w:trHeight w:val="283"/>
        </w:trPr>
        <w:tc>
          <w:tcPr>
            <w:tcW w:w="5118" w:type="dxa"/>
          </w:tcPr>
          <w:p w14:paraId="16F88241"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6A9B4F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Tumor in situ</w:t>
            </w:r>
          </w:p>
        </w:tc>
        <w:tc>
          <w:tcPr>
            <w:tcW w:w="1729" w:type="dxa"/>
          </w:tcPr>
          <w:p w14:paraId="4790D1F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24 (2.90)</w:t>
            </w:r>
          </w:p>
        </w:tc>
      </w:tr>
      <w:tr w:rsidR="00F02322" w:rsidRPr="004E6085" w14:paraId="2B0D81E2" w14:textId="77777777" w:rsidTr="00A873D8">
        <w:trPr>
          <w:trHeight w:val="283"/>
        </w:trPr>
        <w:tc>
          <w:tcPr>
            <w:tcW w:w="5118" w:type="dxa"/>
          </w:tcPr>
          <w:p w14:paraId="6075E5D0" w14:textId="77777777" w:rsidR="00F02322" w:rsidRPr="004E6085" w:rsidRDefault="00F02322" w:rsidP="00A873D8">
            <w:pPr>
              <w:spacing w:line="360" w:lineRule="auto"/>
              <w:rPr>
                <w:rFonts w:ascii="Palatino Linotype" w:hAnsi="Palatino Linotype"/>
                <w:b/>
                <w:sz w:val="21"/>
                <w:szCs w:val="21"/>
              </w:rPr>
            </w:pPr>
          </w:p>
        </w:tc>
        <w:tc>
          <w:tcPr>
            <w:tcW w:w="3262" w:type="dxa"/>
          </w:tcPr>
          <w:p w14:paraId="25FE4A2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&lt; 2 cm</w:t>
            </w:r>
          </w:p>
        </w:tc>
        <w:tc>
          <w:tcPr>
            <w:tcW w:w="1729" w:type="dxa"/>
          </w:tcPr>
          <w:p w14:paraId="2770BCF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318 (38.2)</w:t>
            </w:r>
          </w:p>
        </w:tc>
      </w:tr>
      <w:tr w:rsidR="00F02322" w:rsidRPr="004E6085" w14:paraId="32C33115" w14:textId="77777777" w:rsidTr="00A873D8">
        <w:trPr>
          <w:trHeight w:val="283"/>
        </w:trPr>
        <w:tc>
          <w:tcPr>
            <w:tcW w:w="5118" w:type="dxa"/>
          </w:tcPr>
          <w:p w14:paraId="403C7924" w14:textId="77777777" w:rsidR="00F02322" w:rsidRPr="004E6085" w:rsidRDefault="00F02322" w:rsidP="00A873D8">
            <w:pPr>
              <w:spacing w:line="360" w:lineRule="auto"/>
              <w:rPr>
                <w:rFonts w:ascii="Palatino Linotype" w:hAnsi="Palatino Linotype"/>
                <w:b/>
                <w:sz w:val="21"/>
                <w:szCs w:val="21"/>
              </w:rPr>
            </w:pPr>
          </w:p>
        </w:tc>
        <w:tc>
          <w:tcPr>
            <w:tcW w:w="3262" w:type="dxa"/>
          </w:tcPr>
          <w:p w14:paraId="6B00433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2 - 5 cm</w:t>
            </w:r>
          </w:p>
        </w:tc>
        <w:tc>
          <w:tcPr>
            <w:tcW w:w="1729" w:type="dxa"/>
          </w:tcPr>
          <w:p w14:paraId="041EF5A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301 (36.1)</w:t>
            </w:r>
          </w:p>
        </w:tc>
      </w:tr>
      <w:tr w:rsidR="00F02322" w:rsidRPr="004E6085" w14:paraId="1AA729B5" w14:textId="77777777" w:rsidTr="00A873D8">
        <w:trPr>
          <w:trHeight w:val="283"/>
        </w:trPr>
        <w:tc>
          <w:tcPr>
            <w:tcW w:w="5118" w:type="dxa"/>
          </w:tcPr>
          <w:p w14:paraId="053EC08F"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36DDDD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Infiltrating, &gt; 5 cm</w:t>
            </w:r>
          </w:p>
        </w:tc>
        <w:tc>
          <w:tcPr>
            <w:tcW w:w="1729" w:type="dxa"/>
          </w:tcPr>
          <w:p w14:paraId="38E3EA7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77 (9.20)</w:t>
            </w:r>
          </w:p>
        </w:tc>
      </w:tr>
      <w:tr w:rsidR="00F02322" w:rsidRPr="004E6085" w14:paraId="7E739479" w14:textId="77777777" w:rsidTr="00A873D8">
        <w:trPr>
          <w:trHeight w:val="283"/>
        </w:trPr>
        <w:tc>
          <w:tcPr>
            <w:tcW w:w="5118" w:type="dxa"/>
            <w:tcBorders>
              <w:bottom w:val="single" w:sz="4" w:space="0" w:color="000000"/>
            </w:tcBorders>
          </w:tcPr>
          <w:p w14:paraId="19F7C100"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50B3D1F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bottom w:val="single" w:sz="4" w:space="0" w:color="000000"/>
            </w:tcBorders>
          </w:tcPr>
          <w:p w14:paraId="1D8B276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 (0.20)</w:t>
            </w:r>
          </w:p>
        </w:tc>
      </w:tr>
      <w:tr w:rsidR="00F02322" w:rsidRPr="004E6085" w14:paraId="4BC68740" w14:textId="77777777" w:rsidTr="00A873D8">
        <w:trPr>
          <w:trHeight w:val="283"/>
        </w:trPr>
        <w:tc>
          <w:tcPr>
            <w:tcW w:w="5118" w:type="dxa"/>
            <w:tcBorders>
              <w:top w:val="single" w:sz="4" w:space="0" w:color="000000"/>
            </w:tcBorders>
          </w:tcPr>
          <w:p w14:paraId="3313E20A"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Histological grade</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top w:val="single" w:sz="4" w:space="0" w:color="000000"/>
            </w:tcBorders>
          </w:tcPr>
          <w:p w14:paraId="1CD36BAF"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w:t>
            </w:r>
          </w:p>
        </w:tc>
        <w:tc>
          <w:tcPr>
            <w:tcW w:w="1729" w:type="dxa"/>
            <w:tcBorders>
              <w:top w:val="single" w:sz="4" w:space="0" w:color="000000"/>
            </w:tcBorders>
          </w:tcPr>
          <w:p w14:paraId="75D6C81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67 (9.30) </w:t>
            </w:r>
          </w:p>
        </w:tc>
      </w:tr>
      <w:tr w:rsidR="00F02322" w:rsidRPr="004E6085" w14:paraId="3706DF34" w14:textId="77777777" w:rsidTr="00A873D8">
        <w:trPr>
          <w:trHeight w:val="283"/>
        </w:trPr>
        <w:tc>
          <w:tcPr>
            <w:tcW w:w="5118" w:type="dxa"/>
            <w:tcBorders>
              <w:bottom w:val="nil"/>
            </w:tcBorders>
          </w:tcPr>
          <w:p w14:paraId="1A3F6FF4"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nil"/>
            </w:tcBorders>
          </w:tcPr>
          <w:p w14:paraId="0EB6A4F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w:t>
            </w:r>
          </w:p>
        </w:tc>
        <w:tc>
          <w:tcPr>
            <w:tcW w:w="1729" w:type="dxa"/>
            <w:tcBorders>
              <w:bottom w:val="nil"/>
            </w:tcBorders>
          </w:tcPr>
          <w:p w14:paraId="0FE3F3A6"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303 (42.1) </w:t>
            </w:r>
          </w:p>
        </w:tc>
      </w:tr>
      <w:tr w:rsidR="00F02322" w:rsidRPr="004E6085" w14:paraId="530506C0" w14:textId="77777777" w:rsidTr="00A873D8">
        <w:trPr>
          <w:trHeight w:val="283"/>
        </w:trPr>
        <w:tc>
          <w:tcPr>
            <w:tcW w:w="5118" w:type="dxa"/>
            <w:tcBorders>
              <w:top w:val="nil"/>
              <w:left w:val="nil"/>
              <w:bottom w:val="nil"/>
              <w:right w:val="nil"/>
            </w:tcBorders>
          </w:tcPr>
          <w:p w14:paraId="1DAD94B3"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272E637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w:t>
            </w:r>
          </w:p>
        </w:tc>
        <w:tc>
          <w:tcPr>
            <w:tcW w:w="1729" w:type="dxa"/>
            <w:tcBorders>
              <w:top w:val="nil"/>
              <w:left w:val="nil"/>
              <w:bottom w:val="nil"/>
              <w:right w:val="nil"/>
            </w:tcBorders>
          </w:tcPr>
          <w:p w14:paraId="39AA3D7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157 (21.8) </w:t>
            </w:r>
          </w:p>
        </w:tc>
      </w:tr>
      <w:tr w:rsidR="00F02322" w:rsidRPr="004E6085" w14:paraId="36E42947" w14:textId="77777777" w:rsidTr="00A873D8">
        <w:trPr>
          <w:trHeight w:val="283"/>
        </w:trPr>
        <w:tc>
          <w:tcPr>
            <w:tcW w:w="5118" w:type="dxa"/>
            <w:tcBorders>
              <w:top w:val="nil"/>
              <w:bottom w:val="single" w:sz="4" w:space="0" w:color="000000"/>
            </w:tcBorders>
          </w:tcPr>
          <w:p w14:paraId="02E0CBA5"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4" w:space="0" w:color="000000"/>
            </w:tcBorders>
          </w:tcPr>
          <w:p w14:paraId="04F12EE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top w:val="nil"/>
              <w:bottom w:val="single" w:sz="4" w:space="0" w:color="000000"/>
            </w:tcBorders>
          </w:tcPr>
          <w:p w14:paraId="33A0B24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193 (26.8)</w:t>
            </w:r>
          </w:p>
        </w:tc>
      </w:tr>
      <w:tr w:rsidR="00F02322" w:rsidRPr="004E6085" w14:paraId="5A94FD93" w14:textId="77777777" w:rsidTr="00A873D8">
        <w:trPr>
          <w:trHeight w:val="283"/>
        </w:trPr>
        <w:tc>
          <w:tcPr>
            <w:tcW w:w="5118" w:type="dxa"/>
            <w:tcBorders>
              <w:top w:val="single" w:sz="4" w:space="0" w:color="000000"/>
            </w:tcBorders>
          </w:tcPr>
          <w:p w14:paraId="6A1052AC"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Lymphovascular invasion</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top w:val="single" w:sz="4" w:space="0" w:color="000000"/>
            </w:tcBorders>
          </w:tcPr>
          <w:p w14:paraId="0F406E13"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Borders>
              <w:top w:val="single" w:sz="4" w:space="0" w:color="000000"/>
            </w:tcBorders>
            <w:vAlign w:val="bottom"/>
          </w:tcPr>
          <w:p w14:paraId="35CB7D5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274 (38.1) </w:t>
            </w:r>
          </w:p>
        </w:tc>
      </w:tr>
      <w:tr w:rsidR="00F02322" w:rsidRPr="004E6085" w14:paraId="6AAD6212" w14:textId="77777777" w:rsidTr="00A873D8">
        <w:trPr>
          <w:trHeight w:val="283"/>
        </w:trPr>
        <w:tc>
          <w:tcPr>
            <w:tcW w:w="5118" w:type="dxa"/>
          </w:tcPr>
          <w:p w14:paraId="20D0D15D"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5FC91E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vAlign w:val="bottom"/>
          </w:tcPr>
          <w:p w14:paraId="4576692B"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181 (25.1) </w:t>
            </w:r>
          </w:p>
        </w:tc>
      </w:tr>
      <w:tr w:rsidR="00F02322" w:rsidRPr="004E6085" w14:paraId="614B122F" w14:textId="77777777" w:rsidTr="00A873D8">
        <w:trPr>
          <w:trHeight w:val="283"/>
        </w:trPr>
        <w:tc>
          <w:tcPr>
            <w:tcW w:w="5118" w:type="dxa"/>
            <w:tcBorders>
              <w:bottom w:val="single" w:sz="4" w:space="0" w:color="000000"/>
            </w:tcBorders>
          </w:tcPr>
          <w:p w14:paraId="1898495F"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25438C8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bottom w:val="single" w:sz="4" w:space="0" w:color="000000"/>
            </w:tcBorders>
            <w:vAlign w:val="bottom"/>
          </w:tcPr>
          <w:p w14:paraId="2B7276FA"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cs="Calibri"/>
                <w:color w:val="000000"/>
                <w:sz w:val="21"/>
                <w:szCs w:val="21"/>
              </w:rPr>
              <w:t xml:space="preserve">265 (36.8) </w:t>
            </w:r>
          </w:p>
        </w:tc>
      </w:tr>
      <w:tr w:rsidR="00F02322" w:rsidRPr="004E6085" w14:paraId="795BB573" w14:textId="77777777" w:rsidTr="00A873D8">
        <w:trPr>
          <w:trHeight w:val="283"/>
        </w:trPr>
        <w:tc>
          <w:tcPr>
            <w:tcW w:w="5118" w:type="dxa"/>
            <w:tcBorders>
              <w:bottom w:val="nil"/>
            </w:tcBorders>
          </w:tcPr>
          <w:p w14:paraId="18058C37"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Perineural invasion</w:t>
            </w:r>
            <w:r w:rsidRPr="004E6085">
              <w:rPr>
                <w:rFonts w:ascii="Palatino Linotype" w:hAnsi="Palatino Linotype"/>
                <w:b/>
                <w:sz w:val="21"/>
                <w:szCs w:val="21"/>
                <w:vertAlign w:val="superscript"/>
              </w:rPr>
              <w:t>†</w:t>
            </w:r>
            <w:r w:rsidRPr="004E6085">
              <w:rPr>
                <w:rFonts w:ascii="Palatino Linotype" w:hAnsi="Palatino Linotype"/>
                <w:b/>
                <w:sz w:val="21"/>
                <w:szCs w:val="21"/>
              </w:rPr>
              <w:t>, n (%)</w:t>
            </w:r>
          </w:p>
        </w:tc>
        <w:tc>
          <w:tcPr>
            <w:tcW w:w="3262" w:type="dxa"/>
            <w:tcBorders>
              <w:bottom w:val="nil"/>
            </w:tcBorders>
          </w:tcPr>
          <w:p w14:paraId="27E0C61D"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Borders>
              <w:bottom w:val="nil"/>
            </w:tcBorders>
          </w:tcPr>
          <w:p w14:paraId="751D1FD9"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204 (28.3) </w:t>
            </w:r>
          </w:p>
        </w:tc>
      </w:tr>
      <w:tr w:rsidR="00F02322" w:rsidRPr="004E6085" w14:paraId="052053A2" w14:textId="77777777" w:rsidTr="00A873D8">
        <w:trPr>
          <w:trHeight w:val="283"/>
        </w:trPr>
        <w:tc>
          <w:tcPr>
            <w:tcW w:w="5118" w:type="dxa"/>
            <w:tcBorders>
              <w:top w:val="nil"/>
              <w:left w:val="nil"/>
              <w:bottom w:val="nil"/>
              <w:right w:val="nil"/>
            </w:tcBorders>
          </w:tcPr>
          <w:p w14:paraId="4E4CF317"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left w:val="nil"/>
              <w:bottom w:val="nil"/>
              <w:right w:val="nil"/>
            </w:tcBorders>
          </w:tcPr>
          <w:p w14:paraId="79168C00"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nil"/>
              <w:left w:val="nil"/>
              <w:bottom w:val="nil"/>
              <w:right w:val="nil"/>
            </w:tcBorders>
          </w:tcPr>
          <w:p w14:paraId="7105C340"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116 (16.1) </w:t>
            </w:r>
          </w:p>
        </w:tc>
      </w:tr>
      <w:tr w:rsidR="00F02322" w:rsidRPr="004E6085" w14:paraId="031E4982" w14:textId="77777777" w:rsidTr="00A873D8">
        <w:trPr>
          <w:trHeight w:val="283"/>
        </w:trPr>
        <w:tc>
          <w:tcPr>
            <w:tcW w:w="5118" w:type="dxa"/>
            <w:tcBorders>
              <w:top w:val="nil"/>
              <w:bottom w:val="single" w:sz="4" w:space="0" w:color="000000"/>
            </w:tcBorders>
          </w:tcPr>
          <w:p w14:paraId="44351830" w14:textId="77777777" w:rsidR="00F02322" w:rsidRPr="004E6085" w:rsidRDefault="00F02322" w:rsidP="00A873D8">
            <w:pPr>
              <w:spacing w:line="360" w:lineRule="auto"/>
              <w:rPr>
                <w:rFonts w:ascii="Palatino Linotype" w:hAnsi="Palatino Linotype"/>
                <w:b/>
                <w:sz w:val="21"/>
                <w:szCs w:val="21"/>
              </w:rPr>
            </w:pPr>
          </w:p>
        </w:tc>
        <w:tc>
          <w:tcPr>
            <w:tcW w:w="3262" w:type="dxa"/>
            <w:tcBorders>
              <w:top w:val="nil"/>
              <w:bottom w:val="single" w:sz="4" w:space="0" w:color="000000"/>
            </w:tcBorders>
          </w:tcPr>
          <w:p w14:paraId="43EDB4F7"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No data</w:t>
            </w:r>
          </w:p>
        </w:tc>
        <w:tc>
          <w:tcPr>
            <w:tcW w:w="1729" w:type="dxa"/>
            <w:tcBorders>
              <w:top w:val="nil"/>
              <w:bottom w:val="single" w:sz="4" w:space="0" w:color="000000"/>
            </w:tcBorders>
          </w:tcPr>
          <w:p w14:paraId="1144452B" w14:textId="77777777" w:rsidR="00F02322" w:rsidRPr="004E6085" w:rsidRDefault="00F02322" w:rsidP="00A873D8">
            <w:pPr>
              <w:spacing w:line="360" w:lineRule="auto"/>
              <w:rPr>
                <w:rFonts w:ascii="Palatino Linotype" w:hAnsi="Palatino Linotype" w:cs="Calibri"/>
                <w:color w:val="000000"/>
                <w:sz w:val="21"/>
                <w:szCs w:val="21"/>
              </w:rPr>
            </w:pPr>
            <w:r w:rsidRPr="004E6085">
              <w:rPr>
                <w:rFonts w:ascii="Palatino Linotype" w:hAnsi="Palatino Linotype"/>
                <w:sz w:val="21"/>
                <w:szCs w:val="21"/>
              </w:rPr>
              <w:t xml:space="preserve">400 (55.6) </w:t>
            </w:r>
          </w:p>
        </w:tc>
      </w:tr>
      <w:tr w:rsidR="00F02322" w:rsidRPr="004E6085" w14:paraId="338EE4FA" w14:textId="77777777" w:rsidTr="00A873D8">
        <w:trPr>
          <w:trHeight w:val="283"/>
        </w:trPr>
        <w:tc>
          <w:tcPr>
            <w:tcW w:w="5118" w:type="dxa"/>
            <w:tcBorders>
              <w:top w:val="single" w:sz="8" w:space="0" w:color="000000"/>
            </w:tcBorders>
          </w:tcPr>
          <w:p w14:paraId="3BF6AD42" w14:textId="77777777" w:rsidR="00F02322" w:rsidRPr="004E6085" w:rsidRDefault="00F02322" w:rsidP="00A873D8">
            <w:pPr>
              <w:spacing w:line="360" w:lineRule="auto"/>
              <w:rPr>
                <w:rFonts w:ascii="Palatino Linotype" w:hAnsi="Palatino Linotype"/>
                <w:b/>
                <w:sz w:val="21"/>
                <w:szCs w:val="21"/>
                <w:lang w:val="en-US"/>
              </w:rPr>
            </w:pPr>
            <w:r w:rsidRPr="004E6085">
              <w:rPr>
                <w:rFonts w:ascii="Palatino Linotype" w:hAnsi="Palatino Linotype"/>
                <w:b/>
                <w:sz w:val="21"/>
                <w:szCs w:val="21"/>
                <w:lang w:val="en-US"/>
              </w:rPr>
              <w:t>Sentinel lymph node report, n (%)</w:t>
            </w:r>
          </w:p>
        </w:tc>
        <w:tc>
          <w:tcPr>
            <w:tcW w:w="3262" w:type="dxa"/>
            <w:tcBorders>
              <w:top w:val="single" w:sz="8" w:space="0" w:color="000000"/>
            </w:tcBorders>
          </w:tcPr>
          <w:p w14:paraId="01619D3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single" w:sz="8" w:space="0" w:color="000000"/>
            </w:tcBorders>
          </w:tcPr>
          <w:p w14:paraId="18D80D9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46</w:t>
            </w:r>
            <w:r>
              <w:rPr>
                <w:rFonts w:ascii="Palatino Linotype" w:hAnsi="Palatino Linotype"/>
                <w:sz w:val="21"/>
                <w:szCs w:val="21"/>
              </w:rPr>
              <w:t>9</w:t>
            </w:r>
            <w:r w:rsidRPr="004E6085">
              <w:rPr>
                <w:rFonts w:ascii="Palatino Linotype" w:hAnsi="Palatino Linotype"/>
                <w:sz w:val="21"/>
                <w:szCs w:val="21"/>
              </w:rPr>
              <w:t xml:space="preserve"> (56.</w:t>
            </w:r>
            <w:r>
              <w:rPr>
                <w:rFonts w:ascii="Palatino Linotype" w:hAnsi="Palatino Linotype"/>
                <w:sz w:val="21"/>
                <w:szCs w:val="21"/>
              </w:rPr>
              <w:t>3</w:t>
            </w:r>
            <w:r w:rsidRPr="004E6085">
              <w:rPr>
                <w:rFonts w:ascii="Palatino Linotype" w:hAnsi="Palatino Linotype"/>
                <w:sz w:val="21"/>
                <w:szCs w:val="21"/>
              </w:rPr>
              <w:t>)</w:t>
            </w:r>
          </w:p>
        </w:tc>
      </w:tr>
      <w:tr w:rsidR="00F02322" w:rsidRPr="004E6085" w14:paraId="6A41B32F" w14:textId="77777777" w:rsidTr="00A873D8">
        <w:trPr>
          <w:trHeight w:val="283"/>
        </w:trPr>
        <w:tc>
          <w:tcPr>
            <w:tcW w:w="5118" w:type="dxa"/>
          </w:tcPr>
          <w:p w14:paraId="0BF31EDB"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8F37318"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Pr>
          <w:p w14:paraId="7E930C0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36</w:t>
            </w:r>
            <w:r>
              <w:rPr>
                <w:rFonts w:ascii="Palatino Linotype" w:hAnsi="Palatino Linotype"/>
                <w:sz w:val="21"/>
                <w:szCs w:val="21"/>
              </w:rPr>
              <w:t>4</w:t>
            </w:r>
            <w:r w:rsidRPr="004E6085">
              <w:rPr>
                <w:rFonts w:ascii="Palatino Linotype" w:hAnsi="Palatino Linotype"/>
                <w:sz w:val="21"/>
                <w:szCs w:val="21"/>
              </w:rPr>
              <w:t xml:space="preserve"> (43.</w:t>
            </w:r>
            <w:r>
              <w:rPr>
                <w:rFonts w:ascii="Palatino Linotype" w:hAnsi="Palatino Linotype"/>
                <w:sz w:val="21"/>
                <w:szCs w:val="21"/>
              </w:rPr>
              <w:t>7</w:t>
            </w:r>
            <w:r w:rsidRPr="004E6085">
              <w:rPr>
                <w:rFonts w:ascii="Palatino Linotype" w:hAnsi="Palatino Linotype"/>
                <w:sz w:val="21"/>
                <w:szCs w:val="21"/>
              </w:rPr>
              <w:t>)</w:t>
            </w:r>
          </w:p>
        </w:tc>
      </w:tr>
      <w:tr w:rsidR="00F02322" w:rsidRPr="004E6085" w14:paraId="07CD54A2" w14:textId="77777777" w:rsidTr="00A873D8">
        <w:trPr>
          <w:trHeight w:val="283"/>
        </w:trPr>
        <w:tc>
          <w:tcPr>
            <w:tcW w:w="5118" w:type="dxa"/>
          </w:tcPr>
          <w:p w14:paraId="75840888" w14:textId="77777777" w:rsidR="00F02322" w:rsidRPr="004E6085" w:rsidRDefault="00F02322" w:rsidP="00A873D8">
            <w:pPr>
              <w:spacing w:line="360" w:lineRule="auto"/>
              <w:rPr>
                <w:rFonts w:ascii="Palatino Linotype" w:hAnsi="Palatino Linotype"/>
                <w:i/>
                <w:sz w:val="21"/>
                <w:szCs w:val="21"/>
                <w:lang w:val="en-US"/>
              </w:rPr>
            </w:pPr>
            <w:r w:rsidRPr="004E6085">
              <w:rPr>
                <w:rFonts w:ascii="Palatino Linotype" w:hAnsi="Palatino Linotype"/>
                <w:i/>
                <w:sz w:val="21"/>
                <w:szCs w:val="21"/>
                <w:lang w:val="en-US"/>
              </w:rPr>
              <w:t xml:space="preserve">  Number of positive lymph node</w:t>
            </w:r>
            <w:r>
              <w:rPr>
                <w:rFonts w:ascii="Palatino Linotype" w:hAnsi="Palatino Linotype"/>
                <w:i/>
                <w:sz w:val="21"/>
                <w:szCs w:val="21"/>
                <w:lang w:val="en-US"/>
              </w:rPr>
              <w:t>s</w:t>
            </w:r>
            <w:r w:rsidRPr="004E6085">
              <w:rPr>
                <w:rFonts w:ascii="Palatino Linotype" w:hAnsi="Palatino Linotype"/>
                <w:i/>
                <w:sz w:val="21"/>
                <w:szCs w:val="21"/>
                <w:vertAlign w:val="superscript"/>
                <w:lang w:val="en-US"/>
              </w:rPr>
              <w:t>‡</w:t>
            </w:r>
          </w:p>
        </w:tc>
        <w:tc>
          <w:tcPr>
            <w:tcW w:w="3262" w:type="dxa"/>
          </w:tcPr>
          <w:p w14:paraId="6548504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1-3</w:t>
            </w:r>
          </w:p>
        </w:tc>
        <w:tc>
          <w:tcPr>
            <w:tcW w:w="1729" w:type="dxa"/>
          </w:tcPr>
          <w:p w14:paraId="223C8BD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22</w:t>
            </w:r>
            <w:r>
              <w:rPr>
                <w:rFonts w:ascii="Palatino Linotype" w:hAnsi="Palatino Linotype"/>
                <w:i/>
                <w:sz w:val="21"/>
                <w:szCs w:val="21"/>
              </w:rPr>
              <w:t>4</w:t>
            </w:r>
            <w:r w:rsidRPr="004E6085">
              <w:rPr>
                <w:rFonts w:ascii="Palatino Linotype" w:hAnsi="Palatino Linotype"/>
                <w:i/>
                <w:sz w:val="21"/>
                <w:szCs w:val="21"/>
              </w:rPr>
              <w:t xml:space="preserve"> (61.</w:t>
            </w:r>
            <w:r>
              <w:rPr>
                <w:rFonts w:ascii="Palatino Linotype" w:hAnsi="Palatino Linotype"/>
                <w:i/>
                <w:sz w:val="21"/>
                <w:szCs w:val="21"/>
              </w:rPr>
              <w:t>5</w:t>
            </w:r>
            <w:r w:rsidRPr="004E6085">
              <w:rPr>
                <w:rFonts w:ascii="Palatino Linotype" w:hAnsi="Palatino Linotype"/>
                <w:i/>
                <w:sz w:val="21"/>
                <w:szCs w:val="21"/>
              </w:rPr>
              <w:t>)</w:t>
            </w:r>
          </w:p>
        </w:tc>
      </w:tr>
      <w:tr w:rsidR="00F02322" w:rsidRPr="004E6085" w14:paraId="23F3C63B" w14:textId="77777777" w:rsidTr="00A873D8">
        <w:trPr>
          <w:trHeight w:val="283"/>
        </w:trPr>
        <w:tc>
          <w:tcPr>
            <w:tcW w:w="5118" w:type="dxa"/>
            <w:tcBorders>
              <w:bottom w:val="single" w:sz="4" w:space="0" w:color="000000"/>
            </w:tcBorders>
          </w:tcPr>
          <w:p w14:paraId="6B346DB1"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55610AE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eastAsia="Arial Unicode MS" w:hAnsi="Palatino Linotype" w:cs="Arial Unicode MS"/>
                <w:i/>
                <w:sz w:val="21"/>
                <w:szCs w:val="21"/>
              </w:rPr>
              <w:t xml:space="preserve">  &gt; 3</w:t>
            </w:r>
          </w:p>
        </w:tc>
        <w:tc>
          <w:tcPr>
            <w:tcW w:w="1729" w:type="dxa"/>
            <w:tcBorders>
              <w:bottom w:val="single" w:sz="4" w:space="0" w:color="000000"/>
            </w:tcBorders>
          </w:tcPr>
          <w:p w14:paraId="06EBED1B"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 xml:space="preserve">  140 (38.</w:t>
            </w:r>
            <w:r>
              <w:rPr>
                <w:rFonts w:ascii="Palatino Linotype" w:hAnsi="Palatino Linotype"/>
                <w:i/>
                <w:sz w:val="21"/>
                <w:szCs w:val="21"/>
              </w:rPr>
              <w:t>5</w:t>
            </w:r>
            <w:r w:rsidRPr="004E6085">
              <w:rPr>
                <w:rFonts w:ascii="Palatino Linotype" w:hAnsi="Palatino Linotype"/>
                <w:i/>
                <w:sz w:val="21"/>
                <w:szCs w:val="21"/>
              </w:rPr>
              <w:t>)</w:t>
            </w:r>
          </w:p>
        </w:tc>
      </w:tr>
      <w:tr w:rsidR="00F02322" w:rsidRPr="004E6085" w14:paraId="5EA2815E" w14:textId="77777777" w:rsidTr="00A873D8">
        <w:trPr>
          <w:trHeight w:val="283"/>
        </w:trPr>
        <w:tc>
          <w:tcPr>
            <w:tcW w:w="5118" w:type="dxa"/>
            <w:tcBorders>
              <w:top w:val="single" w:sz="4" w:space="0" w:color="000000"/>
            </w:tcBorders>
          </w:tcPr>
          <w:p w14:paraId="5A08795C" w14:textId="77777777" w:rsidR="00F02322" w:rsidRPr="004E6085" w:rsidRDefault="00F02322" w:rsidP="00A873D8">
            <w:pPr>
              <w:spacing w:line="360" w:lineRule="auto"/>
              <w:rPr>
                <w:rFonts w:ascii="Palatino Linotype" w:hAnsi="Palatino Linotype"/>
                <w:b/>
                <w:sz w:val="21"/>
                <w:szCs w:val="21"/>
                <w:lang w:val="en-US"/>
              </w:rPr>
            </w:pPr>
            <w:r w:rsidRPr="004E6085">
              <w:rPr>
                <w:rFonts w:ascii="Palatino Linotype" w:hAnsi="Palatino Linotype"/>
                <w:b/>
                <w:sz w:val="21"/>
                <w:szCs w:val="21"/>
                <w:lang w:val="en-US"/>
              </w:rPr>
              <w:t xml:space="preserve"> Number of lymph nodes in ALND</w:t>
            </w:r>
            <w:r w:rsidRPr="004E6085">
              <w:rPr>
                <w:rFonts w:ascii="Palatino Linotype" w:hAnsi="Palatino Linotype"/>
                <w:b/>
                <w:sz w:val="21"/>
                <w:szCs w:val="21"/>
                <w:vertAlign w:val="superscript"/>
                <w:lang w:val="en-US"/>
              </w:rPr>
              <w:t>§</w:t>
            </w:r>
            <w:r w:rsidRPr="004E6085">
              <w:rPr>
                <w:rFonts w:ascii="Palatino Linotype" w:hAnsi="Palatino Linotype"/>
                <w:b/>
                <w:sz w:val="21"/>
                <w:szCs w:val="21"/>
                <w:lang w:val="en-US"/>
              </w:rPr>
              <w:t xml:space="preserve"> </w:t>
            </w:r>
          </w:p>
        </w:tc>
        <w:tc>
          <w:tcPr>
            <w:tcW w:w="3262" w:type="dxa"/>
            <w:tcBorders>
              <w:top w:val="single" w:sz="4" w:space="0" w:color="000000"/>
            </w:tcBorders>
          </w:tcPr>
          <w:p w14:paraId="1224938B" w14:textId="77777777" w:rsidR="00F02322" w:rsidRPr="004E6085" w:rsidRDefault="00F02322" w:rsidP="00A873D8">
            <w:pPr>
              <w:spacing w:line="360" w:lineRule="auto"/>
              <w:rPr>
                <w:rFonts w:ascii="Palatino Linotype" w:hAnsi="Palatino Linotype"/>
                <w:i/>
                <w:sz w:val="21"/>
                <w:szCs w:val="21"/>
                <w:lang w:val="en-US"/>
              </w:rPr>
            </w:pPr>
          </w:p>
        </w:tc>
        <w:tc>
          <w:tcPr>
            <w:tcW w:w="1729" w:type="dxa"/>
            <w:tcBorders>
              <w:top w:val="single" w:sz="4" w:space="0" w:color="000000"/>
            </w:tcBorders>
          </w:tcPr>
          <w:p w14:paraId="203CFC29" w14:textId="77777777" w:rsidR="00F02322" w:rsidRPr="004E6085" w:rsidRDefault="00F02322" w:rsidP="00A873D8">
            <w:pPr>
              <w:spacing w:line="360" w:lineRule="auto"/>
              <w:rPr>
                <w:rFonts w:ascii="Palatino Linotype" w:hAnsi="Palatino Linotype"/>
                <w:i/>
                <w:sz w:val="21"/>
                <w:szCs w:val="21"/>
                <w:lang w:val="en-US"/>
              </w:rPr>
            </w:pPr>
          </w:p>
        </w:tc>
      </w:tr>
      <w:tr w:rsidR="00F02322" w:rsidRPr="004E6085" w14:paraId="61D00D22" w14:textId="77777777" w:rsidTr="00A873D8">
        <w:trPr>
          <w:trHeight w:val="283"/>
        </w:trPr>
        <w:tc>
          <w:tcPr>
            <w:tcW w:w="5118" w:type="dxa"/>
          </w:tcPr>
          <w:p w14:paraId="1B49D023"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lang w:val="en-US"/>
              </w:rPr>
              <w:t xml:space="preserve">        </w:t>
            </w:r>
          </w:p>
        </w:tc>
        <w:tc>
          <w:tcPr>
            <w:tcW w:w="3262" w:type="dxa"/>
          </w:tcPr>
          <w:p w14:paraId="79C2922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0</w:t>
            </w:r>
          </w:p>
        </w:tc>
        <w:tc>
          <w:tcPr>
            <w:tcW w:w="1729" w:type="dxa"/>
          </w:tcPr>
          <w:p w14:paraId="386DA7ED"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31 (50.8)</w:t>
            </w:r>
          </w:p>
        </w:tc>
      </w:tr>
      <w:tr w:rsidR="00F02322" w:rsidRPr="004E6085" w14:paraId="37F3474D" w14:textId="77777777" w:rsidTr="00A873D8">
        <w:trPr>
          <w:trHeight w:val="283"/>
        </w:trPr>
        <w:tc>
          <w:tcPr>
            <w:tcW w:w="5118" w:type="dxa"/>
          </w:tcPr>
          <w:p w14:paraId="0594A99F" w14:textId="77777777" w:rsidR="00F02322" w:rsidRPr="004E6085" w:rsidRDefault="00F02322" w:rsidP="00A873D8">
            <w:pPr>
              <w:spacing w:line="360" w:lineRule="auto"/>
              <w:rPr>
                <w:rFonts w:ascii="Palatino Linotype" w:hAnsi="Palatino Linotype"/>
                <w:i/>
                <w:sz w:val="21"/>
                <w:szCs w:val="21"/>
              </w:rPr>
            </w:pPr>
          </w:p>
        </w:tc>
        <w:tc>
          <w:tcPr>
            <w:tcW w:w="3262" w:type="dxa"/>
          </w:tcPr>
          <w:p w14:paraId="333BEB31"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i/>
                <w:sz w:val="21"/>
                <w:szCs w:val="21"/>
              </w:rPr>
              <w:t>[1-3]</w:t>
            </w:r>
          </w:p>
        </w:tc>
        <w:tc>
          <w:tcPr>
            <w:tcW w:w="1729" w:type="dxa"/>
          </w:tcPr>
          <w:p w14:paraId="1CBA73A5"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18 (29.5)</w:t>
            </w:r>
          </w:p>
        </w:tc>
      </w:tr>
      <w:tr w:rsidR="00F02322" w:rsidRPr="004E6085" w14:paraId="792D2809" w14:textId="77777777" w:rsidTr="00A873D8">
        <w:trPr>
          <w:trHeight w:val="283"/>
        </w:trPr>
        <w:tc>
          <w:tcPr>
            <w:tcW w:w="5118" w:type="dxa"/>
          </w:tcPr>
          <w:p w14:paraId="0B031DF5" w14:textId="77777777" w:rsidR="00F02322" w:rsidRPr="004E6085" w:rsidRDefault="00F02322" w:rsidP="00A873D8">
            <w:pPr>
              <w:spacing w:line="360" w:lineRule="auto"/>
              <w:rPr>
                <w:rFonts w:ascii="Palatino Linotype" w:hAnsi="Palatino Linotype"/>
                <w:b/>
                <w:sz w:val="21"/>
                <w:szCs w:val="21"/>
              </w:rPr>
            </w:pPr>
          </w:p>
        </w:tc>
        <w:tc>
          <w:tcPr>
            <w:tcW w:w="3262" w:type="dxa"/>
          </w:tcPr>
          <w:p w14:paraId="11A0F056"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eastAsia="Arial Unicode MS" w:hAnsi="Palatino Linotype" w:cs="Arial Unicode MS"/>
                <w:i/>
                <w:sz w:val="21"/>
                <w:szCs w:val="21"/>
              </w:rPr>
              <w:t>≥ 4</w:t>
            </w:r>
          </w:p>
        </w:tc>
        <w:tc>
          <w:tcPr>
            <w:tcW w:w="1729" w:type="dxa"/>
          </w:tcPr>
          <w:p w14:paraId="6630CCC9" w14:textId="77777777" w:rsidR="00F02322" w:rsidRPr="004E6085" w:rsidRDefault="00F02322" w:rsidP="00A873D8">
            <w:pPr>
              <w:spacing w:line="360" w:lineRule="auto"/>
              <w:rPr>
                <w:rFonts w:ascii="Palatino Linotype" w:hAnsi="Palatino Linotype"/>
                <w:i/>
                <w:sz w:val="21"/>
                <w:szCs w:val="21"/>
              </w:rPr>
            </w:pPr>
            <w:r>
              <w:rPr>
                <w:rFonts w:ascii="Palatino Linotype" w:hAnsi="Palatino Linotype"/>
                <w:i/>
                <w:sz w:val="21"/>
                <w:szCs w:val="21"/>
              </w:rPr>
              <w:t>12 (19.7)</w:t>
            </w:r>
          </w:p>
        </w:tc>
      </w:tr>
      <w:tr w:rsidR="00F02322" w:rsidRPr="004E6085" w14:paraId="7BDE38C4" w14:textId="77777777" w:rsidTr="00A873D8">
        <w:trPr>
          <w:trHeight w:val="283"/>
        </w:trPr>
        <w:tc>
          <w:tcPr>
            <w:tcW w:w="5118" w:type="dxa"/>
            <w:tcBorders>
              <w:top w:val="single" w:sz="8" w:space="0" w:color="000000"/>
            </w:tcBorders>
          </w:tcPr>
          <w:p w14:paraId="5465EC7C"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Margin</w:t>
            </w:r>
            <w:r>
              <w:rPr>
                <w:rFonts w:ascii="Palatino Linotype" w:hAnsi="Palatino Linotype"/>
                <w:b/>
                <w:sz w:val="21"/>
                <w:szCs w:val="21"/>
              </w:rPr>
              <w:t>s</w:t>
            </w:r>
            <w:r w:rsidRPr="004E6085">
              <w:rPr>
                <w:rFonts w:ascii="Palatino Linotype" w:hAnsi="Palatino Linotype"/>
                <w:b/>
                <w:sz w:val="21"/>
                <w:szCs w:val="21"/>
              </w:rPr>
              <w:t>, n (%)</w:t>
            </w:r>
          </w:p>
        </w:tc>
        <w:tc>
          <w:tcPr>
            <w:tcW w:w="3262" w:type="dxa"/>
            <w:tcBorders>
              <w:top w:val="single" w:sz="8" w:space="0" w:color="000000"/>
            </w:tcBorders>
          </w:tcPr>
          <w:p w14:paraId="652E3D9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Negative</w:t>
            </w:r>
          </w:p>
        </w:tc>
        <w:tc>
          <w:tcPr>
            <w:tcW w:w="1729" w:type="dxa"/>
            <w:tcBorders>
              <w:top w:val="single" w:sz="8" w:space="0" w:color="000000"/>
            </w:tcBorders>
          </w:tcPr>
          <w:p w14:paraId="39FEB7CE"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778 (93.4) </w:t>
            </w:r>
          </w:p>
        </w:tc>
      </w:tr>
      <w:tr w:rsidR="00F02322" w:rsidRPr="004E6085" w14:paraId="6E604F06" w14:textId="77777777" w:rsidTr="00A873D8">
        <w:trPr>
          <w:trHeight w:val="283"/>
        </w:trPr>
        <w:tc>
          <w:tcPr>
            <w:tcW w:w="5118" w:type="dxa"/>
          </w:tcPr>
          <w:p w14:paraId="1734BCBA" w14:textId="77777777" w:rsidR="00F02322" w:rsidRPr="004E6085" w:rsidRDefault="00F02322" w:rsidP="00A873D8">
            <w:pPr>
              <w:spacing w:line="360" w:lineRule="auto"/>
              <w:rPr>
                <w:rFonts w:ascii="Palatino Linotype" w:hAnsi="Palatino Linotype"/>
                <w:b/>
                <w:sz w:val="21"/>
                <w:szCs w:val="21"/>
              </w:rPr>
            </w:pPr>
          </w:p>
        </w:tc>
        <w:tc>
          <w:tcPr>
            <w:tcW w:w="3262" w:type="dxa"/>
          </w:tcPr>
          <w:p w14:paraId="5D38F945"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Positive</w:t>
            </w:r>
          </w:p>
        </w:tc>
        <w:tc>
          <w:tcPr>
            <w:tcW w:w="1729" w:type="dxa"/>
          </w:tcPr>
          <w:p w14:paraId="6DBFB3C4"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50 (6.00)</w:t>
            </w:r>
          </w:p>
        </w:tc>
      </w:tr>
      <w:tr w:rsidR="00F02322" w:rsidRPr="004E6085" w14:paraId="24CAE072" w14:textId="77777777" w:rsidTr="00A873D8">
        <w:trPr>
          <w:trHeight w:val="283"/>
        </w:trPr>
        <w:tc>
          <w:tcPr>
            <w:tcW w:w="5118" w:type="dxa"/>
          </w:tcPr>
          <w:p w14:paraId="7FC49DE0" w14:textId="77777777" w:rsidR="00F02322" w:rsidRPr="004E6085" w:rsidRDefault="00F02322" w:rsidP="00A873D8">
            <w:pPr>
              <w:spacing w:line="360" w:lineRule="auto"/>
              <w:rPr>
                <w:rFonts w:ascii="Palatino Linotype" w:hAnsi="Palatino Linotype"/>
                <w:i/>
                <w:sz w:val="21"/>
                <w:szCs w:val="21"/>
              </w:rPr>
            </w:pPr>
          </w:p>
        </w:tc>
        <w:tc>
          <w:tcPr>
            <w:tcW w:w="3262" w:type="dxa"/>
          </w:tcPr>
          <w:p w14:paraId="34E98E97" w14:textId="77777777" w:rsidR="00F02322" w:rsidRPr="004E6085" w:rsidRDefault="00F02322" w:rsidP="00A873D8">
            <w:pPr>
              <w:spacing w:line="360" w:lineRule="auto"/>
              <w:rPr>
                <w:rFonts w:ascii="Palatino Linotype" w:hAnsi="Palatino Linotype"/>
                <w:iCs/>
                <w:sz w:val="21"/>
                <w:szCs w:val="21"/>
              </w:rPr>
            </w:pPr>
            <w:r w:rsidRPr="004E6085">
              <w:rPr>
                <w:rFonts w:ascii="Palatino Linotype" w:hAnsi="Palatino Linotype"/>
                <w:iCs/>
                <w:sz w:val="21"/>
                <w:szCs w:val="21"/>
              </w:rPr>
              <w:t>No data</w:t>
            </w:r>
          </w:p>
        </w:tc>
        <w:tc>
          <w:tcPr>
            <w:tcW w:w="1729" w:type="dxa"/>
          </w:tcPr>
          <w:p w14:paraId="7F100633" w14:textId="77777777" w:rsidR="00F02322" w:rsidRPr="004E6085" w:rsidRDefault="00F02322" w:rsidP="00A873D8">
            <w:pPr>
              <w:spacing w:line="360" w:lineRule="auto"/>
              <w:rPr>
                <w:rFonts w:ascii="Palatino Linotype" w:hAnsi="Palatino Linotype"/>
                <w:i/>
                <w:sz w:val="21"/>
                <w:szCs w:val="21"/>
              </w:rPr>
            </w:pPr>
            <w:r w:rsidRPr="004E6085">
              <w:rPr>
                <w:rFonts w:ascii="Palatino Linotype" w:hAnsi="Palatino Linotype"/>
                <w:sz w:val="21"/>
                <w:szCs w:val="21"/>
              </w:rPr>
              <w:t xml:space="preserve">5 (0.60) </w:t>
            </w:r>
          </w:p>
        </w:tc>
      </w:tr>
      <w:tr w:rsidR="00F02322" w:rsidRPr="004E6085" w14:paraId="3E8D8AE4" w14:textId="77777777" w:rsidTr="00A873D8">
        <w:trPr>
          <w:trHeight w:val="283"/>
        </w:trPr>
        <w:tc>
          <w:tcPr>
            <w:tcW w:w="5118" w:type="dxa"/>
            <w:tcBorders>
              <w:top w:val="single" w:sz="8" w:space="0" w:color="000000"/>
            </w:tcBorders>
          </w:tcPr>
          <w:p w14:paraId="161129F1" w14:textId="77777777" w:rsidR="00F02322" w:rsidRPr="004E6085" w:rsidRDefault="00F02322" w:rsidP="00A873D8">
            <w:pPr>
              <w:spacing w:line="360" w:lineRule="auto"/>
              <w:rPr>
                <w:rFonts w:ascii="Palatino Linotype" w:hAnsi="Palatino Linotype"/>
                <w:b/>
                <w:sz w:val="21"/>
                <w:szCs w:val="21"/>
              </w:rPr>
            </w:pPr>
            <w:r w:rsidRPr="004E6085">
              <w:rPr>
                <w:rFonts w:ascii="Palatino Linotype" w:hAnsi="Palatino Linotype"/>
                <w:b/>
                <w:sz w:val="21"/>
                <w:szCs w:val="21"/>
              </w:rPr>
              <w:t>Residual Cancer Burden (RCB)</w:t>
            </w:r>
            <w:r w:rsidRPr="004E6085">
              <w:rPr>
                <w:rFonts w:ascii="Palatino Linotype" w:hAnsi="Palatino Linotype"/>
                <w:b/>
                <w:sz w:val="21"/>
                <w:szCs w:val="21"/>
                <w:vertAlign w:val="superscript"/>
              </w:rPr>
              <w:t>††</w:t>
            </w:r>
          </w:p>
        </w:tc>
        <w:tc>
          <w:tcPr>
            <w:tcW w:w="3262" w:type="dxa"/>
            <w:tcBorders>
              <w:top w:val="single" w:sz="8" w:space="0" w:color="000000"/>
            </w:tcBorders>
          </w:tcPr>
          <w:p w14:paraId="2B82C2B1" w14:textId="14479671" w:rsidR="00F02322" w:rsidRPr="004E6085" w:rsidRDefault="00F02322" w:rsidP="00A873D8">
            <w:pPr>
              <w:spacing w:line="360" w:lineRule="auto"/>
              <w:rPr>
                <w:rFonts w:ascii="Palatino Linotype" w:hAnsi="Palatino Linotype"/>
                <w:i/>
                <w:sz w:val="21"/>
                <w:szCs w:val="21"/>
              </w:rPr>
            </w:pPr>
          </w:p>
        </w:tc>
        <w:tc>
          <w:tcPr>
            <w:tcW w:w="1729" w:type="dxa"/>
            <w:tcBorders>
              <w:top w:val="single" w:sz="8" w:space="0" w:color="000000"/>
            </w:tcBorders>
          </w:tcPr>
          <w:p w14:paraId="5273C65C" w14:textId="77777777" w:rsidR="00F02322" w:rsidRPr="004E6085" w:rsidRDefault="00F02322" w:rsidP="00A873D8">
            <w:pPr>
              <w:spacing w:line="360" w:lineRule="auto"/>
              <w:rPr>
                <w:rFonts w:ascii="Palatino Linotype" w:hAnsi="Palatino Linotype"/>
                <w:sz w:val="21"/>
                <w:szCs w:val="21"/>
              </w:rPr>
            </w:pPr>
          </w:p>
        </w:tc>
      </w:tr>
      <w:tr w:rsidR="00F02322" w:rsidRPr="004E6085" w14:paraId="05D25909" w14:textId="77777777" w:rsidTr="00A873D8">
        <w:trPr>
          <w:trHeight w:val="283"/>
        </w:trPr>
        <w:tc>
          <w:tcPr>
            <w:tcW w:w="5118" w:type="dxa"/>
          </w:tcPr>
          <w:p w14:paraId="5716340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b/>
                <w:sz w:val="21"/>
                <w:szCs w:val="21"/>
              </w:rPr>
              <w:t xml:space="preserve">   </w:t>
            </w:r>
            <w:r w:rsidRPr="004E6085">
              <w:rPr>
                <w:rFonts w:ascii="Palatino Linotype" w:hAnsi="Palatino Linotype"/>
                <w:sz w:val="21"/>
                <w:szCs w:val="21"/>
              </w:rPr>
              <w:t>Class</w:t>
            </w:r>
          </w:p>
        </w:tc>
        <w:tc>
          <w:tcPr>
            <w:tcW w:w="3262" w:type="dxa"/>
          </w:tcPr>
          <w:p w14:paraId="09D5E8C7" w14:textId="0F2D868E"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RCB-0 </w:t>
            </w:r>
          </w:p>
        </w:tc>
        <w:tc>
          <w:tcPr>
            <w:tcW w:w="1729" w:type="dxa"/>
          </w:tcPr>
          <w:p w14:paraId="6E4FC8A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95 (19.8)</w:t>
            </w:r>
          </w:p>
        </w:tc>
      </w:tr>
      <w:tr w:rsidR="00F02322" w:rsidRPr="004E6085" w14:paraId="3E165ABF" w14:textId="77777777" w:rsidTr="00A873D8">
        <w:trPr>
          <w:trHeight w:val="283"/>
        </w:trPr>
        <w:tc>
          <w:tcPr>
            <w:tcW w:w="5118" w:type="dxa"/>
          </w:tcPr>
          <w:p w14:paraId="71AE6CFB" w14:textId="77777777" w:rsidR="00F02322" w:rsidRPr="004E6085" w:rsidRDefault="00F02322" w:rsidP="00A873D8">
            <w:pPr>
              <w:spacing w:line="360" w:lineRule="auto"/>
              <w:rPr>
                <w:rFonts w:ascii="Palatino Linotype" w:hAnsi="Palatino Linotype"/>
                <w:b/>
                <w:sz w:val="21"/>
                <w:szCs w:val="21"/>
              </w:rPr>
            </w:pPr>
          </w:p>
        </w:tc>
        <w:tc>
          <w:tcPr>
            <w:tcW w:w="3262" w:type="dxa"/>
          </w:tcPr>
          <w:p w14:paraId="4B97DAA9" w14:textId="2F9E80B9"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RCB-1</w:t>
            </w:r>
          </w:p>
        </w:tc>
        <w:tc>
          <w:tcPr>
            <w:tcW w:w="1729" w:type="dxa"/>
          </w:tcPr>
          <w:p w14:paraId="1BAC5A71"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15 (3.14)</w:t>
            </w:r>
          </w:p>
        </w:tc>
      </w:tr>
      <w:tr w:rsidR="00F02322" w:rsidRPr="004E6085" w14:paraId="6F177589" w14:textId="77777777" w:rsidTr="00A873D8">
        <w:trPr>
          <w:trHeight w:val="283"/>
        </w:trPr>
        <w:tc>
          <w:tcPr>
            <w:tcW w:w="5118" w:type="dxa"/>
          </w:tcPr>
          <w:p w14:paraId="7AA425FA" w14:textId="77777777" w:rsidR="00F02322" w:rsidRPr="004E6085" w:rsidRDefault="00F02322" w:rsidP="00A873D8">
            <w:pPr>
              <w:spacing w:line="360" w:lineRule="auto"/>
              <w:rPr>
                <w:rFonts w:ascii="Palatino Linotype" w:hAnsi="Palatino Linotype"/>
                <w:b/>
                <w:sz w:val="21"/>
                <w:szCs w:val="21"/>
              </w:rPr>
            </w:pPr>
          </w:p>
        </w:tc>
        <w:tc>
          <w:tcPr>
            <w:tcW w:w="3262" w:type="dxa"/>
          </w:tcPr>
          <w:p w14:paraId="0651EACC" w14:textId="0958D413"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RCB-2</w:t>
            </w:r>
          </w:p>
        </w:tc>
        <w:tc>
          <w:tcPr>
            <w:tcW w:w="1729" w:type="dxa"/>
          </w:tcPr>
          <w:p w14:paraId="0FA95B12"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93 (19.4)</w:t>
            </w:r>
          </w:p>
        </w:tc>
      </w:tr>
      <w:tr w:rsidR="00F02322" w:rsidRPr="004E6085" w14:paraId="61BEA04E" w14:textId="77777777" w:rsidTr="00A873D8">
        <w:trPr>
          <w:trHeight w:val="283"/>
        </w:trPr>
        <w:tc>
          <w:tcPr>
            <w:tcW w:w="5118" w:type="dxa"/>
          </w:tcPr>
          <w:p w14:paraId="72050B38" w14:textId="77777777" w:rsidR="00F02322" w:rsidRPr="004E6085" w:rsidRDefault="00F02322" w:rsidP="00A873D8">
            <w:pPr>
              <w:spacing w:line="360" w:lineRule="auto"/>
              <w:rPr>
                <w:rFonts w:ascii="Palatino Linotype" w:hAnsi="Palatino Linotype"/>
                <w:b/>
                <w:sz w:val="21"/>
                <w:szCs w:val="21"/>
              </w:rPr>
            </w:pPr>
          </w:p>
        </w:tc>
        <w:tc>
          <w:tcPr>
            <w:tcW w:w="3262" w:type="dxa"/>
          </w:tcPr>
          <w:p w14:paraId="468C4653" w14:textId="7AC529CD"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RCB-3</w:t>
            </w:r>
          </w:p>
        </w:tc>
        <w:tc>
          <w:tcPr>
            <w:tcW w:w="1729" w:type="dxa"/>
          </w:tcPr>
          <w:p w14:paraId="0E72B60C"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72 (15.1)</w:t>
            </w:r>
          </w:p>
        </w:tc>
      </w:tr>
      <w:tr w:rsidR="00F02322" w:rsidRPr="004E6085" w14:paraId="2EF007A9" w14:textId="77777777" w:rsidTr="00A873D8">
        <w:trPr>
          <w:trHeight w:val="283"/>
        </w:trPr>
        <w:tc>
          <w:tcPr>
            <w:tcW w:w="5118" w:type="dxa"/>
            <w:tcBorders>
              <w:bottom w:val="single" w:sz="4" w:space="0" w:color="000000"/>
            </w:tcBorders>
          </w:tcPr>
          <w:p w14:paraId="6918C825" w14:textId="77777777" w:rsidR="00F02322" w:rsidRPr="004E6085" w:rsidRDefault="00F02322" w:rsidP="00A873D8">
            <w:pPr>
              <w:spacing w:line="360" w:lineRule="auto"/>
              <w:rPr>
                <w:rFonts w:ascii="Palatino Linotype" w:hAnsi="Palatino Linotype"/>
                <w:b/>
                <w:sz w:val="21"/>
                <w:szCs w:val="21"/>
              </w:rPr>
            </w:pPr>
          </w:p>
        </w:tc>
        <w:tc>
          <w:tcPr>
            <w:tcW w:w="3262" w:type="dxa"/>
            <w:tcBorders>
              <w:bottom w:val="single" w:sz="4" w:space="0" w:color="000000"/>
            </w:tcBorders>
          </w:tcPr>
          <w:p w14:paraId="76C31E49" w14:textId="65F39FD2"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 xml:space="preserve">  No data</w:t>
            </w:r>
          </w:p>
        </w:tc>
        <w:tc>
          <w:tcPr>
            <w:tcW w:w="1729" w:type="dxa"/>
            <w:tcBorders>
              <w:bottom w:val="single" w:sz="4" w:space="0" w:color="000000"/>
            </w:tcBorders>
          </w:tcPr>
          <w:p w14:paraId="366DD779" w14:textId="77777777" w:rsidR="00F02322" w:rsidRPr="004E6085" w:rsidRDefault="00F02322" w:rsidP="00A873D8">
            <w:pPr>
              <w:spacing w:line="360" w:lineRule="auto"/>
              <w:rPr>
                <w:rFonts w:ascii="Palatino Linotype" w:hAnsi="Palatino Linotype"/>
                <w:sz w:val="21"/>
                <w:szCs w:val="21"/>
              </w:rPr>
            </w:pPr>
            <w:r w:rsidRPr="004E6085">
              <w:rPr>
                <w:rFonts w:ascii="Palatino Linotype" w:hAnsi="Palatino Linotype"/>
                <w:sz w:val="21"/>
                <w:szCs w:val="21"/>
              </w:rPr>
              <w:t>203 (42.4)</w:t>
            </w:r>
          </w:p>
        </w:tc>
      </w:tr>
    </w:tbl>
    <w:p w14:paraId="6F869920" w14:textId="4F630522" w:rsidR="00F02322" w:rsidRPr="000B5971" w:rsidRDefault="00F02322" w:rsidP="00F02322">
      <w:pPr>
        <w:jc w:val="both"/>
        <w:rPr>
          <w:rFonts w:ascii="Palatino Linotype" w:hAnsi="Palatino Linotype"/>
          <w:sz w:val="17"/>
          <w:szCs w:val="17"/>
          <w:lang w:val="en-US"/>
        </w:rPr>
      </w:pPr>
      <w:r w:rsidRPr="000B5971">
        <w:rPr>
          <w:rFonts w:ascii="Palatino Linotype" w:hAnsi="Palatino Linotype"/>
          <w:sz w:val="17"/>
          <w:szCs w:val="17"/>
          <w:lang w:val="en-US"/>
        </w:rPr>
        <w:t xml:space="preserve">Abbreviations: SD: standard deviation; SLNB: Sentinel Lymph Node Biopsy; ALND: Axillary Lymph Node Dissection </w:t>
      </w:r>
    </w:p>
    <w:p w14:paraId="19AD55D1" w14:textId="689BDE60" w:rsidR="00F02322" w:rsidRPr="000B5971" w:rsidRDefault="00F02322" w:rsidP="00F02322">
      <w:pPr>
        <w:jc w:val="both"/>
        <w:rPr>
          <w:rFonts w:ascii="Palatino Linotype" w:hAnsi="Palatino Linotype"/>
          <w:sz w:val="17"/>
          <w:szCs w:val="17"/>
          <w:lang w:val="en-US"/>
        </w:rPr>
      </w:pPr>
      <w:r w:rsidRPr="000B5971">
        <w:rPr>
          <w:rFonts w:ascii="Palatino Linotype" w:hAnsi="Palatino Linotype"/>
          <w:sz w:val="17"/>
          <w:szCs w:val="17"/>
          <w:lang w:val="en-US"/>
        </w:rPr>
        <w:t>†: only in those cases with malignant tumor tissue in the surgical sample (n = 720); ‡: Percentage over those patients with positive sentinel lymph node report (SLNB or ALND in the surgery); ¶: Percentage over those patients with positive resection margins; ††: Percentage over those patients who underwent neoadjuvant chemotherapy (n = 478); §: Percentage of patients with SLNB in ​​surgery with positive lymph nodes identified and who did not omit axillary dissection (n = 61)</w:t>
      </w:r>
    </w:p>
    <w:p w14:paraId="19ABF5DB" w14:textId="77777777" w:rsidR="00F02322" w:rsidRPr="00F02322" w:rsidRDefault="00F02322" w:rsidP="00C1070C">
      <w:pPr>
        <w:spacing w:after="0" w:line="240" w:lineRule="auto"/>
        <w:jc w:val="both"/>
        <w:rPr>
          <w:rFonts w:ascii="Arial" w:eastAsia="Times New Roman" w:hAnsi="Arial" w:cs="Arial"/>
          <w:color w:val="000000" w:themeColor="text1"/>
          <w:kern w:val="0"/>
          <w:sz w:val="22"/>
          <w:szCs w:val="22"/>
          <w:lang w:val="en-US"/>
          <w14:ligatures w14:val="none"/>
        </w:rPr>
      </w:pPr>
    </w:p>
    <w:p w14:paraId="460A1273" w14:textId="7A20FAAA" w:rsidR="00602563" w:rsidRPr="00602563" w:rsidRDefault="00602563" w:rsidP="00602563">
      <w:pPr>
        <w:spacing w:after="0" w:line="240" w:lineRule="auto"/>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3.</w:t>
      </w:r>
      <w:r w:rsidR="000F3351">
        <w:rPr>
          <w:rFonts w:ascii="Arial" w:eastAsia="Times New Roman" w:hAnsi="Arial" w:cs="Arial"/>
          <w:i/>
          <w:iCs/>
          <w:color w:val="000000" w:themeColor="text1"/>
          <w:kern w:val="0"/>
          <w:sz w:val="22"/>
          <w:szCs w:val="22"/>
          <w14:ligatures w14:val="none"/>
        </w:rPr>
        <w:t>3</w:t>
      </w:r>
      <w:r>
        <w:rPr>
          <w:rFonts w:ascii="Arial" w:eastAsia="Times New Roman" w:hAnsi="Arial" w:cs="Arial"/>
          <w:i/>
          <w:iCs/>
          <w:color w:val="000000" w:themeColor="text1"/>
          <w:kern w:val="0"/>
          <w:sz w:val="22"/>
          <w:szCs w:val="22"/>
          <w14:ligatures w14:val="none"/>
        </w:rPr>
        <w:t xml:space="preserve"> </w:t>
      </w:r>
      <w:r w:rsidR="00C1070C" w:rsidRPr="00602563">
        <w:rPr>
          <w:rFonts w:ascii="Arial" w:eastAsia="Times New Roman" w:hAnsi="Arial" w:cs="Arial"/>
          <w:i/>
          <w:iCs/>
          <w:color w:val="000000" w:themeColor="text1"/>
          <w:kern w:val="0"/>
          <w:sz w:val="22"/>
          <w:szCs w:val="22"/>
          <w14:ligatures w14:val="none"/>
        </w:rPr>
        <w:t>Tipos de tratamiento:</w:t>
      </w:r>
    </w:p>
    <w:p w14:paraId="3EC4A1B2" w14:textId="77262D76" w:rsidR="00B81CBA" w:rsidRDefault="00602563" w:rsidP="003A690A">
      <w:pPr>
        <w:spacing w:after="0" w:line="240" w:lineRule="auto"/>
        <w:jc w:val="both"/>
        <w:rPr>
          <w:rFonts w:ascii="Arial" w:hAnsi="Arial" w:cs="Arial"/>
          <w:color w:val="000000"/>
          <w:sz w:val="22"/>
          <w:szCs w:val="22"/>
        </w:rPr>
      </w:pPr>
      <w:r>
        <w:rPr>
          <w:rFonts w:ascii="Arial" w:hAnsi="Arial" w:cs="Arial"/>
          <w:color w:val="000000"/>
          <w:sz w:val="22"/>
          <w:szCs w:val="22"/>
        </w:rPr>
        <w:t xml:space="preserve">El tratamiento inicial predominante fue la quimioterapia neoadyuvante,  siendo el esquema más utilizado  la combinación de antraciclinas y taxanos (AC-T) en el 59.2% (n=283) de los casos. </w:t>
      </w:r>
      <w:r w:rsidR="00443690">
        <w:rPr>
          <w:rFonts w:ascii="Arial" w:hAnsi="Arial" w:cs="Arial"/>
          <w:color w:val="000000"/>
          <w:sz w:val="22"/>
          <w:szCs w:val="22"/>
        </w:rPr>
        <w:t>L</w:t>
      </w:r>
      <w:r>
        <w:rPr>
          <w:rFonts w:ascii="Arial" w:hAnsi="Arial" w:cs="Arial"/>
          <w:color w:val="000000"/>
          <w:sz w:val="22"/>
          <w:szCs w:val="22"/>
        </w:rPr>
        <w:t>a cirugía conservadora se realizó en el 57,2% (n=476), biopsia de ganglio centinela en el 32,3 %, (n=336) y vaciamiento ganglionar en el 59,3 % (n=494). El 11.5% (n=96) de las pacientes requirió tratamientos quirúrgicos adicionales</w:t>
      </w:r>
      <w:r w:rsidR="00686420">
        <w:rPr>
          <w:rFonts w:ascii="Arial" w:hAnsi="Arial" w:cs="Arial"/>
          <w:color w:val="000000"/>
          <w:sz w:val="22"/>
          <w:szCs w:val="22"/>
        </w:rPr>
        <w:t xml:space="preserve"> después del manejo inicial, </w:t>
      </w:r>
      <w:r>
        <w:rPr>
          <w:rFonts w:ascii="Arial" w:hAnsi="Arial" w:cs="Arial"/>
          <w:color w:val="000000"/>
          <w:sz w:val="22"/>
          <w:szCs w:val="22"/>
        </w:rPr>
        <w:t>el más frecuente fue el vaciamiento axilar en el 63,5% (n=61).</w:t>
      </w:r>
      <w:r w:rsidR="00B81CBA">
        <w:rPr>
          <w:rFonts w:ascii="Arial" w:hAnsi="Arial" w:cs="Arial"/>
          <w:color w:val="000000"/>
          <w:sz w:val="22"/>
          <w:szCs w:val="22"/>
        </w:rPr>
        <w:t xml:space="preserve"> </w:t>
      </w:r>
    </w:p>
    <w:p w14:paraId="1F787AF4" w14:textId="77777777" w:rsidR="00CD1A61" w:rsidRPr="007A1920" w:rsidRDefault="00602563" w:rsidP="003A690A">
      <w:pPr>
        <w:spacing w:after="0" w:line="240" w:lineRule="auto"/>
        <w:jc w:val="both"/>
        <w:rPr>
          <w:rFonts w:ascii="Arial" w:hAnsi="Arial" w:cs="Arial"/>
          <w:color w:val="000000"/>
          <w:sz w:val="22"/>
          <w:szCs w:val="22"/>
        </w:rPr>
      </w:pPr>
      <w:r>
        <w:rPr>
          <w:rFonts w:ascii="Arial" w:hAnsi="Arial" w:cs="Arial"/>
          <w:color w:val="000000"/>
          <w:sz w:val="22"/>
          <w:szCs w:val="22"/>
        </w:rPr>
        <w:t>Se reportó respuesta patológica completa (pCR), calculada como RCB 0 (cero) según la escala del MD Anderson Cancer Center [</w:t>
      </w:r>
      <w:r w:rsidR="00B81CBA">
        <w:rPr>
          <w:rFonts w:ascii="Arial" w:hAnsi="Arial" w:cs="Arial"/>
          <w:color w:val="000000"/>
          <w:sz w:val="22"/>
          <w:szCs w:val="22"/>
        </w:rPr>
        <w:t>12</w:t>
      </w:r>
      <w:r>
        <w:rPr>
          <w:rFonts w:ascii="Arial" w:hAnsi="Arial" w:cs="Arial"/>
          <w:color w:val="000000"/>
          <w:sz w:val="22"/>
          <w:szCs w:val="22"/>
        </w:rPr>
        <w:t xml:space="preserve">], en el 19.8% (n=95) de los casos; en 203 pacientes no se logró calcular la </w:t>
      </w:r>
      <w:r w:rsidR="007E54A7">
        <w:rPr>
          <w:rFonts w:ascii="Arial" w:hAnsi="Arial" w:cs="Arial"/>
          <w:color w:val="000000"/>
          <w:sz w:val="22"/>
          <w:szCs w:val="22"/>
        </w:rPr>
        <w:t>t</w:t>
      </w:r>
      <w:r>
        <w:rPr>
          <w:rFonts w:ascii="Arial" w:hAnsi="Arial" w:cs="Arial"/>
          <w:color w:val="000000"/>
          <w:sz w:val="22"/>
          <w:szCs w:val="22"/>
        </w:rPr>
        <w:t xml:space="preserve">asa de </w:t>
      </w:r>
      <w:r w:rsidR="007E54A7">
        <w:rPr>
          <w:rFonts w:ascii="Arial" w:hAnsi="Arial" w:cs="Arial"/>
          <w:color w:val="000000"/>
          <w:sz w:val="22"/>
          <w:szCs w:val="22"/>
        </w:rPr>
        <w:t>r</w:t>
      </w:r>
      <w:r>
        <w:rPr>
          <w:rFonts w:ascii="Arial" w:hAnsi="Arial" w:cs="Arial"/>
          <w:color w:val="000000"/>
          <w:sz w:val="22"/>
          <w:szCs w:val="22"/>
        </w:rPr>
        <w:t xml:space="preserve">espuesta </w:t>
      </w:r>
      <w:r w:rsidR="007E54A7">
        <w:rPr>
          <w:rFonts w:ascii="Arial" w:hAnsi="Arial" w:cs="Arial"/>
          <w:color w:val="000000"/>
          <w:sz w:val="22"/>
          <w:szCs w:val="22"/>
        </w:rPr>
        <w:t>p</w:t>
      </w:r>
      <w:r>
        <w:rPr>
          <w:rFonts w:ascii="Arial" w:hAnsi="Arial" w:cs="Arial"/>
          <w:color w:val="000000"/>
          <w:sz w:val="22"/>
          <w:szCs w:val="22"/>
        </w:rPr>
        <w:t>atológica, porque para los primero</w:t>
      </w:r>
      <w:r w:rsidR="00B81CBA">
        <w:rPr>
          <w:rFonts w:ascii="Arial" w:hAnsi="Arial" w:cs="Arial"/>
          <w:color w:val="000000"/>
          <w:sz w:val="22"/>
          <w:szCs w:val="22"/>
        </w:rPr>
        <w:t>s</w:t>
      </w:r>
      <w:r>
        <w:rPr>
          <w:rFonts w:ascii="Arial" w:hAnsi="Arial" w:cs="Arial"/>
          <w:color w:val="000000"/>
          <w:sz w:val="22"/>
          <w:szCs w:val="22"/>
        </w:rPr>
        <w:t xml:space="preserve"> años del estudio  no estaba estandarizada esta escala </w:t>
      </w:r>
      <w:r w:rsidRPr="007A1920">
        <w:rPr>
          <w:rFonts w:ascii="Arial" w:hAnsi="Arial" w:cs="Arial"/>
          <w:color w:val="000000"/>
          <w:sz w:val="22"/>
          <w:szCs w:val="22"/>
        </w:rPr>
        <w:t>por el grupo de patología del INC. </w:t>
      </w:r>
    </w:p>
    <w:p w14:paraId="3AF6141A" w14:textId="6F7C1445" w:rsidR="00602563" w:rsidRPr="00CD1A61" w:rsidRDefault="00602563" w:rsidP="003A690A">
      <w:pPr>
        <w:spacing w:after="0" w:line="240" w:lineRule="auto"/>
        <w:jc w:val="both"/>
        <w:rPr>
          <w:rFonts w:ascii="Arial" w:hAnsi="Arial" w:cs="Arial"/>
          <w:color w:val="000000"/>
          <w:sz w:val="22"/>
          <w:szCs w:val="22"/>
        </w:rPr>
      </w:pPr>
      <w:r w:rsidRPr="007A1920">
        <w:rPr>
          <w:rFonts w:ascii="Arial" w:hAnsi="Arial" w:cs="Arial"/>
          <w:color w:val="000000"/>
          <w:sz w:val="22"/>
          <w:szCs w:val="22"/>
        </w:rPr>
        <w:t xml:space="preserve">En relación a la biologia tumoral los pacientes con tumores triple negativos fueron los que se asociaron  </w:t>
      </w:r>
      <w:r w:rsidR="00443690" w:rsidRPr="007A1920">
        <w:rPr>
          <w:rFonts w:ascii="Arial" w:hAnsi="Arial" w:cs="Arial"/>
          <w:color w:val="000000"/>
          <w:sz w:val="22"/>
          <w:szCs w:val="22"/>
        </w:rPr>
        <w:t xml:space="preserve">con </w:t>
      </w:r>
      <w:r w:rsidRPr="007A1920">
        <w:rPr>
          <w:rFonts w:ascii="Arial" w:hAnsi="Arial" w:cs="Arial"/>
          <w:color w:val="000000"/>
          <w:sz w:val="22"/>
          <w:szCs w:val="22"/>
        </w:rPr>
        <w:t>mayor porcentaje de RCB 0</w:t>
      </w:r>
      <w:r w:rsidR="00CD1A61" w:rsidRPr="007A1920">
        <w:rPr>
          <w:rFonts w:ascii="Arial" w:hAnsi="Arial" w:cs="Arial"/>
          <w:color w:val="000000"/>
          <w:sz w:val="22"/>
          <w:szCs w:val="22"/>
        </w:rPr>
        <w:t xml:space="preserve"> </w:t>
      </w:r>
      <w:r w:rsidR="00CC7410" w:rsidRPr="007A1920">
        <w:rPr>
          <w:rFonts w:ascii="Arial" w:hAnsi="Arial" w:cs="Arial"/>
          <w:color w:val="000000"/>
          <w:sz w:val="22"/>
          <w:szCs w:val="22"/>
        </w:rPr>
        <w:t>(</w:t>
      </w:r>
      <w:r w:rsidR="00CD1A61" w:rsidRPr="007A1920">
        <w:rPr>
          <w:rFonts w:ascii="Arial" w:hAnsi="Arial" w:cs="Arial"/>
          <w:color w:val="000000"/>
          <w:sz w:val="22"/>
          <w:szCs w:val="22"/>
        </w:rPr>
        <w:t xml:space="preserve">29.4%, n=28) </w:t>
      </w:r>
      <w:r w:rsidRPr="007A1920">
        <w:rPr>
          <w:rFonts w:ascii="Arial" w:hAnsi="Arial" w:cs="Arial"/>
          <w:color w:val="000000"/>
          <w:sz w:val="22"/>
          <w:szCs w:val="22"/>
        </w:rPr>
        <w:t>El 4</w:t>
      </w:r>
      <w:r w:rsidR="00185596" w:rsidRPr="007A1920">
        <w:rPr>
          <w:rFonts w:ascii="Arial" w:hAnsi="Arial" w:cs="Arial"/>
          <w:color w:val="000000"/>
          <w:sz w:val="22"/>
          <w:szCs w:val="22"/>
        </w:rPr>
        <w:t>2,6</w:t>
      </w:r>
      <w:r w:rsidRPr="007A1920">
        <w:rPr>
          <w:rFonts w:ascii="Arial" w:hAnsi="Arial" w:cs="Arial"/>
          <w:color w:val="000000"/>
          <w:sz w:val="22"/>
          <w:szCs w:val="22"/>
        </w:rPr>
        <w:t>% (n=</w:t>
      </w:r>
      <w:r w:rsidR="00185596" w:rsidRPr="007A1920">
        <w:rPr>
          <w:rFonts w:ascii="Arial" w:hAnsi="Arial" w:cs="Arial"/>
          <w:color w:val="000000"/>
          <w:sz w:val="22"/>
          <w:szCs w:val="22"/>
        </w:rPr>
        <w:t>355</w:t>
      </w:r>
      <w:r w:rsidRPr="007A1920">
        <w:rPr>
          <w:rFonts w:ascii="Arial" w:hAnsi="Arial" w:cs="Arial"/>
          <w:color w:val="000000"/>
          <w:sz w:val="22"/>
          <w:szCs w:val="22"/>
        </w:rPr>
        <w:t xml:space="preserve">) de las pacientes recibió </w:t>
      </w:r>
      <w:r w:rsidR="00185596" w:rsidRPr="007A1920">
        <w:rPr>
          <w:rFonts w:ascii="Arial" w:hAnsi="Arial" w:cs="Arial"/>
          <w:color w:val="000000"/>
          <w:sz w:val="22"/>
          <w:szCs w:val="22"/>
        </w:rPr>
        <w:t xml:space="preserve">tratamiento adyuvante, de estas, 49% (n=174) </w:t>
      </w:r>
      <w:r w:rsidRPr="007A1920">
        <w:rPr>
          <w:rFonts w:ascii="Arial" w:hAnsi="Arial" w:cs="Arial"/>
          <w:color w:val="000000"/>
          <w:sz w:val="22"/>
          <w:szCs w:val="22"/>
        </w:rPr>
        <w:t xml:space="preserve">quimioterapia </w:t>
      </w:r>
      <w:r w:rsidR="00185596" w:rsidRPr="007A1920">
        <w:rPr>
          <w:rFonts w:ascii="Arial" w:hAnsi="Arial" w:cs="Arial"/>
          <w:color w:val="000000"/>
          <w:sz w:val="22"/>
          <w:szCs w:val="22"/>
        </w:rPr>
        <w:t xml:space="preserve">sola y 41,4% (n=147) terapia </w:t>
      </w:r>
      <w:r w:rsidR="00185596" w:rsidRPr="007A1920">
        <w:rPr>
          <w:rFonts w:ascii="Arial" w:hAnsi="Arial" w:cs="Arial"/>
          <w:color w:val="000000"/>
          <w:sz w:val="22"/>
          <w:szCs w:val="22"/>
          <w:shd w:val="clear" w:color="auto" w:fill="FFFFFF"/>
        </w:rPr>
        <w:t>target.</w:t>
      </w:r>
      <w:r w:rsidR="00CC7410" w:rsidRPr="007A1920">
        <w:rPr>
          <w:rFonts w:ascii="Arial" w:hAnsi="Arial" w:cs="Arial"/>
          <w:color w:val="000000"/>
          <w:sz w:val="22"/>
          <w:szCs w:val="22"/>
          <w:shd w:val="clear" w:color="auto" w:fill="FFFFFF"/>
        </w:rPr>
        <w:t xml:space="preserve"> En las pacientes con enfermedad residual</w:t>
      </w:r>
      <w:r w:rsidR="000F3351" w:rsidRPr="007A1920">
        <w:rPr>
          <w:rFonts w:ascii="Arial" w:hAnsi="Arial" w:cs="Arial"/>
          <w:color w:val="000000"/>
          <w:sz w:val="22"/>
          <w:szCs w:val="22"/>
          <w:shd w:val="clear" w:color="auto" w:fill="FFFFFF"/>
        </w:rPr>
        <w:t xml:space="preserve">, </w:t>
      </w:r>
      <w:r w:rsidR="00CC7410" w:rsidRPr="007A1920">
        <w:rPr>
          <w:rFonts w:ascii="Arial" w:hAnsi="Arial" w:cs="Arial"/>
          <w:color w:val="000000"/>
          <w:sz w:val="22"/>
          <w:szCs w:val="22"/>
          <w:shd w:val="clear" w:color="auto" w:fill="FFFFFF"/>
        </w:rPr>
        <w:t>en los tumores HER2</w:t>
      </w:r>
      <w:r w:rsidR="00443690" w:rsidRPr="007A1920">
        <w:rPr>
          <w:rFonts w:ascii="Arial" w:hAnsi="Arial" w:cs="Arial"/>
          <w:color w:val="000000"/>
          <w:sz w:val="22"/>
          <w:szCs w:val="22"/>
          <w:shd w:val="clear" w:color="auto" w:fill="FFFFFF"/>
        </w:rPr>
        <w:t>,</w:t>
      </w:r>
      <w:r w:rsidR="00CC7410" w:rsidRPr="007A1920">
        <w:rPr>
          <w:rFonts w:ascii="Arial" w:hAnsi="Arial" w:cs="Arial"/>
          <w:color w:val="000000"/>
          <w:sz w:val="22"/>
          <w:szCs w:val="22"/>
          <w:shd w:val="clear" w:color="auto" w:fill="FFFFFF"/>
        </w:rPr>
        <w:t xml:space="preserve"> </w:t>
      </w:r>
      <w:r w:rsidR="000F3351" w:rsidRPr="007A1920">
        <w:rPr>
          <w:rFonts w:ascii="Arial" w:hAnsi="Arial" w:cs="Arial"/>
          <w:color w:val="000000"/>
          <w:sz w:val="22"/>
          <w:szCs w:val="22"/>
          <w:shd w:val="clear" w:color="auto" w:fill="FFFFFF"/>
        </w:rPr>
        <w:t>4</w:t>
      </w:r>
      <w:r w:rsidR="001E486C" w:rsidRPr="007A1920">
        <w:rPr>
          <w:rFonts w:ascii="Arial" w:hAnsi="Arial" w:cs="Arial"/>
          <w:color w:val="000000"/>
          <w:sz w:val="22"/>
          <w:szCs w:val="22"/>
          <w:shd w:val="clear" w:color="auto" w:fill="FFFFFF"/>
        </w:rPr>
        <w:t>6</w:t>
      </w:r>
      <w:r w:rsidR="000F3351" w:rsidRPr="007A1920">
        <w:rPr>
          <w:rFonts w:ascii="Arial" w:hAnsi="Arial" w:cs="Arial"/>
          <w:color w:val="000000"/>
          <w:sz w:val="22"/>
          <w:szCs w:val="22"/>
          <w:shd w:val="clear" w:color="auto" w:fill="FFFFFF"/>
        </w:rPr>
        <w:t xml:space="preserve"> pacientes recibieron trastuzumab y 1 pacientes recibió TDM-1, ya que</w:t>
      </w:r>
      <w:r w:rsidR="00CC7410" w:rsidRPr="007A1920">
        <w:rPr>
          <w:rFonts w:ascii="Arial" w:hAnsi="Arial" w:cs="Arial"/>
          <w:color w:val="000000"/>
          <w:sz w:val="22"/>
          <w:szCs w:val="22"/>
          <w:shd w:val="clear" w:color="auto" w:fill="FFFFFF"/>
        </w:rPr>
        <w:t xml:space="preserve"> para la epoca no estaba estandarizada la terapia con TDM-1 </w:t>
      </w:r>
      <w:r w:rsidR="000F3351" w:rsidRPr="007A1920">
        <w:rPr>
          <w:rFonts w:ascii="Arial" w:hAnsi="Arial" w:cs="Arial"/>
          <w:color w:val="000000"/>
          <w:sz w:val="22"/>
          <w:szCs w:val="22"/>
          <w:shd w:val="clear" w:color="auto" w:fill="FFFFFF"/>
        </w:rPr>
        <w:t xml:space="preserve">y en pacientes TN </w:t>
      </w:r>
      <w:r w:rsidR="00185596" w:rsidRPr="007A1920">
        <w:rPr>
          <w:rFonts w:ascii="Arial" w:hAnsi="Arial" w:cs="Arial"/>
          <w:color w:val="000000"/>
          <w:sz w:val="22"/>
          <w:szCs w:val="22"/>
        </w:rPr>
        <w:t>2</w:t>
      </w:r>
      <w:r w:rsidR="000F3351" w:rsidRPr="007A1920">
        <w:rPr>
          <w:rFonts w:ascii="Arial" w:hAnsi="Arial" w:cs="Arial"/>
          <w:color w:val="000000"/>
          <w:sz w:val="22"/>
          <w:szCs w:val="22"/>
        </w:rPr>
        <w:t>8</w:t>
      </w:r>
      <w:r w:rsidR="00185596" w:rsidRPr="007A1920">
        <w:rPr>
          <w:rFonts w:ascii="Arial" w:hAnsi="Arial" w:cs="Arial"/>
          <w:color w:val="000000"/>
          <w:sz w:val="22"/>
          <w:szCs w:val="22"/>
        </w:rPr>
        <w:t xml:space="preserve"> pacientes recibieron capecitabine </w:t>
      </w:r>
      <w:r w:rsidR="000F3351" w:rsidRPr="007A1920">
        <w:rPr>
          <w:rFonts w:ascii="Arial" w:hAnsi="Arial" w:cs="Arial"/>
          <w:color w:val="000000"/>
          <w:sz w:val="22"/>
          <w:szCs w:val="22"/>
        </w:rPr>
        <w:t xml:space="preserve">. </w:t>
      </w:r>
      <w:r w:rsidR="0071540A" w:rsidRPr="007A1920">
        <w:rPr>
          <w:rFonts w:ascii="Arial" w:hAnsi="Arial" w:cs="Arial"/>
          <w:color w:val="000000"/>
          <w:sz w:val="22"/>
          <w:szCs w:val="22"/>
        </w:rPr>
        <w:t xml:space="preserve"> </w:t>
      </w:r>
      <w:r w:rsidRPr="007A1920">
        <w:rPr>
          <w:rFonts w:ascii="Arial" w:hAnsi="Arial" w:cs="Arial"/>
          <w:color w:val="000000"/>
          <w:sz w:val="22"/>
          <w:szCs w:val="22"/>
        </w:rPr>
        <w:t xml:space="preserve">81% (n=675) </w:t>
      </w:r>
      <w:r w:rsidR="0071540A" w:rsidRPr="007A1920">
        <w:rPr>
          <w:rFonts w:ascii="Arial" w:hAnsi="Arial" w:cs="Arial"/>
          <w:color w:val="000000"/>
          <w:sz w:val="22"/>
          <w:szCs w:val="22"/>
        </w:rPr>
        <w:t>recibi</w:t>
      </w:r>
      <w:r w:rsidR="00443690" w:rsidRPr="007A1920">
        <w:rPr>
          <w:rFonts w:ascii="Arial" w:hAnsi="Arial" w:cs="Arial"/>
          <w:color w:val="000000"/>
          <w:sz w:val="22"/>
          <w:szCs w:val="22"/>
        </w:rPr>
        <w:t>o</w:t>
      </w:r>
      <w:r w:rsidR="0071540A" w:rsidRPr="007A1920">
        <w:rPr>
          <w:rFonts w:ascii="Arial" w:hAnsi="Arial" w:cs="Arial"/>
          <w:color w:val="000000"/>
          <w:sz w:val="22"/>
          <w:szCs w:val="22"/>
        </w:rPr>
        <w:t xml:space="preserve"> </w:t>
      </w:r>
      <w:r w:rsidRPr="007A1920">
        <w:rPr>
          <w:rFonts w:ascii="Arial" w:hAnsi="Arial" w:cs="Arial"/>
          <w:color w:val="000000"/>
          <w:sz w:val="22"/>
          <w:szCs w:val="22"/>
        </w:rPr>
        <w:t xml:space="preserve">hormonoterapia adyuvante. </w:t>
      </w:r>
      <w:r w:rsidRPr="007A1920">
        <w:rPr>
          <w:rFonts w:ascii="Arial" w:hAnsi="Arial" w:cs="Arial"/>
          <w:color w:val="000000"/>
          <w:sz w:val="22"/>
          <w:szCs w:val="22"/>
          <w:shd w:val="clear" w:color="auto" w:fill="FFFFFF"/>
        </w:rPr>
        <w:t>N</w:t>
      </w:r>
      <w:r w:rsidR="0071540A" w:rsidRPr="007A1920">
        <w:rPr>
          <w:rFonts w:ascii="Arial" w:hAnsi="Arial" w:cs="Arial"/>
          <w:color w:val="000000"/>
          <w:sz w:val="22"/>
          <w:szCs w:val="22"/>
          <w:shd w:val="clear" w:color="auto" w:fill="FFFFFF"/>
        </w:rPr>
        <w:t>i</w:t>
      </w:r>
      <w:r w:rsidRPr="007A1920">
        <w:rPr>
          <w:rFonts w:ascii="Arial" w:hAnsi="Arial" w:cs="Arial"/>
          <w:color w:val="000000"/>
          <w:sz w:val="22"/>
          <w:szCs w:val="22"/>
          <w:shd w:val="clear" w:color="auto" w:fill="FFFFFF"/>
        </w:rPr>
        <w:t>ngún paciente recibió adyuvancia con iCDKN4/6 porque no estaba aprobado por la entidad regulatoria para el tiempo de atención de los pacientes.</w:t>
      </w:r>
      <w:r w:rsidRPr="007A1920">
        <w:rPr>
          <w:rFonts w:ascii="Arial" w:hAnsi="Arial" w:cs="Arial"/>
          <w:color w:val="000000"/>
          <w:sz w:val="22"/>
          <w:szCs w:val="22"/>
        </w:rPr>
        <w:t xml:space="preserve"> </w:t>
      </w:r>
      <w:r w:rsidR="0071540A" w:rsidRPr="007A1920">
        <w:rPr>
          <w:rFonts w:ascii="Arial" w:hAnsi="Arial" w:cs="Arial"/>
          <w:color w:val="000000"/>
          <w:sz w:val="22"/>
          <w:szCs w:val="22"/>
        </w:rPr>
        <w:t>El tratamiento</w:t>
      </w:r>
      <w:r w:rsidRPr="007A1920">
        <w:rPr>
          <w:rFonts w:ascii="Arial" w:hAnsi="Arial" w:cs="Arial"/>
          <w:color w:val="000000"/>
          <w:sz w:val="22"/>
          <w:szCs w:val="22"/>
        </w:rPr>
        <w:t xml:space="preserve"> adyuvant</w:t>
      </w:r>
      <w:r w:rsidR="0071540A" w:rsidRPr="007A1920">
        <w:rPr>
          <w:rFonts w:ascii="Arial" w:hAnsi="Arial" w:cs="Arial"/>
          <w:color w:val="000000"/>
          <w:sz w:val="22"/>
          <w:szCs w:val="22"/>
        </w:rPr>
        <w:t>e con radioterapia</w:t>
      </w:r>
      <w:r w:rsidRPr="007A1920">
        <w:rPr>
          <w:rFonts w:ascii="Arial" w:hAnsi="Arial" w:cs="Arial"/>
          <w:color w:val="000000"/>
          <w:sz w:val="22"/>
          <w:szCs w:val="22"/>
        </w:rPr>
        <w:t xml:space="preserve"> se administró en el 91.1% (n=759) de las pacientes, </w:t>
      </w:r>
      <w:r w:rsidR="0071540A" w:rsidRPr="007A1920">
        <w:rPr>
          <w:rFonts w:ascii="Arial" w:hAnsi="Arial" w:cs="Arial"/>
          <w:color w:val="000000"/>
          <w:sz w:val="22"/>
          <w:szCs w:val="22"/>
          <w:shd w:val="clear" w:color="auto" w:fill="FFFFFF"/>
        </w:rPr>
        <w:t>con técnicas</w:t>
      </w:r>
      <w:r w:rsidR="0071540A" w:rsidRPr="0071540A">
        <w:rPr>
          <w:rFonts w:ascii="Arial" w:hAnsi="Arial" w:cs="Arial"/>
          <w:color w:val="000000"/>
          <w:sz w:val="22"/>
          <w:szCs w:val="22"/>
          <w:shd w:val="clear" w:color="auto" w:fill="FFFFFF"/>
        </w:rPr>
        <w:t xml:space="preserve"> IMRT, VMAT</w:t>
      </w:r>
      <w:r w:rsidR="0071540A">
        <w:rPr>
          <w:rFonts w:ascii="Arial" w:hAnsi="Arial" w:cs="Arial"/>
          <w:color w:val="000000"/>
          <w:sz w:val="22"/>
          <w:szCs w:val="22"/>
          <w:shd w:val="clear" w:color="auto" w:fill="FFFFFF"/>
        </w:rPr>
        <w:t xml:space="preserve"> y se encontraron úncamente 4 pacientes que cumplieron protocolo de radiot</w:t>
      </w:r>
      <w:r w:rsidR="00CC7410">
        <w:rPr>
          <w:rFonts w:ascii="Arial" w:hAnsi="Arial" w:cs="Arial"/>
          <w:color w:val="000000"/>
          <w:sz w:val="22"/>
          <w:szCs w:val="22"/>
          <w:shd w:val="clear" w:color="auto" w:fill="FFFFFF"/>
        </w:rPr>
        <w:t>e</w:t>
      </w:r>
      <w:r w:rsidR="0071540A">
        <w:rPr>
          <w:rFonts w:ascii="Arial" w:hAnsi="Arial" w:cs="Arial"/>
          <w:color w:val="000000"/>
          <w:sz w:val="22"/>
          <w:szCs w:val="22"/>
          <w:shd w:val="clear" w:color="auto" w:fill="FFFFFF"/>
        </w:rPr>
        <w:t>rapia intraoperatoria.</w:t>
      </w:r>
    </w:p>
    <w:p w14:paraId="5DB59F85" w14:textId="77777777" w:rsidR="0071540A" w:rsidRDefault="0071540A" w:rsidP="00C1070C">
      <w:pPr>
        <w:spacing w:after="0" w:line="240" w:lineRule="auto"/>
        <w:rPr>
          <w:rFonts w:ascii="Arial" w:hAnsi="Arial" w:cs="Arial"/>
          <w:color w:val="000000"/>
          <w:sz w:val="22"/>
          <w:szCs w:val="22"/>
          <w:shd w:val="clear" w:color="auto" w:fill="4A86E8"/>
        </w:rPr>
      </w:pPr>
    </w:p>
    <w:p w14:paraId="6B764661" w14:textId="6DA9EE82" w:rsidR="00602563" w:rsidRPr="00602563" w:rsidRDefault="00602563" w:rsidP="00602563">
      <w:pPr>
        <w:spacing w:line="240" w:lineRule="auto"/>
        <w:rPr>
          <w:rFonts w:ascii="Times New Roman" w:eastAsia="Times New Roman" w:hAnsi="Times New Roman" w:cs="Times New Roman"/>
          <w:color w:val="000000"/>
          <w:kern w:val="0"/>
          <w14:ligatures w14:val="none"/>
        </w:rPr>
      </w:pPr>
      <w:r w:rsidRPr="00602563">
        <w:rPr>
          <w:rFonts w:ascii="Palatino Linotype" w:eastAsia="Times New Roman" w:hAnsi="Palatino Linotype" w:cs="Times New Roman"/>
          <w:b/>
          <w:bCs/>
          <w:color w:val="000000"/>
          <w:kern w:val="0"/>
          <w:sz w:val="22"/>
          <w:szCs w:val="22"/>
          <w14:ligatures w14:val="none"/>
        </w:rPr>
        <w:t>Table 2.</w:t>
      </w:r>
      <w:r w:rsidRPr="00602563">
        <w:rPr>
          <w:rFonts w:ascii="Calibri" w:eastAsia="Times New Roman" w:hAnsi="Calibri" w:cs="Calibri"/>
          <w:b/>
          <w:bCs/>
          <w:color w:val="000000"/>
          <w:kern w:val="0"/>
          <w:sz w:val="22"/>
          <w:szCs w:val="22"/>
          <w14:ligatures w14:val="none"/>
        </w:rPr>
        <w:t xml:space="preserve">  </w:t>
      </w:r>
      <w:r w:rsidRPr="00602563">
        <w:rPr>
          <w:rFonts w:ascii="Palatino Linotype" w:eastAsia="Times New Roman" w:hAnsi="Palatino Linotype" w:cs="Times New Roman"/>
          <w:color w:val="000000"/>
          <w:kern w:val="0"/>
          <w:sz w:val="22"/>
          <w:szCs w:val="22"/>
          <w14:ligatures w14:val="none"/>
        </w:rPr>
        <w:t xml:space="preserve">Types of treatment administered to patients in the cohort </w:t>
      </w:r>
    </w:p>
    <w:tbl>
      <w:tblPr>
        <w:tblW w:w="10485" w:type="dxa"/>
        <w:tblInd w:w="-430" w:type="dxa"/>
        <w:tblCellMar>
          <w:top w:w="15" w:type="dxa"/>
          <w:left w:w="15" w:type="dxa"/>
          <w:bottom w:w="15" w:type="dxa"/>
          <w:right w:w="15" w:type="dxa"/>
        </w:tblCellMar>
        <w:tblLook w:val="04A0" w:firstRow="1" w:lastRow="0" w:firstColumn="1" w:lastColumn="0" w:noHBand="0" w:noVBand="1"/>
      </w:tblPr>
      <w:tblGrid>
        <w:gridCol w:w="3837"/>
        <w:gridCol w:w="3346"/>
        <w:gridCol w:w="2438"/>
        <w:gridCol w:w="864"/>
      </w:tblGrid>
      <w:tr w:rsidR="007A1920" w:rsidRPr="00602563" w14:paraId="4CB8264A" w14:textId="77777777" w:rsidTr="007A1920">
        <w:trPr>
          <w:gridAfter w:val="1"/>
          <w:trHeight w:val="331"/>
        </w:trPr>
        <w:tc>
          <w:tcPr>
            <w:tcW w:w="0" w:type="auto"/>
            <w:gridSpan w:val="3"/>
            <w:tcBorders>
              <w:top w:val="single" w:sz="8" w:space="0" w:color="000000"/>
              <w:bottom w:val="single" w:sz="8" w:space="0" w:color="000000"/>
            </w:tcBorders>
            <w:tcMar>
              <w:top w:w="0" w:type="dxa"/>
              <w:left w:w="108" w:type="dxa"/>
              <w:bottom w:w="0" w:type="dxa"/>
              <w:right w:w="108" w:type="dxa"/>
            </w:tcMar>
            <w:vAlign w:val="center"/>
            <w:hideMark/>
          </w:tcPr>
          <w:p w14:paraId="468A8FB6" w14:textId="77777777" w:rsidR="007A1920" w:rsidRPr="00602563" w:rsidRDefault="007A1920" w:rsidP="00CF405A">
            <w:pPr>
              <w:spacing w:after="0" w:line="240" w:lineRule="auto"/>
              <w:jc w:val="center"/>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Treatment Type</w:t>
            </w:r>
          </w:p>
        </w:tc>
      </w:tr>
      <w:tr w:rsidR="007A1920" w:rsidRPr="00602563" w14:paraId="136CD6B4" w14:textId="77777777" w:rsidTr="007A1920">
        <w:trPr>
          <w:gridAfter w:val="1"/>
          <w:trHeight w:val="331"/>
        </w:trPr>
        <w:tc>
          <w:tcPr>
            <w:tcW w:w="7186" w:type="dxa"/>
            <w:gridSpan w:val="2"/>
            <w:tcBorders>
              <w:top w:val="single" w:sz="8" w:space="0" w:color="000000"/>
            </w:tcBorders>
            <w:tcMar>
              <w:top w:w="0" w:type="dxa"/>
              <w:left w:w="108" w:type="dxa"/>
              <w:bottom w:w="0" w:type="dxa"/>
              <w:right w:w="108" w:type="dxa"/>
            </w:tcMar>
            <w:hideMark/>
          </w:tcPr>
          <w:p w14:paraId="4FA1B14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Pr>
                <w:rFonts w:ascii="Palatino Linotype" w:eastAsia="Times New Roman" w:hAnsi="Palatino Linotype" w:cs="Times New Roman"/>
                <w:b/>
                <w:bCs/>
                <w:color w:val="000000"/>
                <w:kern w:val="0"/>
                <w:sz w:val="21"/>
                <w:szCs w:val="21"/>
                <w14:ligatures w14:val="none"/>
              </w:rPr>
              <w:t>Neoadjuvant treatment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8" w:space="0" w:color="000000"/>
            </w:tcBorders>
            <w:tcMar>
              <w:top w:w="0" w:type="dxa"/>
              <w:left w:w="108" w:type="dxa"/>
              <w:bottom w:w="0" w:type="dxa"/>
              <w:right w:w="108" w:type="dxa"/>
            </w:tcMar>
            <w:hideMark/>
          </w:tcPr>
          <w:p w14:paraId="091C080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478 (57.4)</w:t>
            </w:r>
          </w:p>
        </w:tc>
      </w:tr>
      <w:tr w:rsidR="007A1920" w:rsidRPr="00602563" w14:paraId="502F9CAA" w14:textId="77777777" w:rsidTr="007A1920">
        <w:trPr>
          <w:gridAfter w:val="1"/>
          <w:trHeight w:val="276"/>
        </w:trPr>
        <w:tc>
          <w:tcPr>
            <w:tcW w:w="3839" w:type="dxa"/>
            <w:tcMar>
              <w:top w:w="0" w:type="dxa"/>
              <w:left w:w="108" w:type="dxa"/>
              <w:bottom w:w="0" w:type="dxa"/>
              <w:right w:w="108" w:type="dxa"/>
            </w:tcMar>
            <w:hideMark/>
          </w:tcPr>
          <w:p w14:paraId="517568E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 xml:space="preserve">  </w:t>
            </w:r>
            <w:r w:rsidRPr="00602563">
              <w:rPr>
                <w:rFonts w:ascii="Palatino Linotype" w:eastAsia="Times New Roman" w:hAnsi="Palatino Linotype" w:cs="Times New Roman"/>
                <w:i/>
                <w:iCs/>
                <w:color w:val="000000"/>
                <w:kern w:val="0"/>
                <w:sz w:val="21"/>
                <w:szCs w:val="21"/>
                <w14:ligatures w14:val="none"/>
              </w:rPr>
              <w:t>Neoadjuvant chemotherapy regimen</w:t>
            </w:r>
          </w:p>
        </w:tc>
        <w:tc>
          <w:tcPr>
            <w:tcW w:w="3347" w:type="dxa"/>
            <w:tcMar>
              <w:top w:w="0" w:type="dxa"/>
              <w:left w:w="108" w:type="dxa"/>
              <w:bottom w:w="0" w:type="dxa"/>
              <w:right w:w="108" w:type="dxa"/>
            </w:tcMar>
            <w:hideMark/>
          </w:tcPr>
          <w:p w14:paraId="2046DBA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w:t>
            </w:r>
          </w:p>
        </w:tc>
        <w:tc>
          <w:tcPr>
            <w:tcW w:w="2439" w:type="dxa"/>
            <w:tcMar>
              <w:top w:w="0" w:type="dxa"/>
              <w:left w:w="108" w:type="dxa"/>
              <w:bottom w:w="0" w:type="dxa"/>
              <w:right w:w="108" w:type="dxa"/>
            </w:tcMar>
            <w:hideMark/>
          </w:tcPr>
          <w:p w14:paraId="59669A0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283 (59.2)</w:t>
            </w:r>
          </w:p>
        </w:tc>
      </w:tr>
      <w:tr w:rsidR="007A1920" w:rsidRPr="00602563" w14:paraId="21F4E39E" w14:textId="77777777" w:rsidTr="007A1920">
        <w:trPr>
          <w:gridAfter w:val="1"/>
          <w:trHeight w:val="276"/>
        </w:trPr>
        <w:tc>
          <w:tcPr>
            <w:tcW w:w="3839" w:type="dxa"/>
            <w:tcMar>
              <w:top w:w="0" w:type="dxa"/>
              <w:left w:w="108" w:type="dxa"/>
              <w:bottom w:w="0" w:type="dxa"/>
              <w:right w:w="108" w:type="dxa"/>
            </w:tcMar>
            <w:hideMark/>
          </w:tcPr>
          <w:p w14:paraId="4D9A005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80C20F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AC-TH</w:t>
            </w:r>
          </w:p>
        </w:tc>
        <w:tc>
          <w:tcPr>
            <w:tcW w:w="2439" w:type="dxa"/>
            <w:tcMar>
              <w:top w:w="0" w:type="dxa"/>
              <w:left w:w="108" w:type="dxa"/>
              <w:bottom w:w="0" w:type="dxa"/>
              <w:right w:w="108" w:type="dxa"/>
            </w:tcMar>
            <w:hideMark/>
          </w:tcPr>
          <w:p w14:paraId="745953E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124 (25.9)</w:t>
            </w:r>
          </w:p>
        </w:tc>
      </w:tr>
      <w:tr w:rsidR="007A1920" w:rsidRPr="00602563" w14:paraId="798F1D2F" w14:textId="77777777" w:rsidTr="007A1920">
        <w:trPr>
          <w:gridAfter w:val="1"/>
          <w:trHeight w:val="276"/>
        </w:trPr>
        <w:tc>
          <w:tcPr>
            <w:tcW w:w="3839" w:type="dxa"/>
            <w:tcMar>
              <w:top w:w="0" w:type="dxa"/>
              <w:left w:w="108" w:type="dxa"/>
              <w:bottom w:w="0" w:type="dxa"/>
              <w:right w:w="108" w:type="dxa"/>
            </w:tcMar>
            <w:hideMark/>
          </w:tcPr>
          <w:p w14:paraId="4ACCF34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39E8EB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AC-TCb</w:t>
            </w:r>
          </w:p>
        </w:tc>
        <w:tc>
          <w:tcPr>
            <w:tcW w:w="2439" w:type="dxa"/>
            <w:tcMar>
              <w:top w:w="0" w:type="dxa"/>
              <w:left w:w="108" w:type="dxa"/>
              <w:bottom w:w="0" w:type="dxa"/>
              <w:right w:w="108" w:type="dxa"/>
            </w:tcMar>
            <w:hideMark/>
          </w:tcPr>
          <w:p w14:paraId="64D5CFB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25 (5.23)</w:t>
            </w:r>
          </w:p>
        </w:tc>
      </w:tr>
      <w:tr w:rsidR="007A1920" w:rsidRPr="00602563" w14:paraId="420BBD88" w14:textId="77777777" w:rsidTr="007A1920">
        <w:trPr>
          <w:gridAfter w:val="1"/>
          <w:trHeight w:val="276"/>
        </w:trPr>
        <w:tc>
          <w:tcPr>
            <w:tcW w:w="3839" w:type="dxa"/>
            <w:tcMar>
              <w:top w:w="0" w:type="dxa"/>
              <w:left w:w="108" w:type="dxa"/>
              <w:bottom w:w="0" w:type="dxa"/>
              <w:right w:w="108" w:type="dxa"/>
            </w:tcMar>
            <w:hideMark/>
          </w:tcPr>
          <w:p w14:paraId="025F95A1"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7FBF73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TCb</w:t>
            </w:r>
          </w:p>
        </w:tc>
        <w:tc>
          <w:tcPr>
            <w:tcW w:w="2439" w:type="dxa"/>
            <w:tcMar>
              <w:top w:w="0" w:type="dxa"/>
              <w:left w:w="108" w:type="dxa"/>
              <w:bottom w:w="0" w:type="dxa"/>
              <w:right w:w="108" w:type="dxa"/>
            </w:tcMar>
            <w:hideMark/>
          </w:tcPr>
          <w:p w14:paraId="0847B58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16 (3.35)</w:t>
            </w:r>
          </w:p>
        </w:tc>
      </w:tr>
      <w:tr w:rsidR="007A1920" w:rsidRPr="00602563" w14:paraId="421A6F5B" w14:textId="77777777" w:rsidTr="007A1920">
        <w:trPr>
          <w:gridAfter w:val="1"/>
          <w:trHeight w:val="276"/>
        </w:trPr>
        <w:tc>
          <w:tcPr>
            <w:tcW w:w="3839" w:type="dxa"/>
            <w:tcBorders>
              <w:bottom w:val="single" w:sz="4" w:space="0" w:color="000000"/>
            </w:tcBorders>
            <w:tcMar>
              <w:top w:w="0" w:type="dxa"/>
              <w:left w:w="108" w:type="dxa"/>
              <w:bottom w:w="0" w:type="dxa"/>
              <w:right w:w="108" w:type="dxa"/>
            </w:tcMar>
            <w:hideMark/>
          </w:tcPr>
          <w:p w14:paraId="5772DAC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commentRangeStart w:id="0"/>
          </w:p>
        </w:tc>
        <w:tc>
          <w:tcPr>
            <w:tcW w:w="3347" w:type="dxa"/>
            <w:tcBorders>
              <w:bottom w:val="single" w:sz="4" w:space="0" w:color="000000"/>
            </w:tcBorders>
            <w:tcMar>
              <w:top w:w="0" w:type="dxa"/>
              <w:left w:w="108" w:type="dxa"/>
              <w:bottom w:w="0" w:type="dxa"/>
              <w:right w:w="108" w:type="dxa"/>
            </w:tcMar>
            <w:hideMark/>
          </w:tcPr>
          <w:p w14:paraId="6C40E6D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4" w:space="0" w:color="000000"/>
            </w:tcBorders>
            <w:tcMar>
              <w:top w:w="0" w:type="dxa"/>
              <w:left w:w="108" w:type="dxa"/>
              <w:bottom w:w="0" w:type="dxa"/>
              <w:right w:w="108" w:type="dxa"/>
            </w:tcMar>
            <w:hideMark/>
          </w:tcPr>
          <w:p w14:paraId="10E5271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30 (6.28)</w:t>
            </w:r>
            <w:commentRangeEnd w:id="0"/>
            <w:r>
              <w:rPr>
                <w:rStyle w:val="CommentReference"/>
                <w:rFonts w:ascii="Times New Roman" w:eastAsia="Times New Roman" w:hAnsi="Times New Roman" w:cs="Times New Roman"/>
                <w:kern w:val="0"/>
                <w:lang w:val="es-CO" w:eastAsia="es-ES"/>
                <w14:ligatures w14:val="none"/>
              </w:rPr>
              <w:commentReference w:id="0"/>
            </w:r>
          </w:p>
        </w:tc>
      </w:tr>
      <w:tr w:rsidR="007A1920" w:rsidRPr="00602563" w14:paraId="474F3F24" w14:textId="77777777" w:rsidTr="007A1920">
        <w:trPr>
          <w:gridAfter w:val="1"/>
          <w:trHeight w:val="331"/>
        </w:trPr>
        <w:tc>
          <w:tcPr>
            <w:tcW w:w="7186" w:type="dxa"/>
            <w:gridSpan w:val="2"/>
            <w:tcBorders>
              <w:top w:val="single" w:sz="4" w:space="0" w:color="000000"/>
              <w:bottom w:val="single" w:sz="8" w:space="0" w:color="000000"/>
            </w:tcBorders>
            <w:tcMar>
              <w:top w:w="0" w:type="dxa"/>
              <w:left w:w="108" w:type="dxa"/>
              <w:bottom w:w="0" w:type="dxa"/>
              <w:right w:w="108" w:type="dxa"/>
            </w:tcMar>
            <w:hideMark/>
          </w:tcPr>
          <w:p w14:paraId="0B2EDE8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Pr>
                <w:rFonts w:ascii="Palatino Linotype" w:eastAsia="Times New Roman" w:hAnsi="Palatino Linotype" w:cs="Times New Roman"/>
                <w:b/>
                <w:bCs/>
                <w:color w:val="000000"/>
                <w:kern w:val="0"/>
                <w:sz w:val="21"/>
                <w:szCs w:val="21"/>
                <w14:ligatures w14:val="none"/>
              </w:rPr>
              <w:t>N</w:t>
            </w:r>
            <w:r w:rsidRPr="00602563">
              <w:rPr>
                <w:rFonts w:ascii="Palatino Linotype" w:eastAsia="Times New Roman" w:hAnsi="Palatino Linotype" w:cs="Times New Roman"/>
                <w:b/>
                <w:bCs/>
                <w:color w:val="000000"/>
                <w:kern w:val="0"/>
                <w:sz w:val="21"/>
                <w:szCs w:val="21"/>
                <w14:ligatures w14:val="none"/>
              </w:rPr>
              <w:t>eoadjuvant endocrine 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4" w:space="0" w:color="000000"/>
              <w:bottom w:val="single" w:sz="8" w:space="0" w:color="000000"/>
            </w:tcBorders>
            <w:tcMar>
              <w:top w:w="0" w:type="dxa"/>
              <w:left w:w="108" w:type="dxa"/>
              <w:bottom w:w="0" w:type="dxa"/>
              <w:right w:w="108" w:type="dxa"/>
            </w:tcMar>
            <w:hideMark/>
          </w:tcPr>
          <w:p w14:paraId="201B030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31 (3.72)</w:t>
            </w:r>
          </w:p>
        </w:tc>
      </w:tr>
      <w:tr w:rsidR="007A1920" w:rsidRPr="00602563" w14:paraId="579C93D3" w14:textId="77777777" w:rsidTr="007A1920">
        <w:trPr>
          <w:gridAfter w:val="1"/>
          <w:trHeight w:val="276"/>
        </w:trPr>
        <w:tc>
          <w:tcPr>
            <w:tcW w:w="3839" w:type="dxa"/>
            <w:tcBorders>
              <w:top w:val="single" w:sz="8" w:space="0" w:color="000000"/>
            </w:tcBorders>
            <w:tcMar>
              <w:top w:w="0" w:type="dxa"/>
              <w:left w:w="108" w:type="dxa"/>
              <w:bottom w:w="0" w:type="dxa"/>
              <w:right w:w="108" w:type="dxa"/>
            </w:tcMar>
          </w:tcPr>
          <w:p w14:paraId="463612A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Type of breast surgery</w:t>
            </w:r>
            <w:r w:rsidRPr="00602563">
              <w:rPr>
                <w:rFonts w:ascii="Palatino Linotype" w:eastAsia="Times New Roman" w:hAnsi="Palatino Linotype" w:cs="Times New Roman"/>
                <w:b/>
                <w:bCs/>
                <w:color w:val="000000"/>
                <w:kern w:val="0"/>
                <w:sz w:val="13"/>
                <w:szCs w:val="13"/>
                <w:vertAlign w:val="superscript"/>
                <w14:ligatures w14:val="none"/>
              </w:rPr>
              <w:t xml:space="preserve"> †</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tcBorders>
            <w:tcMar>
              <w:top w:w="0" w:type="dxa"/>
              <w:left w:w="108" w:type="dxa"/>
              <w:bottom w:w="0" w:type="dxa"/>
              <w:right w:w="108" w:type="dxa"/>
            </w:tcMar>
          </w:tcPr>
          <w:p w14:paraId="2375A06D"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p>
        </w:tc>
        <w:tc>
          <w:tcPr>
            <w:tcW w:w="2439" w:type="dxa"/>
            <w:tcBorders>
              <w:top w:val="single" w:sz="8" w:space="0" w:color="000000"/>
            </w:tcBorders>
            <w:tcMar>
              <w:top w:w="0" w:type="dxa"/>
              <w:left w:w="108" w:type="dxa"/>
              <w:bottom w:w="0" w:type="dxa"/>
              <w:right w:w="108" w:type="dxa"/>
            </w:tcMar>
          </w:tcPr>
          <w:p w14:paraId="72984BB0"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p>
        </w:tc>
      </w:tr>
      <w:tr w:rsidR="007A1920" w:rsidRPr="00602563" w14:paraId="18DAAE5F" w14:textId="77777777" w:rsidTr="007A1920">
        <w:trPr>
          <w:gridAfter w:val="1"/>
          <w:trHeight w:val="276"/>
        </w:trPr>
        <w:tc>
          <w:tcPr>
            <w:tcW w:w="3839" w:type="dxa"/>
            <w:tcMar>
              <w:top w:w="0" w:type="dxa"/>
              <w:left w:w="108" w:type="dxa"/>
              <w:bottom w:w="0" w:type="dxa"/>
              <w:right w:w="108" w:type="dxa"/>
            </w:tcMar>
          </w:tcPr>
          <w:p w14:paraId="2CDFED4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259E9EA7"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Modified radical mastectomy</w:t>
            </w:r>
          </w:p>
        </w:tc>
        <w:tc>
          <w:tcPr>
            <w:tcW w:w="2439" w:type="dxa"/>
            <w:tcMar>
              <w:top w:w="0" w:type="dxa"/>
              <w:left w:w="108" w:type="dxa"/>
              <w:bottom w:w="0" w:type="dxa"/>
              <w:right w:w="108" w:type="dxa"/>
            </w:tcMar>
          </w:tcPr>
          <w:p w14:paraId="513928AF"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0"/>
                <w:szCs w:val="20"/>
                <w14:ligatures w14:val="none"/>
              </w:rPr>
              <w:t>287 (34.4)</w:t>
            </w:r>
          </w:p>
        </w:tc>
      </w:tr>
      <w:tr w:rsidR="007A1920" w:rsidRPr="00602563" w14:paraId="7E89AE97" w14:textId="77777777" w:rsidTr="007A1920">
        <w:trPr>
          <w:gridAfter w:val="1"/>
          <w:trHeight w:val="276"/>
        </w:trPr>
        <w:tc>
          <w:tcPr>
            <w:tcW w:w="3839" w:type="dxa"/>
            <w:tcMar>
              <w:top w:w="0" w:type="dxa"/>
              <w:left w:w="108" w:type="dxa"/>
              <w:bottom w:w="0" w:type="dxa"/>
              <w:right w:w="108" w:type="dxa"/>
            </w:tcMar>
          </w:tcPr>
          <w:p w14:paraId="1860427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3FE27B70"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Quadrantectomy + SLNB</w:t>
            </w:r>
          </w:p>
        </w:tc>
        <w:tc>
          <w:tcPr>
            <w:tcW w:w="2439" w:type="dxa"/>
            <w:tcMar>
              <w:top w:w="0" w:type="dxa"/>
              <w:left w:w="108" w:type="dxa"/>
              <w:bottom w:w="0" w:type="dxa"/>
              <w:right w:w="108" w:type="dxa"/>
            </w:tcMar>
          </w:tcPr>
          <w:p w14:paraId="6EA657F8"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260 (31.2)</w:t>
            </w:r>
          </w:p>
        </w:tc>
      </w:tr>
      <w:tr w:rsidR="007A1920" w:rsidRPr="00602563" w14:paraId="62978DD5" w14:textId="77777777" w:rsidTr="007A1920">
        <w:trPr>
          <w:gridAfter w:val="1"/>
          <w:trHeight w:val="276"/>
        </w:trPr>
        <w:tc>
          <w:tcPr>
            <w:tcW w:w="3839" w:type="dxa"/>
            <w:tcMar>
              <w:top w:w="0" w:type="dxa"/>
              <w:left w:w="108" w:type="dxa"/>
              <w:bottom w:w="0" w:type="dxa"/>
              <w:right w:w="108" w:type="dxa"/>
            </w:tcMar>
          </w:tcPr>
          <w:p w14:paraId="02FBCD7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11063CC1"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Quadrantectomy + ALND</w:t>
            </w:r>
          </w:p>
        </w:tc>
        <w:tc>
          <w:tcPr>
            <w:tcW w:w="2439" w:type="dxa"/>
            <w:tcMar>
              <w:top w:w="0" w:type="dxa"/>
              <w:left w:w="108" w:type="dxa"/>
              <w:bottom w:w="0" w:type="dxa"/>
              <w:right w:w="108" w:type="dxa"/>
            </w:tcMar>
          </w:tcPr>
          <w:p w14:paraId="37556885"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203 (24.4)</w:t>
            </w:r>
          </w:p>
        </w:tc>
      </w:tr>
      <w:tr w:rsidR="007A1920" w:rsidRPr="00602563" w14:paraId="249702EB" w14:textId="77777777" w:rsidTr="007A1920">
        <w:trPr>
          <w:gridAfter w:val="1"/>
          <w:trHeight w:val="276"/>
        </w:trPr>
        <w:tc>
          <w:tcPr>
            <w:tcW w:w="3839" w:type="dxa"/>
            <w:tcMar>
              <w:top w:w="0" w:type="dxa"/>
              <w:left w:w="108" w:type="dxa"/>
              <w:bottom w:w="0" w:type="dxa"/>
              <w:right w:w="108" w:type="dxa"/>
            </w:tcMar>
          </w:tcPr>
          <w:p w14:paraId="6B29043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1F9371AC"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Simple mastectomy + SLNB</w:t>
            </w:r>
          </w:p>
        </w:tc>
        <w:tc>
          <w:tcPr>
            <w:tcW w:w="2439" w:type="dxa"/>
            <w:tcMar>
              <w:top w:w="0" w:type="dxa"/>
              <w:left w:w="108" w:type="dxa"/>
              <w:bottom w:w="0" w:type="dxa"/>
              <w:right w:w="108" w:type="dxa"/>
            </w:tcMar>
          </w:tcPr>
          <w:p w14:paraId="767C9618"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67 (8.00)</w:t>
            </w:r>
          </w:p>
        </w:tc>
      </w:tr>
      <w:tr w:rsidR="007A1920" w:rsidRPr="00602563" w14:paraId="53A659D9" w14:textId="77777777" w:rsidTr="007A1920">
        <w:trPr>
          <w:gridAfter w:val="1"/>
          <w:trHeight w:val="276"/>
        </w:trPr>
        <w:tc>
          <w:tcPr>
            <w:tcW w:w="3839" w:type="dxa"/>
            <w:tcMar>
              <w:top w:w="0" w:type="dxa"/>
              <w:left w:w="108" w:type="dxa"/>
              <w:bottom w:w="0" w:type="dxa"/>
              <w:right w:w="108" w:type="dxa"/>
            </w:tcMar>
          </w:tcPr>
          <w:p w14:paraId="5057AFF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tcPr>
          <w:p w14:paraId="4F05575D"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Oncologic mammoplasty + SLNB</w:t>
            </w:r>
          </w:p>
        </w:tc>
        <w:tc>
          <w:tcPr>
            <w:tcW w:w="2439" w:type="dxa"/>
            <w:tcMar>
              <w:top w:w="0" w:type="dxa"/>
              <w:left w:w="108" w:type="dxa"/>
              <w:bottom w:w="0" w:type="dxa"/>
              <w:right w:w="108" w:type="dxa"/>
            </w:tcMar>
          </w:tcPr>
          <w:p w14:paraId="1AF56813" w14:textId="77777777" w:rsidR="007A1920" w:rsidRPr="00602563" w:rsidRDefault="007A1920" w:rsidP="00CF405A">
            <w:pPr>
              <w:spacing w:after="0" w:line="240" w:lineRule="auto"/>
              <w:rPr>
                <w:rFonts w:ascii="Palatino Linotype" w:eastAsia="Times New Roman" w:hAnsi="Palatino Linotype" w:cs="Times New Roman"/>
                <w:i/>
                <w:iCs/>
                <w:color w:val="000000"/>
                <w:kern w:val="0"/>
                <w:sz w:val="21"/>
                <w:szCs w:val="21"/>
                <w14:ligatures w14:val="none"/>
              </w:rPr>
            </w:pPr>
            <w:r w:rsidRPr="00602563">
              <w:rPr>
                <w:rFonts w:ascii="Palatino Linotype" w:eastAsia="Times New Roman" w:hAnsi="Palatino Linotype" w:cs="Times New Roman"/>
                <w:color w:val="000000"/>
                <w:kern w:val="0"/>
                <w:sz w:val="21"/>
                <w:szCs w:val="21"/>
                <w14:ligatures w14:val="none"/>
              </w:rPr>
              <w:t>9 (1.10)</w:t>
            </w:r>
          </w:p>
        </w:tc>
      </w:tr>
      <w:tr w:rsidR="007A1920" w:rsidRPr="00602563" w14:paraId="0F8FA2D4" w14:textId="77777777" w:rsidTr="007A1920">
        <w:trPr>
          <w:gridAfter w:val="1"/>
          <w:trHeight w:val="276"/>
        </w:trPr>
        <w:tc>
          <w:tcPr>
            <w:tcW w:w="3839" w:type="dxa"/>
            <w:tcMar>
              <w:top w:w="0" w:type="dxa"/>
              <w:left w:w="108" w:type="dxa"/>
              <w:bottom w:w="0" w:type="dxa"/>
              <w:right w:w="108" w:type="dxa"/>
            </w:tcMar>
            <w:hideMark/>
          </w:tcPr>
          <w:p w14:paraId="2FD1B57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1B2B9C0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Oncologic mammoplasty + ALND</w:t>
            </w:r>
          </w:p>
        </w:tc>
        <w:tc>
          <w:tcPr>
            <w:tcW w:w="2439" w:type="dxa"/>
            <w:tcMar>
              <w:top w:w="0" w:type="dxa"/>
              <w:left w:w="108" w:type="dxa"/>
              <w:bottom w:w="0" w:type="dxa"/>
              <w:right w:w="108" w:type="dxa"/>
            </w:tcMar>
            <w:hideMark/>
          </w:tcPr>
          <w:p w14:paraId="730E884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4 (0.50)</w:t>
            </w:r>
          </w:p>
        </w:tc>
      </w:tr>
      <w:tr w:rsidR="007A1920" w:rsidRPr="00602563" w14:paraId="680E34AB"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146662F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36EFE0F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Others</w:t>
            </w:r>
          </w:p>
        </w:tc>
        <w:tc>
          <w:tcPr>
            <w:tcW w:w="2439" w:type="dxa"/>
            <w:tcBorders>
              <w:bottom w:val="single" w:sz="8" w:space="0" w:color="000000"/>
            </w:tcBorders>
            <w:tcMar>
              <w:top w:w="0" w:type="dxa"/>
              <w:left w:w="108" w:type="dxa"/>
              <w:bottom w:w="0" w:type="dxa"/>
              <w:right w:w="108" w:type="dxa"/>
            </w:tcMar>
            <w:hideMark/>
          </w:tcPr>
          <w:p w14:paraId="2B9757C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21"/>
                <w:szCs w:val="21"/>
                <w14:ligatures w14:val="none"/>
              </w:rPr>
              <w:t>3 (0.40)</w:t>
            </w:r>
          </w:p>
        </w:tc>
      </w:tr>
      <w:tr w:rsidR="007A1920" w:rsidRPr="00602563" w14:paraId="08426ED4" w14:textId="77777777" w:rsidTr="007A1920">
        <w:trPr>
          <w:gridAfter w:val="1"/>
          <w:trHeight w:val="276"/>
        </w:trPr>
        <w:tc>
          <w:tcPr>
            <w:tcW w:w="3839" w:type="dxa"/>
            <w:tcBorders>
              <w:top w:val="single" w:sz="8" w:space="0" w:color="000000"/>
            </w:tcBorders>
            <w:tcMar>
              <w:top w:w="0" w:type="dxa"/>
              <w:left w:w="108" w:type="dxa"/>
              <w:bottom w:w="0" w:type="dxa"/>
              <w:right w:w="108" w:type="dxa"/>
            </w:tcMar>
            <w:hideMark/>
          </w:tcPr>
          <w:p w14:paraId="04076EB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Additional surgical treatments</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tcBorders>
            <w:tcMar>
              <w:top w:w="0" w:type="dxa"/>
              <w:left w:w="108" w:type="dxa"/>
              <w:bottom w:w="0" w:type="dxa"/>
              <w:right w:w="108" w:type="dxa"/>
            </w:tcMar>
            <w:hideMark/>
          </w:tcPr>
          <w:p w14:paraId="2C305B1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tcBorders>
            <w:tcMar>
              <w:top w:w="0" w:type="dxa"/>
              <w:left w:w="108" w:type="dxa"/>
              <w:bottom w:w="0" w:type="dxa"/>
              <w:right w:w="108" w:type="dxa"/>
            </w:tcMar>
            <w:hideMark/>
          </w:tcPr>
          <w:p w14:paraId="5622988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96 (11.5)</w:t>
            </w:r>
          </w:p>
        </w:tc>
      </w:tr>
      <w:tr w:rsidR="007A1920" w:rsidRPr="00602563" w14:paraId="03411B5D" w14:textId="77777777" w:rsidTr="007A1920">
        <w:trPr>
          <w:gridAfter w:val="1"/>
          <w:trHeight w:val="276"/>
        </w:trPr>
        <w:tc>
          <w:tcPr>
            <w:tcW w:w="3839" w:type="dxa"/>
            <w:tcMar>
              <w:top w:w="0" w:type="dxa"/>
              <w:left w:w="108" w:type="dxa"/>
              <w:bottom w:w="0" w:type="dxa"/>
              <w:right w:w="108" w:type="dxa"/>
            </w:tcMar>
            <w:hideMark/>
          </w:tcPr>
          <w:p w14:paraId="77A2713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Type of treatments</w:t>
            </w:r>
          </w:p>
        </w:tc>
        <w:tc>
          <w:tcPr>
            <w:tcW w:w="3347" w:type="dxa"/>
            <w:tcMar>
              <w:top w:w="0" w:type="dxa"/>
              <w:left w:w="108" w:type="dxa"/>
              <w:bottom w:w="0" w:type="dxa"/>
              <w:right w:w="108" w:type="dxa"/>
            </w:tcMar>
            <w:hideMark/>
          </w:tcPr>
          <w:p w14:paraId="2DDD24C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only</w:t>
            </w:r>
          </w:p>
        </w:tc>
        <w:tc>
          <w:tcPr>
            <w:tcW w:w="2439" w:type="dxa"/>
            <w:tcMar>
              <w:top w:w="0" w:type="dxa"/>
              <w:left w:w="108" w:type="dxa"/>
              <w:bottom w:w="0" w:type="dxa"/>
              <w:right w:w="108" w:type="dxa"/>
            </w:tcMar>
            <w:hideMark/>
          </w:tcPr>
          <w:p w14:paraId="17D937D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55 (57.3)</w:t>
            </w:r>
          </w:p>
        </w:tc>
      </w:tr>
      <w:tr w:rsidR="007A1920" w:rsidRPr="00602563" w14:paraId="49000966" w14:textId="77777777" w:rsidTr="007A1920">
        <w:trPr>
          <w:gridAfter w:val="1"/>
          <w:trHeight w:val="276"/>
        </w:trPr>
        <w:tc>
          <w:tcPr>
            <w:tcW w:w="3839" w:type="dxa"/>
            <w:tcMar>
              <w:top w:w="0" w:type="dxa"/>
              <w:left w:w="108" w:type="dxa"/>
              <w:bottom w:w="0" w:type="dxa"/>
              <w:right w:w="108" w:type="dxa"/>
            </w:tcMar>
            <w:hideMark/>
          </w:tcPr>
          <w:p w14:paraId="73C37ED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DE6304A"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Margin expansión only</w:t>
            </w:r>
          </w:p>
        </w:tc>
        <w:tc>
          <w:tcPr>
            <w:tcW w:w="2439" w:type="dxa"/>
            <w:tcMar>
              <w:top w:w="0" w:type="dxa"/>
              <w:left w:w="108" w:type="dxa"/>
              <w:bottom w:w="0" w:type="dxa"/>
              <w:right w:w="108" w:type="dxa"/>
            </w:tcMar>
            <w:hideMark/>
          </w:tcPr>
          <w:p w14:paraId="72D74F0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29 (30.2)</w:t>
            </w:r>
          </w:p>
        </w:tc>
      </w:tr>
      <w:tr w:rsidR="007A1920" w:rsidRPr="00602563" w14:paraId="5240AE5A" w14:textId="77777777" w:rsidTr="007A1920">
        <w:trPr>
          <w:gridAfter w:val="1"/>
          <w:trHeight w:val="276"/>
        </w:trPr>
        <w:tc>
          <w:tcPr>
            <w:tcW w:w="3839" w:type="dxa"/>
            <w:tcMar>
              <w:top w:w="0" w:type="dxa"/>
              <w:left w:w="108" w:type="dxa"/>
              <w:bottom w:w="0" w:type="dxa"/>
              <w:right w:w="108" w:type="dxa"/>
            </w:tcMar>
            <w:hideMark/>
          </w:tcPr>
          <w:p w14:paraId="217574EF"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213B75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Simple mastectomy</w:t>
            </w:r>
          </w:p>
        </w:tc>
        <w:tc>
          <w:tcPr>
            <w:tcW w:w="2439" w:type="dxa"/>
            <w:tcMar>
              <w:top w:w="0" w:type="dxa"/>
              <w:left w:w="108" w:type="dxa"/>
              <w:bottom w:w="0" w:type="dxa"/>
              <w:right w:w="108" w:type="dxa"/>
            </w:tcMar>
            <w:hideMark/>
          </w:tcPr>
          <w:p w14:paraId="396E29A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6 (6.25)</w:t>
            </w:r>
          </w:p>
        </w:tc>
      </w:tr>
      <w:tr w:rsidR="007A1920" w:rsidRPr="00602563" w14:paraId="77C8E6CF" w14:textId="77777777" w:rsidTr="007A1920">
        <w:trPr>
          <w:gridAfter w:val="1"/>
          <w:trHeight w:val="276"/>
        </w:trPr>
        <w:tc>
          <w:tcPr>
            <w:tcW w:w="3839" w:type="dxa"/>
            <w:tcMar>
              <w:top w:w="0" w:type="dxa"/>
              <w:left w:w="108" w:type="dxa"/>
              <w:bottom w:w="0" w:type="dxa"/>
              <w:right w:w="108" w:type="dxa"/>
            </w:tcMar>
            <w:hideMark/>
          </w:tcPr>
          <w:p w14:paraId="166DA5D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0780C9B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 margin expansion</w:t>
            </w:r>
          </w:p>
        </w:tc>
        <w:tc>
          <w:tcPr>
            <w:tcW w:w="2439" w:type="dxa"/>
            <w:tcMar>
              <w:top w:w="0" w:type="dxa"/>
              <w:left w:w="108" w:type="dxa"/>
              <w:bottom w:w="0" w:type="dxa"/>
              <w:right w:w="108" w:type="dxa"/>
            </w:tcMar>
            <w:hideMark/>
          </w:tcPr>
          <w:p w14:paraId="72C7D87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5 (5.21)</w:t>
            </w:r>
          </w:p>
        </w:tc>
      </w:tr>
      <w:tr w:rsidR="007A1920" w:rsidRPr="00602563" w14:paraId="3DC6957D"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714B844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791E024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ALND + simple mastectomy</w:t>
            </w:r>
          </w:p>
        </w:tc>
        <w:tc>
          <w:tcPr>
            <w:tcW w:w="2439" w:type="dxa"/>
            <w:tcBorders>
              <w:bottom w:val="single" w:sz="8" w:space="0" w:color="000000"/>
            </w:tcBorders>
            <w:tcMar>
              <w:top w:w="0" w:type="dxa"/>
              <w:left w:w="108" w:type="dxa"/>
              <w:bottom w:w="0" w:type="dxa"/>
              <w:right w:w="108" w:type="dxa"/>
            </w:tcMar>
            <w:hideMark/>
          </w:tcPr>
          <w:p w14:paraId="0F4AA5C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 (1.04)</w:t>
            </w:r>
          </w:p>
        </w:tc>
      </w:tr>
      <w:tr w:rsidR="007A1920" w:rsidRPr="00602563" w14:paraId="39DD75D2" w14:textId="77777777" w:rsidTr="007A1920">
        <w:trPr>
          <w:trHeight w:val="331"/>
        </w:trPr>
        <w:tc>
          <w:tcPr>
            <w:tcW w:w="7186" w:type="dxa"/>
            <w:gridSpan w:val="2"/>
            <w:tcBorders>
              <w:top w:val="single" w:sz="8" w:space="0" w:color="000000"/>
            </w:tcBorders>
            <w:tcMar>
              <w:top w:w="0" w:type="dxa"/>
              <w:left w:w="108" w:type="dxa"/>
              <w:bottom w:w="0" w:type="dxa"/>
              <w:right w:w="108" w:type="dxa"/>
            </w:tcMar>
            <w:hideMark/>
          </w:tcPr>
          <w:p w14:paraId="0661C03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systemic 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2439" w:type="dxa"/>
            <w:tcBorders>
              <w:top w:val="single" w:sz="8" w:space="0" w:color="000000"/>
            </w:tcBorders>
            <w:tcMar>
              <w:top w:w="0" w:type="dxa"/>
              <w:left w:w="108" w:type="dxa"/>
              <w:bottom w:w="0" w:type="dxa"/>
              <w:right w:w="108" w:type="dxa"/>
            </w:tcMar>
            <w:hideMark/>
          </w:tcPr>
          <w:p w14:paraId="6F17D5B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0" w:type="auto"/>
            <w:tcBorders>
              <w:top w:val="single" w:sz="8" w:space="0" w:color="000000"/>
            </w:tcBorders>
          </w:tcPr>
          <w:p w14:paraId="006EE896" w14:textId="77777777" w:rsidR="007A1920" w:rsidRPr="00602563" w:rsidRDefault="007A1920" w:rsidP="00CF405A">
            <w:r w:rsidRPr="00602563">
              <w:rPr>
                <w:rFonts w:ascii="Palatino Linotype" w:eastAsia="Times New Roman" w:hAnsi="Palatino Linotype" w:cs="Times New Roman"/>
                <w:b/>
                <w:bCs/>
                <w:color w:val="000000"/>
                <w:kern w:val="0"/>
                <w:sz w:val="20"/>
                <w:szCs w:val="20"/>
                <w14:ligatures w14:val="none"/>
              </w:rPr>
              <w:t>355 (42.6)</w:t>
            </w:r>
          </w:p>
        </w:tc>
      </w:tr>
      <w:tr w:rsidR="007A1920" w:rsidRPr="00602563" w14:paraId="4E6C00B3" w14:textId="77777777" w:rsidTr="007A1920">
        <w:trPr>
          <w:gridAfter w:val="1"/>
          <w:trHeight w:val="276"/>
        </w:trPr>
        <w:tc>
          <w:tcPr>
            <w:tcW w:w="3839" w:type="dxa"/>
            <w:tcMar>
              <w:top w:w="0" w:type="dxa"/>
              <w:left w:w="108" w:type="dxa"/>
              <w:bottom w:w="0" w:type="dxa"/>
              <w:right w:w="108" w:type="dxa"/>
            </w:tcMar>
            <w:hideMark/>
          </w:tcPr>
          <w:p w14:paraId="7FFDBD0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44497C4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Chemotherapy alone</w:t>
            </w:r>
          </w:p>
        </w:tc>
        <w:tc>
          <w:tcPr>
            <w:tcW w:w="2439" w:type="dxa"/>
            <w:tcMar>
              <w:top w:w="0" w:type="dxa"/>
              <w:left w:w="108" w:type="dxa"/>
              <w:bottom w:w="0" w:type="dxa"/>
              <w:right w:w="108" w:type="dxa"/>
            </w:tcMar>
            <w:hideMark/>
          </w:tcPr>
          <w:p w14:paraId="5231754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174 (49.0)</w:t>
            </w:r>
          </w:p>
        </w:tc>
      </w:tr>
      <w:tr w:rsidR="007A1920" w:rsidRPr="00602563" w14:paraId="17C0416F" w14:textId="77777777" w:rsidTr="007A1920">
        <w:trPr>
          <w:gridAfter w:val="1"/>
          <w:trHeight w:val="276"/>
        </w:trPr>
        <w:tc>
          <w:tcPr>
            <w:tcW w:w="3839" w:type="dxa"/>
            <w:tcMar>
              <w:top w:w="0" w:type="dxa"/>
              <w:left w:w="108" w:type="dxa"/>
              <w:bottom w:w="0" w:type="dxa"/>
              <w:right w:w="108" w:type="dxa"/>
            </w:tcMar>
            <w:hideMark/>
          </w:tcPr>
          <w:p w14:paraId="2063B4D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2C1C449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Target therapy alone</w:t>
            </w:r>
          </w:p>
        </w:tc>
        <w:tc>
          <w:tcPr>
            <w:tcW w:w="2439" w:type="dxa"/>
            <w:tcMar>
              <w:top w:w="0" w:type="dxa"/>
              <w:left w:w="108" w:type="dxa"/>
              <w:bottom w:w="0" w:type="dxa"/>
              <w:right w:w="108" w:type="dxa"/>
            </w:tcMar>
            <w:hideMark/>
          </w:tcPr>
          <w:p w14:paraId="53810597"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147 (41.4)</w:t>
            </w:r>
          </w:p>
        </w:tc>
      </w:tr>
      <w:tr w:rsidR="007A1920" w:rsidRPr="00602563" w14:paraId="55F37777" w14:textId="77777777" w:rsidTr="007A1920">
        <w:trPr>
          <w:gridAfter w:val="1"/>
          <w:trHeight w:val="276"/>
        </w:trPr>
        <w:tc>
          <w:tcPr>
            <w:tcW w:w="3839" w:type="dxa"/>
            <w:tcMar>
              <w:top w:w="0" w:type="dxa"/>
              <w:left w:w="108" w:type="dxa"/>
              <w:bottom w:w="0" w:type="dxa"/>
              <w:right w:w="108" w:type="dxa"/>
            </w:tcMar>
            <w:hideMark/>
          </w:tcPr>
          <w:p w14:paraId="459AEF0E"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63D1BA9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Chemotherapy + target therapy</w:t>
            </w:r>
          </w:p>
        </w:tc>
        <w:tc>
          <w:tcPr>
            <w:tcW w:w="2439" w:type="dxa"/>
            <w:tcMar>
              <w:top w:w="0" w:type="dxa"/>
              <w:left w:w="108" w:type="dxa"/>
              <w:bottom w:w="0" w:type="dxa"/>
              <w:right w:w="108" w:type="dxa"/>
            </w:tcMar>
            <w:hideMark/>
          </w:tcPr>
          <w:p w14:paraId="7FF0DA4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16 (4.51)</w:t>
            </w:r>
          </w:p>
        </w:tc>
      </w:tr>
      <w:tr w:rsidR="007A1920" w:rsidRPr="00602563" w14:paraId="73039510"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783AF29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087A377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8" w:space="0" w:color="000000"/>
            </w:tcBorders>
            <w:tcMar>
              <w:top w:w="0" w:type="dxa"/>
              <w:left w:w="108" w:type="dxa"/>
              <w:bottom w:w="0" w:type="dxa"/>
              <w:right w:w="108" w:type="dxa"/>
            </w:tcMar>
            <w:hideMark/>
          </w:tcPr>
          <w:p w14:paraId="53AEC68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18 (5.07)</w:t>
            </w:r>
          </w:p>
        </w:tc>
      </w:tr>
      <w:tr w:rsidR="007A1920" w:rsidRPr="00602563" w14:paraId="2B4539E1" w14:textId="77777777" w:rsidTr="007A1920">
        <w:trPr>
          <w:gridAfter w:val="1"/>
          <w:trHeight w:val="276"/>
        </w:trPr>
        <w:tc>
          <w:tcPr>
            <w:tcW w:w="3839" w:type="dxa"/>
            <w:tcBorders>
              <w:top w:val="single" w:sz="8" w:space="0" w:color="000000"/>
            </w:tcBorders>
            <w:tcMar>
              <w:top w:w="0" w:type="dxa"/>
              <w:left w:w="108" w:type="dxa"/>
              <w:bottom w:w="0" w:type="dxa"/>
              <w:right w:w="108" w:type="dxa"/>
            </w:tcMar>
            <w:hideMark/>
          </w:tcPr>
          <w:p w14:paraId="6B7A8D7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endocrine therapy,</w:t>
            </w:r>
            <w:r w:rsidRPr="00602563">
              <w:rPr>
                <w:rFonts w:ascii="Palatino Linotype" w:eastAsia="Times New Roman" w:hAnsi="Palatino Linotype" w:cs="Times New Roman"/>
                <w:b/>
                <w:bCs/>
                <w:color w:val="000000"/>
                <w:kern w:val="0"/>
                <w:sz w:val="13"/>
                <w:szCs w:val="13"/>
                <w:vertAlign w:val="superscript"/>
                <w14:ligatures w14:val="none"/>
              </w:rPr>
              <w:t xml:space="preserve"> †</w:t>
            </w:r>
            <w:r w:rsidRPr="00602563">
              <w:rPr>
                <w:rFonts w:ascii="Palatino Linotype" w:eastAsia="Times New Roman" w:hAnsi="Palatino Linotype" w:cs="Times New Roman"/>
                <w:b/>
                <w:bCs/>
                <w:color w:val="000000"/>
                <w:kern w:val="0"/>
                <w:sz w:val="21"/>
                <w:szCs w:val="21"/>
                <w14:ligatures w14:val="none"/>
              </w:rPr>
              <w:t xml:space="preserve"> n (%)</w:t>
            </w:r>
          </w:p>
        </w:tc>
        <w:tc>
          <w:tcPr>
            <w:tcW w:w="3347" w:type="dxa"/>
            <w:tcBorders>
              <w:top w:val="single" w:sz="8" w:space="0" w:color="000000"/>
            </w:tcBorders>
            <w:tcMar>
              <w:top w:w="0" w:type="dxa"/>
              <w:left w:w="108" w:type="dxa"/>
              <w:bottom w:w="0" w:type="dxa"/>
              <w:right w:w="108" w:type="dxa"/>
            </w:tcMar>
            <w:hideMark/>
          </w:tcPr>
          <w:p w14:paraId="5791AB14"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tcBorders>
            <w:tcMar>
              <w:top w:w="0" w:type="dxa"/>
              <w:left w:w="108" w:type="dxa"/>
              <w:bottom w:w="0" w:type="dxa"/>
              <w:right w:w="108" w:type="dxa"/>
            </w:tcMar>
            <w:hideMark/>
          </w:tcPr>
          <w:p w14:paraId="0A5CF59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675 (81.0)</w:t>
            </w:r>
          </w:p>
        </w:tc>
      </w:tr>
      <w:tr w:rsidR="007A1920" w:rsidRPr="00602563" w14:paraId="1B669742" w14:textId="77777777" w:rsidTr="007A1920">
        <w:trPr>
          <w:gridAfter w:val="1"/>
          <w:trHeight w:val="276"/>
        </w:trPr>
        <w:tc>
          <w:tcPr>
            <w:tcW w:w="3839" w:type="dxa"/>
            <w:tcMar>
              <w:top w:w="0" w:type="dxa"/>
              <w:left w:w="108" w:type="dxa"/>
              <w:bottom w:w="0" w:type="dxa"/>
              <w:right w:w="108" w:type="dxa"/>
            </w:tcMar>
            <w:hideMark/>
          </w:tcPr>
          <w:p w14:paraId="19CA38C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7DF1853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AI</w:t>
            </w:r>
          </w:p>
        </w:tc>
        <w:tc>
          <w:tcPr>
            <w:tcW w:w="2439" w:type="dxa"/>
            <w:tcMar>
              <w:top w:w="0" w:type="dxa"/>
              <w:left w:w="108" w:type="dxa"/>
              <w:bottom w:w="0" w:type="dxa"/>
              <w:right w:w="108" w:type="dxa"/>
            </w:tcMar>
            <w:hideMark/>
          </w:tcPr>
          <w:p w14:paraId="35911F32"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278 (41.2)</w:t>
            </w:r>
          </w:p>
        </w:tc>
      </w:tr>
      <w:tr w:rsidR="007A1920" w:rsidRPr="00602563" w14:paraId="74AC3110" w14:textId="77777777" w:rsidTr="007A1920">
        <w:trPr>
          <w:gridAfter w:val="1"/>
          <w:trHeight w:val="276"/>
        </w:trPr>
        <w:tc>
          <w:tcPr>
            <w:tcW w:w="3839" w:type="dxa"/>
            <w:tcMar>
              <w:top w:w="0" w:type="dxa"/>
              <w:left w:w="108" w:type="dxa"/>
              <w:bottom w:w="0" w:type="dxa"/>
              <w:right w:w="108" w:type="dxa"/>
            </w:tcMar>
            <w:hideMark/>
          </w:tcPr>
          <w:p w14:paraId="49C58D8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3AD24F2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Tamoxifen</w:t>
            </w:r>
          </w:p>
        </w:tc>
        <w:tc>
          <w:tcPr>
            <w:tcW w:w="2439" w:type="dxa"/>
            <w:tcMar>
              <w:top w:w="0" w:type="dxa"/>
              <w:left w:w="108" w:type="dxa"/>
              <w:bottom w:w="0" w:type="dxa"/>
              <w:right w:w="108" w:type="dxa"/>
            </w:tcMar>
            <w:hideMark/>
          </w:tcPr>
          <w:p w14:paraId="3132607C"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229 (33.9)</w:t>
            </w:r>
          </w:p>
        </w:tc>
      </w:tr>
      <w:tr w:rsidR="007A1920" w:rsidRPr="00602563" w14:paraId="7C8F3629" w14:textId="77777777" w:rsidTr="007A1920">
        <w:trPr>
          <w:gridAfter w:val="1"/>
          <w:trHeight w:val="276"/>
        </w:trPr>
        <w:tc>
          <w:tcPr>
            <w:tcW w:w="3839" w:type="dxa"/>
            <w:tcMar>
              <w:top w:w="0" w:type="dxa"/>
              <w:left w:w="108" w:type="dxa"/>
              <w:bottom w:w="0" w:type="dxa"/>
              <w:right w:w="108" w:type="dxa"/>
            </w:tcMar>
            <w:hideMark/>
          </w:tcPr>
          <w:p w14:paraId="0CE31F9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Mar>
              <w:top w:w="0" w:type="dxa"/>
              <w:left w:w="108" w:type="dxa"/>
              <w:bottom w:w="0" w:type="dxa"/>
              <w:right w:w="108" w:type="dxa"/>
            </w:tcMar>
            <w:hideMark/>
          </w:tcPr>
          <w:p w14:paraId="004073A0"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Tamoxifen + AI</w:t>
            </w:r>
          </w:p>
        </w:tc>
        <w:tc>
          <w:tcPr>
            <w:tcW w:w="2439" w:type="dxa"/>
            <w:tcMar>
              <w:top w:w="0" w:type="dxa"/>
              <w:left w:w="108" w:type="dxa"/>
              <w:bottom w:w="0" w:type="dxa"/>
              <w:right w:w="108" w:type="dxa"/>
            </w:tcMar>
            <w:hideMark/>
          </w:tcPr>
          <w:p w14:paraId="43A06D55"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158 (23.4)</w:t>
            </w:r>
          </w:p>
        </w:tc>
      </w:tr>
      <w:tr w:rsidR="007A1920" w:rsidRPr="00602563" w14:paraId="33B1CC95" w14:textId="77777777" w:rsidTr="007A1920">
        <w:trPr>
          <w:gridAfter w:val="1"/>
          <w:trHeight w:val="276"/>
        </w:trPr>
        <w:tc>
          <w:tcPr>
            <w:tcW w:w="3839" w:type="dxa"/>
            <w:tcBorders>
              <w:bottom w:val="single" w:sz="8" w:space="0" w:color="000000"/>
            </w:tcBorders>
            <w:tcMar>
              <w:top w:w="0" w:type="dxa"/>
              <w:left w:w="108" w:type="dxa"/>
              <w:bottom w:w="0" w:type="dxa"/>
              <w:right w:w="108" w:type="dxa"/>
            </w:tcMar>
            <w:hideMark/>
          </w:tcPr>
          <w:p w14:paraId="1D1DBAC8"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3347" w:type="dxa"/>
            <w:tcBorders>
              <w:bottom w:val="single" w:sz="8" w:space="0" w:color="000000"/>
            </w:tcBorders>
            <w:tcMar>
              <w:top w:w="0" w:type="dxa"/>
              <w:left w:w="108" w:type="dxa"/>
              <w:bottom w:w="0" w:type="dxa"/>
              <w:right w:w="108" w:type="dxa"/>
            </w:tcMar>
            <w:hideMark/>
          </w:tcPr>
          <w:p w14:paraId="1893561D"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Other</w:t>
            </w:r>
          </w:p>
        </w:tc>
        <w:tc>
          <w:tcPr>
            <w:tcW w:w="2439" w:type="dxa"/>
            <w:tcBorders>
              <w:bottom w:val="single" w:sz="8" w:space="0" w:color="000000"/>
            </w:tcBorders>
            <w:tcMar>
              <w:top w:w="0" w:type="dxa"/>
              <w:left w:w="108" w:type="dxa"/>
              <w:bottom w:w="0" w:type="dxa"/>
              <w:right w:w="108" w:type="dxa"/>
            </w:tcMar>
            <w:hideMark/>
          </w:tcPr>
          <w:p w14:paraId="675B46A3"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i/>
                <w:iCs/>
                <w:color w:val="000000"/>
                <w:kern w:val="0"/>
                <w:sz w:val="21"/>
                <w:szCs w:val="21"/>
                <w14:ligatures w14:val="none"/>
              </w:rPr>
              <w:t>  10 (1.48)</w:t>
            </w:r>
          </w:p>
        </w:tc>
      </w:tr>
      <w:tr w:rsidR="007A1920" w:rsidRPr="00602563" w14:paraId="6E49EAFD" w14:textId="77777777" w:rsidTr="007A1920">
        <w:trPr>
          <w:gridAfter w:val="1"/>
          <w:trHeight w:val="276"/>
        </w:trPr>
        <w:tc>
          <w:tcPr>
            <w:tcW w:w="3839" w:type="dxa"/>
            <w:tcBorders>
              <w:top w:val="single" w:sz="8" w:space="0" w:color="000000"/>
              <w:bottom w:val="single" w:sz="8" w:space="0" w:color="000000"/>
            </w:tcBorders>
            <w:tcMar>
              <w:top w:w="0" w:type="dxa"/>
              <w:left w:w="108" w:type="dxa"/>
              <w:bottom w:w="0" w:type="dxa"/>
              <w:right w:w="108" w:type="dxa"/>
            </w:tcMar>
            <w:hideMark/>
          </w:tcPr>
          <w:p w14:paraId="47024326"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1"/>
                <w:szCs w:val="21"/>
                <w14:ligatures w14:val="none"/>
              </w:rPr>
              <w:t>Adjuvant radiotherapy</w:t>
            </w:r>
            <w:r w:rsidRPr="00602563">
              <w:rPr>
                <w:rFonts w:ascii="Palatino Linotype" w:eastAsia="Times New Roman" w:hAnsi="Palatino Linotype" w:cs="Times New Roman"/>
                <w:b/>
                <w:bCs/>
                <w:color w:val="000000"/>
                <w:kern w:val="0"/>
                <w:sz w:val="13"/>
                <w:szCs w:val="13"/>
                <w:vertAlign w:val="superscript"/>
                <w14:ligatures w14:val="none"/>
              </w:rPr>
              <w:t>†</w:t>
            </w:r>
            <w:r w:rsidRPr="00602563">
              <w:rPr>
                <w:rFonts w:ascii="Palatino Linotype" w:eastAsia="Times New Roman" w:hAnsi="Palatino Linotype" w:cs="Times New Roman"/>
                <w:b/>
                <w:bCs/>
                <w:color w:val="000000"/>
                <w:kern w:val="0"/>
                <w:sz w:val="21"/>
                <w:szCs w:val="21"/>
                <w14:ligatures w14:val="none"/>
              </w:rPr>
              <w:t>, n (%)</w:t>
            </w:r>
          </w:p>
        </w:tc>
        <w:tc>
          <w:tcPr>
            <w:tcW w:w="3347" w:type="dxa"/>
            <w:tcBorders>
              <w:top w:val="single" w:sz="8" w:space="0" w:color="000000"/>
              <w:bottom w:val="single" w:sz="8" w:space="0" w:color="000000"/>
            </w:tcBorders>
            <w:tcMar>
              <w:top w:w="0" w:type="dxa"/>
              <w:left w:w="108" w:type="dxa"/>
              <w:bottom w:w="0" w:type="dxa"/>
              <w:right w:w="108" w:type="dxa"/>
            </w:tcMar>
            <w:hideMark/>
          </w:tcPr>
          <w:p w14:paraId="3CD6EC8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c>
          <w:tcPr>
            <w:tcW w:w="2439" w:type="dxa"/>
            <w:tcBorders>
              <w:top w:val="single" w:sz="8" w:space="0" w:color="000000"/>
              <w:bottom w:val="single" w:sz="8" w:space="0" w:color="000000"/>
            </w:tcBorders>
            <w:tcMar>
              <w:top w:w="0" w:type="dxa"/>
              <w:left w:w="108" w:type="dxa"/>
              <w:bottom w:w="0" w:type="dxa"/>
              <w:right w:w="108" w:type="dxa"/>
            </w:tcMar>
            <w:hideMark/>
          </w:tcPr>
          <w:p w14:paraId="1C3D148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b/>
                <w:bCs/>
                <w:color w:val="000000"/>
                <w:kern w:val="0"/>
                <w:sz w:val="20"/>
                <w:szCs w:val="20"/>
                <w14:ligatures w14:val="none"/>
              </w:rPr>
              <w:t>759 (91.1)</w:t>
            </w:r>
          </w:p>
        </w:tc>
      </w:tr>
      <w:tr w:rsidR="007A1920" w:rsidRPr="00602563" w14:paraId="67614EBF" w14:textId="77777777" w:rsidTr="007A1920">
        <w:trPr>
          <w:gridAfter w:val="3"/>
          <w:wAfter w:w="6646" w:type="dxa"/>
          <w:trHeight w:val="276"/>
        </w:trPr>
        <w:tc>
          <w:tcPr>
            <w:tcW w:w="3839" w:type="dxa"/>
            <w:tcBorders>
              <w:top w:val="single" w:sz="8" w:space="0" w:color="000000"/>
            </w:tcBorders>
            <w:tcMar>
              <w:top w:w="0" w:type="dxa"/>
              <w:left w:w="108" w:type="dxa"/>
              <w:bottom w:w="0" w:type="dxa"/>
              <w:right w:w="108" w:type="dxa"/>
            </w:tcMar>
            <w:hideMark/>
          </w:tcPr>
          <w:p w14:paraId="24C8EB97" w14:textId="77A9FEBD" w:rsidR="007A1920" w:rsidRPr="00602563" w:rsidRDefault="007A1920" w:rsidP="00CF405A">
            <w:pPr>
              <w:spacing w:after="0" w:line="240" w:lineRule="auto"/>
              <w:rPr>
                <w:rFonts w:ascii="Times New Roman" w:eastAsia="Times New Roman" w:hAnsi="Times New Roman" w:cs="Times New Roman"/>
                <w:kern w:val="0"/>
                <w14:ligatures w14:val="none"/>
              </w:rPr>
            </w:pPr>
            <w:r w:rsidRPr="00602563">
              <w:rPr>
                <w:rFonts w:ascii="Palatino Linotype" w:eastAsia="Times New Roman" w:hAnsi="Palatino Linotype" w:cs="Times New Roman"/>
                <w:color w:val="000000"/>
                <w:kern w:val="0"/>
                <w:sz w:val="17"/>
                <w:szCs w:val="17"/>
                <w14:ligatures w14:val="none"/>
              </w:rPr>
              <w:t>Abbreviations: SLNB: Sentinel lymph node</w:t>
            </w:r>
            <w:r>
              <w:rPr>
                <w:rFonts w:ascii="Palatino Linotype" w:eastAsia="Times New Roman" w:hAnsi="Palatino Linotype" w:cs="Times New Roman"/>
                <w:color w:val="000000"/>
                <w:kern w:val="0"/>
                <w:sz w:val="17"/>
                <w:szCs w:val="17"/>
                <w14:ligatures w14:val="none"/>
              </w:rPr>
              <w:t xml:space="preserve"> </w:t>
            </w:r>
            <w:r w:rsidRPr="00602563">
              <w:rPr>
                <w:rFonts w:ascii="Palatino Linotype" w:eastAsia="Times New Roman" w:hAnsi="Palatino Linotype" w:cs="Times New Roman"/>
                <w:color w:val="000000"/>
                <w:kern w:val="0"/>
                <w:sz w:val="17"/>
                <w:szCs w:val="17"/>
                <w14:ligatures w14:val="none"/>
              </w:rPr>
              <w:t>biopsy; ALND:  Axillary Lymph Node Dissection; AC: Anthracycline, Cyclophosphamide; T: Taxanes; TH: Taxanes and Trastuzumab, TC: Taxane and Cyclophosphamide; TCb: docetaxel and carboplatin; AI: Aromatase Inhibitor. †: Percentage over the entire cohort of patients (N = 801); </w:t>
            </w:r>
          </w:p>
        </w:tc>
      </w:tr>
      <w:tr w:rsidR="007A1920" w:rsidRPr="00602563" w14:paraId="055AC454" w14:textId="77777777" w:rsidTr="007A1920">
        <w:trPr>
          <w:gridAfter w:val="3"/>
          <w:wAfter w:w="6646" w:type="dxa"/>
          <w:trHeight w:val="103"/>
        </w:trPr>
        <w:tc>
          <w:tcPr>
            <w:tcW w:w="3839" w:type="dxa"/>
            <w:tcMar>
              <w:top w:w="0" w:type="dxa"/>
              <w:left w:w="108" w:type="dxa"/>
              <w:bottom w:w="0" w:type="dxa"/>
              <w:right w:w="108" w:type="dxa"/>
            </w:tcMar>
            <w:hideMark/>
          </w:tcPr>
          <w:p w14:paraId="1B16D9CB"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r>
      <w:tr w:rsidR="007A1920" w:rsidRPr="00602563" w14:paraId="6747D916" w14:textId="77777777" w:rsidTr="007A1920">
        <w:trPr>
          <w:gridAfter w:val="3"/>
          <w:wAfter w:w="6646" w:type="dxa"/>
          <w:trHeight w:val="276"/>
        </w:trPr>
        <w:tc>
          <w:tcPr>
            <w:tcW w:w="3839" w:type="dxa"/>
            <w:tcBorders>
              <w:top w:val="single" w:sz="8" w:space="0" w:color="000000"/>
            </w:tcBorders>
            <w:tcMar>
              <w:top w:w="0" w:type="dxa"/>
              <w:left w:w="108" w:type="dxa"/>
              <w:bottom w:w="0" w:type="dxa"/>
              <w:right w:w="108" w:type="dxa"/>
            </w:tcMar>
          </w:tcPr>
          <w:p w14:paraId="5DE4E309" w14:textId="77777777" w:rsidR="007A1920" w:rsidRPr="00602563" w:rsidRDefault="007A1920" w:rsidP="00CF405A">
            <w:pPr>
              <w:spacing w:after="0" w:line="240" w:lineRule="auto"/>
              <w:rPr>
                <w:rFonts w:ascii="Times New Roman" w:eastAsia="Times New Roman" w:hAnsi="Times New Roman" w:cs="Times New Roman"/>
                <w:kern w:val="0"/>
                <w14:ligatures w14:val="none"/>
              </w:rPr>
            </w:pPr>
          </w:p>
        </w:tc>
      </w:tr>
    </w:tbl>
    <w:p w14:paraId="48624335" w14:textId="77777777" w:rsidR="00602563" w:rsidRDefault="00602563" w:rsidP="007A1920">
      <w:pPr>
        <w:spacing w:after="240" w:line="240" w:lineRule="auto"/>
        <w:rPr>
          <w:rFonts w:ascii="Calibri" w:hAnsi="Calibri" w:cs="Calibri"/>
          <w:b/>
          <w:bCs/>
          <w:color w:val="000000"/>
          <w:sz w:val="22"/>
          <w:szCs w:val="22"/>
        </w:rPr>
      </w:pPr>
    </w:p>
    <w:p w14:paraId="1EEC7AA0" w14:textId="77777777" w:rsidR="007A1920" w:rsidRDefault="007A1920" w:rsidP="007A1920">
      <w:pPr>
        <w:spacing w:after="240" w:line="240" w:lineRule="auto"/>
        <w:rPr>
          <w:rFonts w:ascii="Calibri" w:hAnsi="Calibri" w:cs="Calibri"/>
          <w:b/>
          <w:bCs/>
          <w:color w:val="000000"/>
          <w:sz w:val="22"/>
          <w:szCs w:val="22"/>
        </w:rPr>
      </w:pPr>
    </w:p>
    <w:p w14:paraId="4E4F9831" w14:textId="77777777" w:rsidR="007A1920" w:rsidRDefault="007A1920" w:rsidP="007A1920">
      <w:pPr>
        <w:spacing w:after="240" w:line="240" w:lineRule="auto"/>
        <w:rPr>
          <w:rFonts w:ascii="Calibri" w:hAnsi="Calibri" w:cs="Calibri"/>
          <w:b/>
          <w:bCs/>
          <w:color w:val="000000"/>
          <w:sz w:val="22"/>
          <w:szCs w:val="22"/>
        </w:rPr>
      </w:pPr>
    </w:p>
    <w:p w14:paraId="514BE853" w14:textId="76A39F8D" w:rsidR="00C1070C" w:rsidRPr="007A1920" w:rsidRDefault="00F02322">
      <w:pPr>
        <w:rPr>
          <w:rFonts w:ascii="Arial" w:eastAsia="Times New Roman" w:hAnsi="Arial" w:cs="Arial"/>
          <w:i/>
          <w:iCs/>
          <w:color w:val="000000" w:themeColor="text1"/>
          <w:kern w:val="0"/>
          <w:sz w:val="22"/>
          <w:szCs w:val="22"/>
          <w14:ligatures w14:val="none"/>
        </w:rPr>
      </w:pPr>
      <w:r w:rsidRPr="007A1920">
        <w:rPr>
          <w:rFonts w:ascii="Arial" w:eastAsia="Times New Roman" w:hAnsi="Arial" w:cs="Arial"/>
          <w:i/>
          <w:iCs/>
          <w:color w:val="000000" w:themeColor="text1"/>
          <w:kern w:val="0"/>
          <w:sz w:val="22"/>
          <w:szCs w:val="22"/>
          <w14:ligatures w14:val="none"/>
        </w:rPr>
        <w:t>3.</w:t>
      </w:r>
      <w:r w:rsidR="001E486C" w:rsidRPr="007A1920">
        <w:rPr>
          <w:rFonts w:ascii="Arial" w:eastAsia="Times New Roman" w:hAnsi="Arial" w:cs="Arial"/>
          <w:i/>
          <w:iCs/>
          <w:color w:val="000000" w:themeColor="text1"/>
          <w:kern w:val="0"/>
          <w:sz w:val="22"/>
          <w:szCs w:val="22"/>
          <w14:ligatures w14:val="none"/>
        </w:rPr>
        <w:t>4</w:t>
      </w:r>
      <w:r w:rsidRPr="007A1920">
        <w:rPr>
          <w:rFonts w:ascii="Arial" w:eastAsia="Times New Roman" w:hAnsi="Arial" w:cs="Arial"/>
          <w:i/>
          <w:iCs/>
          <w:color w:val="000000" w:themeColor="text1"/>
          <w:kern w:val="0"/>
          <w:sz w:val="22"/>
          <w:szCs w:val="22"/>
          <w14:ligatures w14:val="none"/>
        </w:rPr>
        <w:t xml:space="preserve"> Caracterización de las recaídas </w:t>
      </w:r>
    </w:p>
    <w:p w14:paraId="3EA4DCF6" w14:textId="74615696" w:rsidR="00F02322" w:rsidRPr="007A1920" w:rsidRDefault="00443690"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La mediana</w:t>
      </w:r>
      <w:r w:rsidR="007A1920"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de seguimiento fue </w:t>
      </w:r>
      <w:r w:rsidR="007A1920" w:rsidRPr="007A1920">
        <w:rPr>
          <w:rFonts w:ascii="Arial" w:eastAsiaTheme="minorHAnsi" w:hAnsi="Arial" w:cs="Arial"/>
          <w:color w:val="000000"/>
          <w:kern w:val="2"/>
          <w:sz w:val="22"/>
          <w:szCs w:val="22"/>
          <w:shd w:val="clear" w:color="auto" w:fill="FFFFFF"/>
          <w14:ligatures w14:val="standardContextual"/>
        </w:rPr>
        <w:t>60 meses</w:t>
      </w:r>
      <w:r w:rsidRPr="007A1920">
        <w:rPr>
          <w:rFonts w:ascii="Arial" w:eastAsiaTheme="minorHAnsi" w:hAnsi="Arial" w:cs="Arial"/>
          <w:color w:val="000000"/>
          <w:kern w:val="2"/>
          <w:sz w:val="22"/>
          <w:szCs w:val="22"/>
          <w:shd w:val="clear" w:color="auto" w:fill="FFFFFF"/>
          <w14:ligatures w14:val="standardContextual"/>
        </w:rPr>
        <w:t xml:space="preserve">, encontrando </w:t>
      </w:r>
      <w:r w:rsidR="00F02322" w:rsidRPr="007A1920">
        <w:rPr>
          <w:rFonts w:ascii="Arial" w:eastAsiaTheme="minorHAnsi" w:hAnsi="Arial" w:cs="Arial"/>
          <w:color w:val="000000"/>
          <w:kern w:val="2"/>
          <w:sz w:val="22"/>
          <w:szCs w:val="22"/>
          <w:shd w:val="clear" w:color="auto" w:fill="FFFFFF"/>
          <w14:ligatures w14:val="standardContextual"/>
        </w:rPr>
        <w:t xml:space="preserve">191 pacientes (22,9 %) </w:t>
      </w:r>
      <w:r w:rsidRPr="007A1920">
        <w:rPr>
          <w:rFonts w:ascii="Arial" w:eastAsiaTheme="minorHAnsi" w:hAnsi="Arial" w:cs="Arial"/>
          <w:color w:val="000000"/>
          <w:kern w:val="2"/>
          <w:sz w:val="22"/>
          <w:szCs w:val="22"/>
          <w:shd w:val="clear" w:color="auto" w:fill="FFFFFF"/>
          <w14:ligatures w14:val="standardContextual"/>
        </w:rPr>
        <w:t xml:space="preserve">con </w:t>
      </w:r>
      <w:r w:rsidR="00F02322" w:rsidRPr="007A1920">
        <w:rPr>
          <w:rFonts w:ascii="Arial" w:eastAsiaTheme="minorHAnsi" w:hAnsi="Arial" w:cs="Arial"/>
          <w:color w:val="000000"/>
          <w:kern w:val="2"/>
          <w:sz w:val="22"/>
          <w:szCs w:val="22"/>
          <w:shd w:val="clear" w:color="auto" w:fill="FFFFFF"/>
          <w14:ligatures w14:val="standardContextual"/>
        </w:rPr>
        <w:t>recaída</w:t>
      </w:r>
      <w:r w:rsidRPr="007A1920">
        <w:rPr>
          <w:rFonts w:ascii="Arial" w:eastAsiaTheme="minorHAnsi" w:hAnsi="Arial" w:cs="Arial"/>
          <w:color w:val="000000"/>
          <w:kern w:val="2"/>
          <w:sz w:val="22"/>
          <w:szCs w:val="22"/>
          <w:shd w:val="clear" w:color="auto" w:fill="FFFFFF"/>
          <w14:ligatures w14:val="standardContextual"/>
        </w:rPr>
        <w:t xml:space="preserve">, </w:t>
      </w:r>
      <w:commentRangeStart w:id="1"/>
      <w:r w:rsidR="00530449" w:rsidRPr="007A1920">
        <w:rPr>
          <w:rFonts w:ascii="Arial" w:eastAsiaTheme="minorHAnsi" w:hAnsi="Arial" w:cs="Arial"/>
          <w:color w:val="000000"/>
          <w:kern w:val="2"/>
          <w:sz w:val="22"/>
          <w:szCs w:val="22"/>
          <w:shd w:val="clear" w:color="auto" w:fill="FFFFFF"/>
          <w14:ligatures w14:val="standardContextual"/>
        </w:rPr>
        <w:t xml:space="preserve">la mayoría pertenecían al </w:t>
      </w:r>
      <w:r w:rsidR="00F02322" w:rsidRPr="007A1920">
        <w:rPr>
          <w:rFonts w:ascii="Arial" w:eastAsiaTheme="minorHAnsi" w:hAnsi="Arial" w:cs="Arial"/>
          <w:color w:val="000000"/>
          <w:kern w:val="2"/>
          <w:sz w:val="22"/>
          <w:szCs w:val="22"/>
          <w:shd w:val="clear" w:color="auto" w:fill="FFFFFF"/>
          <w14:ligatures w14:val="standardContextual"/>
        </w:rPr>
        <w:t xml:space="preserve">régimen subsidiado </w:t>
      </w:r>
      <w:r w:rsidR="00530449" w:rsidRPr="007A1920">
        <w:rPr>
          <w:rFonts w:ascii="Arial" w:eastAsiaTheme="minorHAnsi" w:hAnsi="Arial" w:cs="Arial"/>
          <w:color w:val="000000"/>
          <w:kern w:val="2"/>
          <w:sz w:val="22"/>
          <w:szCs w:val="22"/>
          <w:shd w:val="clear" w:color="auto" w:fill="FFFFFF"/>
          <w14:ligatures w14:val="standardContextual"/>
        </w:rPr>
        <w:t xml:space="preserve">de salud </w:t>
      </w:r>
      <w:r w:rsidR="00F02322" w:rsidRPr="007A1920">
        <w:rPr>
          <w:rFonts w:ascii="Arial" w:eastAsiaTheme="minorHAnsi" w:hAnsi="Arial" w:cs="Arial"/>
          <w:color w:val="000000"/>
          <w:kern w:val="2"/>
          <w:sz w:val="22"/>
          <w:szCs w:val="22"/>
          <w:shd w:val="clear" w:color="auto" w:fill="FFFFFF"/>
          <w14:ligatures w14:val="standardContextual"/>
        </w:rPr>
        <w:t>(57,6 % vs. 44,9 %; p &lt; 0,01)</w:t>
      </w:r>
      <w:r w:rsidR="00CC7410" w:rsidRPr="007A1920">
        <w:rPr>
          <w:rFonts w:ascii="Arial" w:eastAsiaTheme="minorHAnsi" w:hAnsi="Arial" w:cs="Arial"/>
          <w:color w:val="000000"/>
          <w:kern w:val="2"/>
          <w:sz w:val="22"/>
          <w:szCs w:val="22"/>
          <w:shd w:val="clear" w:color="auto" w:fill="FFFFFF"/>
          <w14:ligatures w14:val="standardContextual"/>
        </w:rPr>
        <w:t xml:space="preserve">. </w:t>
      </w:r>
      <w:commentRangeEnd w:id="1"/>
      <w:r w:rsidR="00DC3CED" w:rsidRPr="007A1920">
        <w:rPr>
          <w:rStyle w:val="CommentReference"/>
          <w:lang w:val="es-CO" w:eastAsia="es-ES"/>
        </w:rPr>
        <w:commentReference w:id="1"/>
      </w:r>
      <w:r w:rsidR="00530449" w:rsidRPr="007A1920">
        <w:rPr>
          <w:rFonts w:ascii="Arial" w:eastAsiaTheme="minorHAnsi" w:hAnsi="Arial" w:cs="Arial"/>
          <w:color w:val="000000"/>
          <w:kern w:val="2"/>
          <w:sz w:val="22"/>
          <w:szCs w:val="22"/>
          <w:shd w:val="clear" w:color="auto" w:fill="FFFFFF"/>
          <w14:ligatures w14:val="standardContextual"/>
        </w:rPr>
        <w:t>En cuanto al subtipo molecular, las recaídas se asociaron significativamente con tumores de mayor agresividad biológica</w:t>
      </w:r>
      <w:r w:rsidR="00AC2515" w:rsidRPr="007A1920">
        <w:rPr>
          <w:rFonts w:ascii="Arial" w:eastAsiaTheme="minorHAnsi" w:hAnsi="Arial" w:cs="Arial"/>
          <w:color w:val="000000"/>
          <w:kern w:val="2"/>
          <w:sz w:val="22"/>
          <w:szCs w:val="22"/>
          <w:shd w:val="clear" w:color="auto" w:fill="FFFFFF"/>
          <w14:ligatures w14:val="standardContextual"/>
        </w:rPr>
        <w:t xml:space="preserve">, siendo las más frecuentes </w:t>
      </w:r>
      <w:r w:rsidR="00DC3CED" w:rsidRPr="007A1920">
        <w:rPr>
          <w:rFonts w:ascii="Arial" w:eastAsiaTheme="minorHAnsi" w:hAnsi="Arial" w:cs="Arial"/>
          <w:color w:val="000000"/>
          <w:kern w:val="2"/>
          <w:sz w:val="22"/>
          <w:szCs w:val="22"/>
          <w:shd w:val="clear" w:color="auto" w:fill="FFFFFF"/>
          <w14:ligatures w14:val="standardContextual"/>
        </w:rPr>
        <w:t xml:space="preserve"> en </w:t>
      </w:r>
      <w:r w:rsidR="00AC2515" w:rsidRPr="007A1920">
        <w:rPr>
          <w:rFonts w:ascii="Arial" w:eastAsiaTheme="minorHAnsi" w:hAnsi="Arial" w:cs="Arial"/>
          <w:color w:val="000000"/>
          <w:kern w:val="2"/>
          <w:sz w:val="22"/>
          <w:szCs w:val="22"/>
          <w:shd w:val="clear" w:color="auto" w:fill="FFFFFF"/>
          <w14:ligatures w14:val="standardContextual"/>
        </w:rPr>
        <w:t xml:space="preserve">tumores Luminal B HER2− (40,8 % vs. 26,2 %) y triple negativo (17,3 % vs. 9,5 %) (p &lt; 0,01). </w:t>
      </w:r>
      <w:r w:rsidR="00DC3CED" w:rsidRPr="007A1920">
        <w:rPr>
          <w:rFonts w:ascii="Arial" w:eastAsiaTheme="minorHAnsi" w:hAnsi="Arial" w:cs="Arial"/>
          <w:color w:val="000000"/>
          <w:kern w:val="2"/>
          <w:sz w:val="22"/>
          <w:szCs w:val="22"/>
          <w:shd w:val="clear" w:color="auto" w:fill="FFFFFF"/>
          <w14:ligatures w14:val="standardContextual"/>
        </w:rPr>
        <w:t xml:space="preserve"> Se encontro  mayor riesgo de recaida para los </w:t>
      </w:r>
      <w:r w:rsidR="00F02322" w:rsidRPr="007A1920">
        <w:rPr>
          <w:rFonts w:ascii="Arial" w:eastAsiaTheme="minorHAnsi" w:hAnsi="Arial" w:cs="Arial"/>
          <w:color w:val="000000"/>
          <w:kern w:val="2"/>
          <w:sz w:val="22"/>
          <w:szCs w:val="22"/>
          <w:shd w:val="clear" w:color="auto" w:fill="FFFFFF"/>
          <w14:ligatures w14:val="standardContextual"/>
        </w:rPr>
        <w:t>estadio</w:t>
      </w:r>
      <w:r w:rsidR="00DC3CED" w:rsidRPr="007A1920">
        <w:rPr>
          <w:rFonts w:ascii="Arial" w:eastAsiaTheme="minorHAnsi" w:hAnsi="Arial" w:cs="Arial"/>
          <w:color w:val="000000"/>
          <w:kern w:val="2"/>
          <w:sz w:val="22"/>
          <w:szCs w:val="22"/>
          <w:shd w:val="clear" w:color="auto" w:fill="FFFFFF"/>
          <w14:ligatures w14:val="standardContextual"/>
        </w:rPr>
        <w:t>s</w:t>
      </w:r>
      <w:r w:rsidR="00F02322" w:rsidRPr="007A1920">
        <w:rPr>
          <w:rFonts w:ascii="Arial" w:eastAsiaTheme="minorHAnsi" w:hAnsi="Arial" w:cs="Arial"/>
          <w:color w:val="000000"/>
          <w:kern w:val="2"/>
          <w:sz w:val="22"/>
          <w:szCs w:val="22"/>
          <w:shd w:val="clear" w:color="auto" w:fill="FFFFFF"/>
          <w14:ligatures w14:val="standardContextual"/>
        </w:rPr>
        <w:t xml:space="preserve"> III (63,4 % vs. 33,8 %), </w:t>
      </w:r>
      <w:r w:rsidR="00DC3CED" w:rsidRPr="007A1920">
        <w:rPr>
          <w:rFonts w:ascii="Arial" w:eastAsiaTheme="minorHAnsi" w:hAnsi="Arial" w:cs="Arial"/>
          <w:color w:val="000000"/>
          <w:kern w:val="2"/>
          <w:sz w:val="22"/>
          <w:szCs w:val="22"/>
          <w:shd w:val="clear" w:color="auto" w:fill="FFFFFF"/>
          <w14:ligatures w14:val="standardContextual"/>
        </w:rPr>
        <w:t xml:space="preserve"> en relacion a</w:t>
      </w:r>
      <w:r w:rsidR="00530449" w:rsidRPr="007A1920">
        <w:rPr>
          <w:rFonts w:ascii="Arial" w:eastAsiaTheme="minorHAnsi" w:hAnsi="Arial" w:cs="Arial"/>
          <w:color w:val="000000"/>
          <w:kern w:val="2"/>
          <w:sz w:val="22"/>
          <w:szCs w:val="22"/>
          <w:shd w:val="clear" w:color="auto" w:fill="FFFFFF"/>
          <w14:ligatures w14:val="standardContextual"/>
        </w:rPr>
        <w:t>l estadio I</w:t>
      </w:r>
      <w:r w:rsidR="00F02322" w:rsidRPr="007A1920">
        <w:rPr>
          <w:rFonts w:ascii="Arial" w:eastAsiaTheme="minorHAnsi" w:hAnsi="Arial" w:cs="Arial"/>
          <w:color w:val="000000"/>
          <w:kern w:val="2"/>
          <w:sz w:val="22"/>
          <w:szCs w:val="22"/>
          <w:shd w:val="clear" w:color="auto" w:fill="FFFFFF"/>
          <w14:ligatures w14:val="standardContextual"/>
        </w:rPr>
        <w:t xml:space="preserve"> (17,0 % vs. 5,2 %; p &lt; 0,01).</w:t>
      </w:r>
    </w:p>
    <w:p w14:paraId="52F24EF2" w14:textId="7FF69728" w:rsidR="00F02322" w:rsidRPr="00F02322" w:rsidRDefault="00530449"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lastRenderedPageBreak/>
        <w:t>Otras caracterísicas</w:t>
      </w:r>
      <w:r>
        <w:rPr>
          <w:rFonts w:ascii="Arial" w:eastAsiaTheme="minorHAnsi" w:hAnsi="Arial" w:cs="Arial"/>
          <w:color w:val="000000"/>
          <w:kern w:val="2"/>
          <w:sz w:val="22"/>
          <w:szCs w:val="22"/>
          <w:shd w:val="clear" w:color="auto" w:fill="FFFFFF"/>
          <w14:ligatures w14:val="standardContextual"/>
        </w:rPr>
        <w:t xml:space="preserve"> relacionadas con la recaída al compararlo con el grupo que no presentó </w:t>
      </w:r>
      <w:r w:rsidR="001E486C">
        <w:rPr>
          <w:rFonts w:ascii="Arial" w:eastAsiaTheme="minorHAnsi" w:hAnsi="Arial" w:cs="Arial"/>
          <w:color w:val="000000"/>
          <w:kern w:val="2"/>
          <w:sz w:val="22"/>
          <w:szCs w:val="22"/>
          <w:shd w:val="clear" w:color="auto" w:fill="FFFFFF"/>
          <w14:ligatures w14:val="standardContextual"/>
        </w:rPr>
        <w:t xml:space="preserve">recaída </w:t>
      </w:r>
      <w:r>
        <w:rPr>
          <w:rFonts w:ascii="Arial" w:eastAsiaTheme="minorHAnsi" w:hAnsi="Arial" w:cs="Arial"/>
          <w:color w:val="000000"/>
          <w:kern w:val="2"/>
          <w:sz w:val="22"/>
          <w:szCs w:val="22"/>
          <w:shd w:val="clear" w:color="auto" w:fill="FFFFFF"/>
          <w14:ligatures w14:val="standardContextual"/>
        </w:rPr>
        <w:t xml:space="preserve">fueron la </w:t>
      </w:r>
      <w:r w:rsidR="00F02322" w:rsidRPr="00F02322">
        <w:rPr>
          <w:rFonts w:ascii="Arial" w:eastAsiaTheme="minorHAnsi" w:hAnsi="Arial" w:cs="Arial"/>
          <w:color w:val="000000"/>
          <w:kern w:val="2"/>
          <w:sz w:val="22"/>
          <w:szCs w:val="22"/>
          <w:shd w:val="clear" w:color="auto" w:fill="FFFFFF"/>
          <w14:ligatures w14:val="standardContextual"/>
        </w:rPr>
        <w:t xml:space="preserve">administración de quimioterapia neoadyuvante (75,9 % vs. 51,9 %; p &lt; 0,01), </w:t>
      </w:r>
      <w:r>
        <w:rPr>
          <w:rFonts w:ascii="Arial" w:eastAsiaTheme="minorHAnsi" w:hAnsi="Arial" w:cs="Arial"/>
          <w:color w:val="000000"/>
          <w:kern w:val="2"/>
          <w:sz w:val="22"/>
          <w:szCs w:val="22"/>
          <w:shd w:val="clear" w:color="auto" w:fill="FFFFFF"/>
          <w14:ligatures w14:val="standardContextual"/>
        </w:rPr>
        <w:t>la cirugía radical</w:t>
      </w:r>
      <w:r w:rsidR="00F02322" w:rsidRPr="00F02322">
        <w:rPr>
          <w:rFonts w:ascii="Arial" w:eastAsiaTheme="minorHAnsi" w:hAnsi="Arial" w:cs="Arial"/>
          <w:color w:val="000000"/>
          <w:kern w:val="2"/>
          <w:sz w:val="22"/>
          <w:szCs w:val="22"/>
          <w:shd w:val="clear" w:color="auto" w:fill="FFFFFF"/>
          <w14:ligatures w14:val="standardContextual"/>
        </w:rPr>
        <w:t xml:space="preserve"> (64,4 % vs. 36,0 %) y </w:t>
      </w:r>
      <w:r>
        <w:rPr>
          <w:rFonts w:ascii="Arial" w:eastAsiaTheme="minorHAnsi" w:hAnsi="Arial" w:cs="Arial"/>
          <w:color w:val="000000"/>
          <w:kern w:val="2"/>
          <w:sz w:val="22"/>
          <w:szCs w:val="22"/>
          <w:shd w:val="clear" w:color="auto" w:fill="FFFFFF"/>
          <w14:ligatures w14:val="standardContextual"/>
        </w:rPr>
        <w:t xml:space="preserve">el </w:t>
      </w:r>
      <w:r w:rsidR="00F02322" w:rsidRPr="00F02322">
        <w:rPr>
          <w:rFonts w:ascii="Arial" w:eastAsiaTheme="minorHAnsi" w:hAnsi="Arial" w:cs="Arial"/>
          <w:color w:val="000000"/>
          <w:kern w:val="2"/>
          <w:sz w:val="22"/>
          <w:szCs w:val="22"/>
          <w:shd w:val="clear" w:color="auto" w:fill="FFFFFF"/>
          <w14:ligatures w14:val="standardContextual"/>
        </w:rPr>
        <w:t>vaciamiento ganglionar axilar (78,0 % vs. 54,2 %)</w:t>
      </w:r>
      <w:r w:rsidR="00AC2515">
        <w:rPr>
          <w:rFonts w:ascii="Arial" w:eastAsiaTheme="minorHAnsi" w:hAnsi="Arial" w:cs="Arial"/>
          <w:color w:val="000000"/>
          <w:kern w:val="2"/>
          <w:sz w:val="22"/>
          <w:szCs w:val="22"/>
          <w:shd w:val="clear" w:color="auto" w:fill="FFFFFF"/>
          <w14:ligatures w14:val="standardContextual"/>
        </w:rPr>
        <w:t>, lo que se relaciona con los estadios avanzados.</w:t>
      </w:r>
      <w:r>
        <w:rPr>
          <w:rFonts w:ascii="Arial" w:eastAsiaTheme="minorHAnsi" w:hAnsi="Arial" w:cs="Arial"/>
          <w:color w:val="000000"/>
          <w:kern w:val="2"/>
          <w:sz w:val="22"/>
          <w:szCs w:val="22"/>
          <w:shd w:val="clear" w:color="auto" w:fill="FFFFFF"/>
          <w14:ligatures w14:val="standardContextual"/>
        </w:rPr>
        <w:t xml:space="preserve"> E</w:t>
      </w:r>
      <w:r w:rsidR="00F02322" w:rsidRPr="00F02322">
        <w:rPr>
          <w:rFonts w:ascii="Arial" w:eastAsiaTheme="minorHAnsi" w:hAnsi="Arial" w:cs="Arial"/>
          <w:color w:val="000000"/>
          <w:kern w:val="2"/>
          <w:sz w:val="22"/>
          <w:szCs w:val="22"/>
          <w:shd w:val="clear" w:color="auto" w:fill="FFFFFF"/>
          <w14:ligatures w14:val="standardContextual"/>
        </w:rPr>
        <w:t>l compromiso ganglionar fue uno de los factores más fuertemente asociados a recaída. Las pacientes con recaída presentaron mayor proporción de ganglios positivos</w:t>
      </w:r>
      <w:r w:rsidR="00AC2515">
        <w:rPr>
          <w:rFonts w:ascii="Arial" w:eastAsiaTheme="minorHAnsi" w:hAnsi="Arial" w:cs="Arial"/>
          <w:color w:val="000000"/>
          <w:kern w:val="2"/>
          <w:sz w:val="22"/>
          <w:szCs w:val="22"/>
          <w:shd w:val="clear" w:color="auto" w:fill="FFFFFF"/>
          <w14:ligatures w14:val="standardContextual"/>
        </w:rPr>
        <w:t>, en especial</w:t>
      </w:r>
      <w:r w:rsidR="00DC3CED">
        <w:rPr>
          <w:rFonts w:ascii="Arial" w:eastAsiaTheme="minorHAnsi" w:hAnsi="Arial" w:cs="Arial"/>
          <w:color w:val="000000"/>
          <w:kern w:val="2"/>
          <w:sz w:val="22"/>
          <w:szCs w:val="22"/>
          <w:shd w:val="clear" w:color="auto" w:fill="FFFFFF"/>
          <w14:ligatures w14:val="standardContextual"/>
        </w:rPr>
        <w:t xml:space="preserve"> </w:t>
      </w:r>
      <w:r w:rsidR="00F02322" w:rsidRPr="00F02322">
        <w:rPr>
          <w:rFonts w:ascii="Arial" w:eastAsiaTheme="minorHAnsi" w:hAnsi="Arial" w:cs="Arial"/>
          <w:color w:val="000000"/>
          <w:kern w:val="2"/>
          <w:sz w:val="22"/>
          <w:szCs w:val="22"/>
          <w:shd w:val="clear" w:color="auto" w:fill="FFFFFF"/>
          <w14:ligatures w14:val="standardContextual"/>
        </w:rPr>
        <w:t xml:space="preserve"> &gt;3 ganglios comprometidos (37,7 % vs. 10,6 %)</w:t>
      </w:r>
      <w:r w:rsidR="00AC2515">
        <w:rPr>
          <w:rFonts w:ascii="Arial" w:eastAsiaTheme="minorHAnsi" w:hAnsi="Arial" w:cs="Arial"/>
          <w:color w:val="000000"/>
          <w:kern w:val="2"/>
          <w:sz w:val="22"/>
          <w:szCs w:val="22"/>
          <w:shd w:val="clear" w:color="auto" w:fill="FFFFFF"/>
          <w14:ligatures w14:val="standardContextual"/>
        </w:rPr>
        <w:t xml:space="preserve">. </w:t>
      </w:r>
    </w:p>
    <w:p w14:paraId="34CB8B95" w14:textId="51E83C19" w:rsidR="00F02322" w:rsidRPr="00F02322" w:rsidRDefault="00F02322" w:rsidP="003A690A">
      <w:pPr>
        <w:pStyle w:val="NormalWeb"/>
        <w:jc w:val="both"/>
        <w:rPr>
          <w:rFonts w:ascii="Arial" w:eastAsiaTheme="minorHAnsi" w:hAnsi="Arial" w:cs="Arial"/>
          <w:color w:val="000000"/>
          <w:kern w:val="2"/>
          <w:sz w:val="22"/>
          <w:szCs w:val="22"/>
          <w:shd w:val="clear" w:color="auto" w:fill="FFFFFF"/>
          <w14:ligatures w14:val="standardContextual"/>
        </w:rPr>
      </w:pPr>
      <w:r w:rsidRPr="00F02322">
        <w:rPr>
          <w:rFonts w:ascii="Arial" w:eastAsiaTheme="minorHAnsi" w:hAnsi="Arial" w:cs="Arial"/>
          <w:color w:val="000000"/>
          <w:kern w:val="2"/>
          <w:sz w:val="22"/>
          <w:szCs w:val="22"/>
          <w:shd w:val="clear" w:color="auto" w:fill="FFFFFF"/>
          <w14:ligatures w14:val="standardContextual"/>
        </w:rPr>
        <w:t>Desde el punto de vista patológico, las recaídas se asociaron con tumores de mayor tamaño residual (&gt;</w:t>
      </w:r>
      <w:r w:rsidR="00DC3CED">
        <w:rPr>
          <w:rFonts w:ascii="Arial" w:eastAsiaTheme="minorHAnsi" w:hAnsi="Arial" w:cs="Arial"/>
          <w:color w:val="000000"/>
          <w:kern w:val="2"/>
          <w:sz w:val="22"/>
          <w:szCs w:val="22"/>
          <w:shd w:val="clear" w:color="auto" w:fill="FFFFFF"/>
          <w14:ligatures w14:val="standardContextual"/>
        </w:rPr>
        <w:t>T3</w:t>
      </w:r>
      <w:r w:rsidRPr="00F02322">
        <w:rPr>
          <w:rFonts w:ascii="Arial" w:eastAsiaTheme="minorHAnsi" w:hAnsi="Arial" w:cs="Arial"/>
          <w:color w:val="000000"/>
          <w:kern w:val="2"/>
          <w:sz w:val="22"/>
          <w:szCs w:val="22"/>
          <w:shd w:val="clear" w:color="auto" w:fill="FFFFFF"/>
          <w14:ligatures w14:val="standardContextual"/>
        </w:rPr>
        <w:t xml:space="preserve">: 18,3 % vs. 6,5 %), mayor grado histológico (grado 3: 40,8 % vs. 22,4 %) y </w:t>
      </w:r>
      <w:r w:rsidR="00DC3CED">
        <w:rPr>
          <w:rFonts w:ascii="Arial" w:eastAsiaTheme="minorHAnsi" w:hAnsi="Arial" w:cs="Arial"/>
          <w:color w:val="000000"/>
          <w:kern w:val="2"/>
          <w:sz w:val="22"/>
          <w:szCs w:val="22"/>
          <w:shd w:val="clear" w:color="auto" w:fill="FFFFFF"/>
          <w14:ligatures w14:val="standardContextual"/>
        </w:rPr>
        <w:t xml:space="preserve"> la </w:t>
      </w:r>
      <w:r w:rsidRPr="00F02322">
        <w:rPr>
          <w:rFonts w:ascii="Arial" w:eastAsiaTheme="minorHAnsi" w:hAnsi="Arial" w:cs="Arial"/>
          <w:color w:val="000000"/>
          <w:kern w:val="2"/>
          <w:sz w:val="22"/>
          <w:szCs w:val="22"/>
          <w:shd w:val="clear" w:color="auto" w:fill="FFFFFF"/>
          <w14:ligatures w14:val="standardContextual"/>
        </w:rPr>
        <w:t>invasión linfovascular (45,5 % vs. 28,2 %), todas con diferencias estadísticamente significativas (p &lt; 0,01). Asimismo, los márgenes quirúrgicos positivos fueron más frecuentes en el grupo con recaída (9,4 % vs. 5,0 %; p = 0,04).</w:t>
      </w:r>
    </w:p>
    <w:p w14:paraId="089583BC" w14:textId="6CA6E88A" w:rsidR="00530449" w:rsidRPr="00DC3CED" w:rsidRDefault="00DC3CED" w:rsidP="00DC3CED">
      <w:pPr>
        <w:jc w:val="center"/>
        <w:rPr>
          <w:rFonts w:ascii="Palatino Linotype" w:hAnsi="Palatino Linotype"/>
          <w:sz w:val="17"/>
          <w:szCs w:val="17"/>
        </w:rPr>
      </w:pPr>
      <w:r w:rsidRPr="004C2FB8">
        <w:rPr>
          <w:rFonts w:ascii="Palatino Linotype" w:hAnsi="Palatino Linotype"/>
          <w:b/>
          <w:bCs/>
          <w:sz w:val="22"/>
          <w:szCs w:val="22"/>
        </w:rPr>
        <w:t>Table 4.</w:t>
      </w:r>
      <w:r w:rsidRPr="009B16AA">
        <w:rPr>
          <w:rFonts w:ascii="Palatino Linotype" w:hAnsi="Palatino Linotype"/>
          <w:sz w:val="22"/>
          <w:szCs w:val="22"/>
        </w:rPr>
        <w:t xml:space="preserve"> Comparative evaluation of</w:t>
      </w:r>
      <w:r>
        <w:rPr>
          <w:rFonts w:ascii="Palatino Linotype" w:hAnsi="Palatino Linotype"/>
          <w:sz w:val="22"/>
          <w:szCs w:val="22"/>
        </w:rPr>
        <w:t xml:space="preserve"> </w:t>
      </w:r>
      <w:r w:rsidRPr="009B16AA">
        <w:rPr>
          <w:rFonts w:ascii="Palatino Linotype" w:hAnsi="Palatino Linotype"/>
          <w:sz w:val="22"/>
          <w:szCs w:val="22"/>
        </w:rPr>
        <w:t>demographic</w:t>
      </w:r>
      <w:r>
        <w:rPr>
          <w:rFonts w:ascii="Palatino Linotype" w:hAnsi="Palatino Linotype"/>
          <w:sz w:val="22"/>
          <w:szCs w:val="22"/>
        </w:rPr>
        <w:t>, clinical and</w:t>
      </w:r>
      <w:r w:rsidRPr="009B16AA">
        <w:rPr>
          <w:rFonts w:ascii="Palatino Linotype" w:hAnsi="Palatino Linotype"/>
          <w:sz w:val="22"/>
          <w:szCs w:val="22"/>
        </w:rPr>
        <w:t xml:space="preserve"> treatment characteristics in breast cancer patients experiencing tumor relapse compared to those without relapse</w:t>
      </w:r>
    </w:p>
    <w:tbl>
      <w:tblPr>
        <w:tblW w:w="9207" w:type="dxa"/>
        <w:tblCellMar>
          <w:left w:w="70" w:type="dxa"/>
          <w:right w:w="70" w:type="dxa"/>
        </w:tblCellMar>
        <w:tblLook w:val="04A0" w:firstRow="1" w:lastRow="0" w:firstColumn="1" w:lastColumn="0" w:noHBand="0" w:noVBand="1"/>
      </w:tblPr>
      <w:tblGrid>
        <w:gridCol w:w="3593"/>
        <w:gridCol w:w="2346"/>
        <w:gridCol w:w="1125"/>
        <w:gridCol w:w="193"/>
        <w:gridCol w:w="1125"/>
        <w:gridCol w:w="825"/>
      </w:tblGrid>
      <w:tr w:rsidR="00F02322" w14:paraId="5E775ED0" w14:textId="77777777" w:rsidTr="00A873D8">
        <w:trPr>
          <w:trHeight w:val="316"/>
        </w:trPr>
        <w:tc>
          <w:tcPr>
            <w:tcW w:w="3593" w:type="dxa"/>
            <w:vMerge w:val="restart"/>
            <w:tcBorders>
              <w:top w:val="single" w:sz="4" w:space="0" w:color="auto"/>
              <w:left w:val="nil"/>
              <w:bottom w:val="single" w:sz="4" w:space="0" w:color="000000"/>
              <w:right w:val="nil"/>
            </w:tcBorders>
            <w:noWrap/>
            <w:vAlign w:val="center"/>
            <w:hideMark/>
          </w:tcPr>
          <w:p w14:paraId="1E34B83C" w14:textId="77777777" w:rsidR="00F02322" w:rsidRDefault="00F02322" w:rsidP="00A873D8">
            <w:pPr>
              <w:rPr>
                <w:rFonts w:ascii="Palatino Linotype" w:hAnsi="Palatino Linotype"/>
                <w:b/>
                <w:bCs/>
                <w:color w:val="000000"/>
                <w:sz w:val="21"/>
                <w:szCs w:val="21"/>
                <w:lang w:eastAsia="es-CO"/>
              </w:rPr>
            </w:pPr>
            <w:r>
              <w:rPr>
                <w:rFonts w:ascii="Palatino Linotype" w:hAnsi="Palatino Linotype"/>
                <w:b/>
                <w:bCs/>
                <w:color w:val="000000"/>
                <w:sz w:val="21"/>
                <w:szCs w:val="21"/>
              </w:rPr>
              <w:t>Characteristic</w:t>
            </w:r>
          </w:p>
        </w:tc>
        <w:tc>
          <w:tcPr>
            <w:tcW w:w="2346" w:type="dxa"/>
            <w:tcBorders>
              <w:top w:val="single" w:sz="4" w:space="0" w:color="auto"/>
              <w:left w:val="nil"/>
              <w:bottom w:val="single" w:sz="4" w:space="0" w:color="auto"/>
              <w:right w:val="nil"/>
            </w:tcBorders>
            <w:noWrap/>
            <w:vAlign w:val="bottom"/>
            <w:hideMark/>
          </w:tcPr>
          <w:p w14:paraId="678C852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2443" w:type="dxa"/>
            <w:gridSpan w:val="3"/>
            <w:tcBorders>
              <w:top w:val="single" w:sz="4" w:space="0" w:color="auto"/>
              <w:left w:val="nil"/>
              <w:bottom w:val="single" w:sz="4" w:space="0" w:color="auto"/>
              <w:right w:val="nil"/>
            </w:tcBorders>
            <w:noWrap/>
            <w:vAlign w:val="bottom"/>
            <w:hideMark/>
          </w:tcPr>
          <w:p w14:paraId="14DCFB38" w14:textId="77777777" w:rsidR="00F02322" w:rsidRDefault="00F02322" w:rsidP="00A873D8">
            <w:pPr>
              <w:jc w:val="center"/>
              <w:rPr>
                <w:rFonts w:ascii="Palatino Linotype" w:hAnsi="Palatino Linotype"/>
                <w:b/>
                <w:bCs/>
                <w:color w:val="000000"/>
                <w:sz w:val="21"/>
                <w:szCs w:val="21"/>
              </w:rPr>
            </w:pPr>
            <w:r>
              <w:rPr>
                <w:rFonts w:ascii="Palatino Linotype" w:hAnsi="Palatino Linotype"/>
                <w:b/>
                <w:bCs/>
                <w:color w:val="000000"/>
                <w:sz w:val="21"/>
                <w:szCs w:val="21"/>
              </w:rPr>
              <w:t>Breast tumor relapse</w:t>
            </w:r>
          </w:p>
        </w:tc>
        <w:tc>
          <w:tcPr>
            <w:tcW w:w="825" w:type="dxa"/>
            <w:tcBorders>
              <w:top w:val="single" w:sz="4" w:space="0" w:color="auto"/>
              <w:left w:val="nil"/>
              <w:bottom w:val="single" w:sz="4" w:space="0" w:color="auto"/>
              <w:right w:val="nil"/>
            </w:tcBorders>
            <w:noWrap/>
            <w:vAlign w:val="bottom"/>
            <w:hideMark/>
          </w:tcPr>
          <w:p w14:paraId="7C9E42D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r>
      <w:tr w:rsidR="00F02322" w14:paraId="597DFB91" w14:textId="77777777" w:rsidTr="00A873D8">
        <w:trPr>
          <w:trHeight w:val="634"/>
        </w:trPr>
        <w:tc>
          <w:tcPr>
            <w:tcW w:w="3593" w:type="dxa"/>
            <w:vMerge/>
            <w:tcBorders>
              <w:top w:val="single" w:sz="4" w:space="0" w:color="auto"/>
              <w:left w:val="nil"/>
              <w:bottom w:val="single" w:sz="4" w:space="0" w:color="000000"/>
              <w:right w:val="nil"/>
            </w:tcBorders>
            <w:vAlign w:val="center"/>
            <w:hideMark/>
          </w:tcPr>
          <w:p w14:paraId="247D45A1" w14:textId="77777777" w:rsidR="00F02322" w:rsidRDefault="00F02322" w:rsidP="00A873D8">
            <w:pPr>
              <w:rPr>
                <w:rFonts w:ascii="Palatino Linotype" w:hAnsi="Palatino Linotype"/>
                <w:b/>
                <w:bCs/>
                <w:color w:val="000000"/>
                <w:sz w:val="21"/>
                <w:szCs w:val="21"/>
              </w:rPr>
            </w:pPr>
          </w:p>
        </w:tc>
        <w:tc>
          <w:tcPr>
            <w:tcW w:w="2346" w:type="dxa"/>
            <w:tcBorders>
              <w:top w:val="nil"/>
              <w:left w:val="nil"/>
              <w:bottom w:val="single" w:sz="4" w:space="0" w:color="auto"/>
              <w:right w:val="nil"/>
            </w:tcBorders>
            <w:noWrap/>
            <w:vAlign w:val="bottom"/>
            <w:hideMark/>
          </w:tcPr>
          <w:p w14:paraId="74E4F2D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1125" w:type="dxa"/>
            <w:tcBorders>
              <w:top w:val="nil"/>
              <w:left w:val="nil"/>
              <w:bottom w:val="single" w:sz="4" w:space="0" w:color="auto"/>
              <w:right w:val="nil"/>
            </w:tcBorders>
            <w:vAlign w:val="bottom"/>
            <w:hideMark/>
          </w:tcPr>
          <w:p w14:paraId="0E44717B"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Yes</w:t>
            </w:r>
            <w:r>
              <w:rPr>
                <w:rFonts w:ascii="Palatino Linotype" w:hAnsi="Palatino Linotype"/>
                <w:b/>
                <w:bCs/>
                <w:color w:val="000000"/>
                <w:sz w:val="21"/>
                <w:szCs w:val="21"/>
              </w:rPr>
              <w:br/>
              <w:t>(n = 191)</w:t>
            </w:r>
          </w:p>
        </w:tc>
        <w:tc>
          <w:tcPr>
            <w:tcW w:w="193" w:type="dxa"/>
            <w:tcBorders>
              <w:top w:val="nil"/>
              <w:left w:val="nil"/>
              <w:bottom w:val="nil"/>
              <w:right w:val="nil"/>
            </w:tcBorders>
            <w:vAlign w:val="bottom"/>
            <w:hideMark/>
          </w:tcPr>
          <w:p w14:paraId="72C233A7" w14:textId="77777777" w:rsidR="00F02322" w:rsidRDefault="00F02322" w:rsidP="00A873D8">
            <w:pPr>
              <w:rPr>
                <w:rFonts w:ascii="Palatino Linotype" w:hAnsi="Palatino Linotype"/>
                <w:b/>
                <w:bCs/>
                <w:color w:val="000000"/>
                <w:sz w:val="21"/>
                <w:szCs w:val="21"/>
              </w:rPr>
            </w:pPr>
          </w:p>
        </w:tc>
        <w:tc>
          <w:tcPr>
            <w:tcW w:w="1125" w:type="dxa"/>
            <w:tcBorders>
              <w:top w:val="nil"/>
              <w:left w:val="nil"/>
              <w:bottom w:val="single" w:sz="4" w:space="0" w:color="auto"/>
              <w:right w:val="nil"/>
            </w:tcBorders>
            <w:vAlign w:val="bottom"/>
            <w:hideMark/>
          </w:tcPr>
          <w:p w14:paraId="1F4481C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No</w:t>
            </w:r>
            <w:r>
              <w:rPr>
                <w:rFonts w:ascii="Palatino Linotype" w:hAnsi="Palatino Linotype"/>
                <w:b/>
                <w:bCs/>
                <w:color w:val="000000"/>
                <w:sz w:val="21"/>
                <w:szCs w:val="21"/>
              </w:rPr>
              <w:br/>
              <w:t>(n = 642)</w:t>
            </w:r>
          </w:p>
        </w:tc>
        <w:tc>
          <w:tcPr>
            <w:tcW w:w="825" w:type="dxa"/>
            <w:tcBorders>
              <w:top w:val="nil"/>
              <w:left w:val="nil"/>
              <w:bottom w:val="single" w:sz="4" w:space="0" w:color="auto"/>
              <w:right w:val="nil"/>
            </w:tcBorders>
            <w:noWrap/>
            <w:vAlign w:val="bottom"/>
            <w:hideMark/>
          </w:tcPr>
          <w:p w14:paraId="2234AA8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p-value</w:t>
            </w:r>
            <w:r w:rsidRPr="008C312C">
              <w:rPr>
                <w:rFonts w:ascii="Palatino Linotype" w:hAnsi="Palatino Linotype"/>
                <w:b/>
                <w:bCs/>
                <w:color w:val="000000"/>
                <w:sz w:val="21"/>
                <w:szCs w:val="21"/>
                <w:vertAlign w:val="superscript"/>
              </w:rPr>
              <w:t>†</w:t>
            </w:r>
          </w:p>
        </w:tc>
      </w:tr>
      <w:tr w:rsidR="00F02322" w14:paraId="407049E4" w14:textId="77777777" w:rsidTr="00A873D8">
        <w:trPr>
          <w:trHeight w:val="316"/>
        </w:trPr>
        <w:tc>
          <w:tcPr>
            <w:tcW w:w="3593" w:type="dxa"/>
            <w:tcBorders>
              <w:top w:val="nil"/>
              <w:left w:val="nil"/>
              <w:bottom w:val="nil"/>
              <w:right w:val="nil"/>
            </w:tcBorders>
            <w:noWrap/>
            <w:vAlign w:val="bottom"/>
          </w:tcPr>
          <w:p w14:paraId="5128C84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Age</w:t>
            </w:r>
          </w:p>
        </w:tc>
        <w:tc>
          <w:tcPr>
            <w:tcW w:w="2346" w:type="dxa"/>
            <w:tcBorders>
              <w:top w:val="nil"/>
              <w:left w:val="nil"/>
              <w:bottom w:val="nil"/>
              <w:right w:val="nil"/>
            </w:tcBorders>
            <w:noWrap/>
            <w:vAlign w:val="bottom"/>
          </w:tcPr>
          <w:p w14:paraId="249968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Mean ± SD</w:t>
            </w:r>
          </w:p>
        </w:tc>
        <w:tc>
          <w:tcPr>
            <w:tcW w:w="1125" w:type="dxa"/>
            <w:tcBorders>
              <w:top w:val="nil"/>
              <w:left w:val="nil"/>
              <w:bottom w:val="nil"/>
              <w:right w:val="nil"/>
            </w:tcBorders>
            <w:noWrap/>
            <w:vAlign w:val="bottom"/>
          </w:tcPr>
          <w:p w14:paraId="2C44FC8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56.0 ± 11.8</w:t>
            </w:r>
          </w:p>
        </w:tc>
        <w:tc>
          <w:tcPr>
            <w:tcW w:w="193" w:type="dxa"/>
            <w:tcBorders>
              <w:top w:val="nil"/>
              <w:left w:val="nil"/>
              <w:bottom w:val="nil"/>
              <w:right w:val="nil"/>
            </w:tcBorders>
            <w:noWrap/>
            <w:vAlign w:val="bottom"/>
          </w:tcPr>
          <w:p w14:paraId="6D983A2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tcPr>
          <w:p w14:paraId="03FBE11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57.5 ± 11.4</w:t>
            </w:r>
          </w:p>
        </w:tc>
        <w:tc>
          <w:tcPr>
            <w:tcW w:w="825" w:type="dxa"/>
            <w:tcBorders>
              <w:top w:val="nil"/>
              <w:left w:val="nil"/>
              <w:bottom w:val="nil"/>
              <w:right w:val="nil"/>
            </w:tcBorders>
            <w:noWrap/>
            <w:vAlign w:val="bottom"/>
          </w:tcPr>
          <w:p w14:paraId="70F6A04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0.10</w:t>
            </w:r>
          </w:p>
        </w:tc>
      </w:tr>
      <w:tr w:rsidR="00F02322" w14:paraId="5F15C200" w14:textId="77777777" w:rsidTr="00A873D8">
        <w:trPr>
          <w:trHeight w:val="316"/>
        </w:trPr>
        <w:tc>
          <w:tcPr>
            <w:tcW w:w="3593" w:type="dxa"/>
            <w:tcBorders>
              <w:top w:val="nil"/>
              <w:left w:val="nil"/>
              <w:bottom w:val="nil"/>
              <w:right w:val="nil"/>
            </w:tcBorders>
            <w:noWrap/>
            <w:vAlign w:val="bottom"/>
          </w:tcPr>
          <w:p w14:paraId="2ECF983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Age, n (%)</w:t>
            </w:r>
          </w:p>
        </w:tc>
        <w:tc>
          <w:tcPr>
            <w:tcW w:w="2346" w:type="dxa"/>
            <w:tcBorders>
              <w:top w:val="nil"/>
              <w:left w:val="nil"/>
              <w:bottom w:val="nil"/>
              <w:right w:val="nil"/>
            </w:tcBorders>
            <w:noWrap/>
            <w:vAlign w:val="bottom"/>
            <w:hideMark/>
          </w:tcPr>
          <w:p w14:paraId="6D0EDDB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&lt;50</w:t>
            </w:r>
          </w:p>
        </w:tc>
        <w:tc>
          <w:tcPr>
            <w:tcW w:w="1125" w:type="dxa"/>
            <w:tcBorders>
              <w:top w:val="nil"/>
              <w:left w:val="nil"/>
              <w:bottom w:val="nil"/>
              <w:right w:val="nil"/>
            </w:tcBorders>
            <w:noWrap/>
            <w:vAlign w:val="bottom"/>
            <w:hideMark/>
          </w:tcPr>
          <w:p w14:paraId="6E5C21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55 (28.8)</w:t>
            </w:r>
          </w:p>
        </w:tc>
        <w:tc>
          <w:tcPr>
            <w:tcW w:w="193" w:type="dxa"/>
            <w:tcBorders>
              <w:top w:val="nil"/>
              <w:left w:val="nil"/>
              <w:bottom w:val="nil"/>
              <w:right w:val="nil"/>
            </w:tcBorders>
            <w:noWrap/>
            <w:vAlign w:val="bottom"/>
            <w:hideMark/>
          </w:tcPr>
          <w:p w14:paraId="5F8E4B5A"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70ED95D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825" w:type="dxa"/>
            <w:tcBorders>
              <w:top w:val="nil"/>
              <w:left w:val="nil"/>
              <w:bottom w:val="nil"/>
              <w:right w:val="nil"/>
            </w:tcBorders>
            <w:noWrap/>
            <w:vAlign w:val="bottom"/>
            <w:hideMark/>
          </w:tcPr>
          <w:p w14:paraId="6599F9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0.53</w:t>
            </w:r>
          </w:p>
        </w:tc>
      </w:tr>
      <w:tr w:rsidR="00F02322" w14:paraId="75424C5C" w14:textId="77777777" w:rsidTr="00A873D8">
        <w:trPr>
          <w:trHeight w:val="316"/>
        </w:trPr>
        <w:tc>
          <w:tcPr>
            <w:tcW w:w="3593" w:type="dxa"/>
            <w:tcBorders>
              <w:top w:val="nil"/>
              <w:left w:val="nil"/>
              <w:bottom w:val="single" w:sz="4" w:space="0" w:color="auto"/>
              <w:right w:val="nil"/>
            </w:tcBorders>
            <w:noWrap/>
            <w:vAlign w:val="bottom"/>
            <w:hideMark/>
          </w:tcPr>
          <w:p w14:paraId="60C07016"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5198E00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50</w:t>
            </w:r>
          </w:p>
        </w:tc>
        <w:tc>
          <w:tcPr>
            <w:tcW w:w="1125" w:type="dxa"/>
            <w:tcBorders>
              <w:top w:val="nil"/>
              <w:left w:val="nil"/>
              <w:bottom w:val="single" w:sz="4" w:space="0" w:color="auto"/>
              <w:right w:val="nil"/>
            </w:tcBorders>
            <w:noWrap/>
            <w:vAlign w:val="bottom"/>
            <w:hideMark/>
          </w:tcPr>
          <w:p w14:paraId="70D70C7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136 (71.2)</w:t>
            </w:r>
          </w:p>
        </w:tc>
        <w:tc>
          <w:tcPr>
            <w:tcW w:w="193" w:type="dxa"/>
            <w:tcBorders>
              <w:top w:val="nil"/>
              <w:left w:val="nil"/>
              <w:bottom w:val="single" w:sz="4" w:space="0" w:color="auto"/>
              <w:right w:val="nil"/>
            </w:tcBorders>
            <w:noWrap/>
            <w:vAlign w:val="bottom"/>
            <w:hideMark/>
          </w:tcPr>
          <w:p w14:paraId="0505F33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50516C6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474 (73.8)</w:t>
            </w:r>
          </w:p>
        </w:tc>
        <w:tc>
          <w:tcPr>
            <w:tcW w:w="825" w:type="dxa"/>
            <w:tcBorders>
              <w:top w:val="nil"/>
              <w:left w:val="nil"/>
              <w:bottom w:val="single" w:sz="4" w:space="0" w:color="auto"/>
              <w:right w:val="nil"/>
            </w:tcBorders>
            <w:noWrap/>
            <w:vAlign w:val="bottom"/>
            <w:hideMark/>
          </w:tcPr>
          <w:p w14:paraId="5EB8DEA5" w14:textId="77777777" w:rsidR="00F02322" w:rsidRDefault="00F02322" w:rsidP="00A873D8">
            <w:pPr>
              <w:rPr>
                <w:rFonts w:ascii="Palatino Linotype" w:hAnsi="Palatino Linotype"/>
                <w:color w:val="000000"/>
                <w:sz w:val="21"/>
                <w:szCs w:val="21"/>
              </w:rPr>
            </w:pPr>
          </w:p>
        </w:tc>
      </w:tr>
      <w:tr w:rsidR="00F02322" w14:paraId="0B6327BF" w14:textId="77777777" w:rsidTr="00A873D8">
        <w:trPr>
          <w:trHeight w:val="316"/>
        </w:trPr>
        <w:tc>
          <w:tcPr>
            <w:tcW w:w="3593" w:type="dxa"/>
            <w:tcBorders>
              <w:top w:val="single" w:sz="4" w:space="0" w:color="auto"/>
              <w:left w:val="nil"/>
              <w:bottom w:val="nil"/>
              <w:right w:val="nil"/>
            </w:tcBorders>
            <w:noWrap/>
            <w:vAlign w:val="bottom"/>
            <w:hideMark/>
          </w:tcPr>
          <w:p w14:paraId="0B785F4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n-US"/>
              </w:rPr>
              <w:t>Health insurance, n (%)</w:t>
            </w:r>
          </w:p>
        </w:tc>
        <w:tc>
          <w:tcPr>
            <w:tcW w:w="2346" w:type="dxa"/>
            <w:tcBorders>
              <w:top w:val="single" w:sz="4" w:space="0" w:color="auto"/>
              <w:left w:val="nil"/>
              <w:bottom w:val="nil"/>
              <w:right w:val="nil"/>
            </w:tcBorders>
            <w:noWrap/>
            <w:vAlign w:val="bottom"/>
            <w:hideMark/>
          </w:tcPr>
          <w:p w14:paraId="23EB27C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lang w:val="en-US"/>
              </w:rPr>
              <w:t>Contributive/Others</w:t>
            </w:r>
          </w:p>
        </w:tc>
        <w:tc>
          <w:tcPr>
            <w:tcW w:w="1125" w:type="dxa"/>
            <w:tcBorders>
              <w:top w:val="single" w:sz="4" w:space="0" w:color="auto"/>
              <w:left w:val="nil"/>
              <w:bottom w:val="nil"/>
              <w:right w:val="nil"/>
            </w:tcBorders>
            <w:noWrap/>
            <w:vAlign w:val="bottom"/>
            <w:hideMark/>
          </w:tcPr>
          <w:p w14:paraId="0F624E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81 (42.4)</w:t>
            </w:r>
          </w:p>
        </w:tc>
        <w:tc>
          <w:tcPr>
            <w:tcW w:w="193" w:type="dxa"/>
            <w:tcBorders>
              <w:top w:val="single" w:sz="4" w:space="0" w:color="auto"/>
              <w:left w:val="nil"/>
              <w:bottom w:val="nil"/>
              <w:right w:val="nil"/>
            </w:tcBorders>
            <w:noWrap/>
            <w:vAlign w:val="bottom"/>
            <w:hideMark/>
          </w:tcPr>
          <w:p w14:paraId="4975967D"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3F1B23F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354 (55.1)</w:t>
            </w:r>
          </w:p>
        </w:tc>
        <w:tc>
          <w:tcPr>
            <w:tcW w:w="825" w:type="dxa"/>
            <w:tcBorders>
              <w:top w:val="single" w:sz="4" w:space="0" w:color="auto"/>
              <w:left w:val="nil"/>
              <w:bottom w:val="nil"/>
              <w:right w:val="nil"/>
            </w:tcBorders>
            <w:noWrap/>
            <w:vAlign w:val="bottom"/>
            <w:hideMark/>
          </w:tcPr>
          <w:p w14:paraId="0F3F53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1FBD8F1" w14:textId="77777777" w:rsidTr="00A873D8">
        <w:trPr>
          <w:trHeight w:val="316"/>
        </w:trPr>
        <w:tc>
          <w:tcPr>
            <w:tcW w:w="3593" w:type="dxa"/>
            <w:tcBorders>
              <w:top w:val="nil"/>
              <w:left w:val="nil"/>
              <w:bottom w:val="single" w:sz="4" w:space="0" w:color="auto"/>
              <w:right w:val="nil"/>
            </w:tcBorders>
            <w:noWrap/>
            <w:vAlign w:val="bottom"/>
            <w:hideMark/>
          </w:tcPr>
          <w:p w14:paraId="75F87910"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5849613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lang w:val="en-US"/>
              </w:rPr>
              <w:t>Subsidized</w:t>
            </w:r>
          </w:p>
        </w:tc>
        <w:tc>
          <w:tcPr>
            <w:tcW w:w="1125" w:type="dxa"/>
            <w:tcBorders>
              <w:top w:val="nil"/>
              <w:left w:val="nil"/>
              <w:bottom w:val="single" w:sz="4" w:space="0" w:color="auto"/>
              <w:right w:val="nil"/>
            </w:tcBorders>
            <w:noWrap/>
            <w:vAlign w:val="bottom"/>
            <w:hideMark/>
          </w:tcPr>
          <w:p w14:paraId="12240F6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110 (57.6)</w:t>
            </w:r>
          </w:p>
        </w:tc>
        <w:tc>
          <w:tcPr>
            <w:tcW w:w="193" w:type="dxa"/>
            <w:tcBorders>
              <w:top w:val="nil"/>
              <w:left w:val="nil"/>
              <w:bottom w:val="single" w:sz="4" w:space="0" w:color="auto"/>
              <w:right w:val="nil"/>
            </w:tcBorders>
            <w:noWrap/>
            <w:vAlign w:val="bottom"/>
            <w:hideMark/>
          </w:tcPr>
          <w:p w14:paraId="0C6F4BF1"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24C1238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288 (44.9)</w:t>
            </w:r>
          </w:p>
        </w:tc>
        <w:tc>
          <w:tcPr>
            <w:tcW w:w="825" w:type="dxa"/>
            <w:tcBorders>
              <w:top w:val="nil"/>
              <w:left w:val="nil"/>
              <w:bottom w:val="single" w:sz="4" w:space="0" w:color="auto"/>
              <w:right w:val="nil"/>
            </w:tcBorders>
            <w:noWrap/>
            <w:vAlign w:val="bottom"/>
            <w:hideMark/>
          </w:tcPr>
          <w:p w14:paraId="207C0C98" w14:textId="77777777" w:rsidR="00F02322" w:rsidRDefault="00F02322" w:rsidP="00A873D8">
            <w:pPr>
              <w:rPr>
                <w:rFonts w:ascii="Palatino Linotype" w:hAnsi="Palatino Linotype"/>
                <w:color w:val="000000"/>
                <w:sz w:val="21"/>
                <w:szCs w:val="21"/>
              </w:rPr>
            </w:pPr>
          </w:p>
        </w:tc>
      </w:tr>
      <w:tr w:rsidR="00F02322" w14:paraId="71AFFBB3" w14:textId="77777777" w:rsidTr="00A873D8">
        <w:trPr>
          <w:trHeight w:val="316"/>
        </w:trPr>
        <w:tc>
          <w:tcPr>
            <w:tcW w:w="3593" w:type="dxa"/>
            <w:tcBorders>
              <w:top w:val="single" w:sz="4" w:space="0" w:color="auto"/>
              <w:left w:val="nil"/>
              <w:bottom w:val="nil"/>
              <w:right w:val="nil"/>
            </w:tcBorders>
            <w:noWrap/>
            <w:vAlign w:val="bottom"/>
            <w:hideMark/>
          </w:tcPr>
          <w:p w14:paraId="45BE7875"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Histological type, n (%)</w:t>
            </w:r>
          </w:p>
        </w:tc>
        <w:tc>
          <w:tcPr>
            <w:tcW w:w="2346" w:type="dxa"/>
            <w:tcBorders>
              <w:top w:val="single" w:sz="4" w:space="0" w:color="auto"/>
              <w:left w:val="nil"/>
              <w:bottom w:val="nil"/>
              <w:right w:val="nil"/>
            </w:tcBorders>
            <w:noWrap/>
            <w:vAlign w:val="bottom"/>
            <w:hideMark/>
          </w:tcPr>
          <w:p w14:paraId="371FF1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Ductal (NOS)</w:t>
            </w:r>
          </w:p>
        </w:tc>
        <w:tc>
          <w:tcPr>
            <w:tcW w:w="1125" w:type="dxa"/>
            <w:tcBorders>
              <w:top w:val="single" w:sz="4" w:space="0" w:color="auto"/>
              <w:left w:val="nil"/>
              <w:bottom w:val="nil"/>
              <w:right w:val="nil"/>
            </w:tcBorders>
            <w:noWrap/>
            <w:vAlign w:val="bottom"/>
            <w:hideMark/>
          </w:tcPr>
          <w:p w14:paraId="5F7AE32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170 (89.0)</w:t>
            </w:r>
          </w:p>
        </w:tc>
        <w:tc>
          <w:tcPr>
            <w:tcW w:w="193" w:type="dxa"/>
            <w:tcBorders>
              <w:top w:val="single" w:sz="4" w:space="0" w:color="auto"/>
              <w:left w:val="nil"/>
              <w:bottom w:val="nil"/>
              <w:right w:val="nil"/>
            </w:tcBorders>
            <w:noWrap/>
            <w:vAlign w:val="bottom"/>
            <w:hideMark/>
          </w:tcPr>
          <w:p w14:paraId="08697117"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502446F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547 (85.2)</w:t>
            </w:r>
          </w:p>
        </w:tc>
        <w:tc>
          <w:tcPr>
            <w:tcW w:w="825" w:type="dxa"/>
            <w:tcBorders>
              <w:top w:val="single" w:sz="4" w:space="0" w:color="auto"/>
              <w:left w:val="nil"/>
              <w:bottom w:val="nil"/>
              <w:right w:val="nil"/>
            </w:tcBorders>
            <w:noWrap/>
            <w:vAlign w:val="bottom"/>
            <w:hideMark/>
          </w:tcPr>
          <w:p w14:paraId="1AC4244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0.33</w:t>
            </w:r>
          </w:p>
        </w:tc>
      </w:tr>
      <w:tr w:rsidR="00F02322" w14:paraId="003CBD7A" w14:textId="77777777" w:rsidTr="00A873D8">
        <w:trPr>
          <w:trHeight w:val="316"/>
        </w:trPr>
        <w:tc>
          <w:tcPr>
            <w:tcW w:w="3593" w:type="dxa"/>
            <w:tcBorders>
              <w:top w:val="nil"/>
              <w:left w:val="nil"/>
              <w:bottom w:val="nil"/>
              <w:right w:val="nil"/>
            </w:tcBorders>
            <w:noWrap/>
            <w:vAlign w:val="bottom"/>
            <w:hideMark/>
          </w:tcPr>
          <w:p w14:paraId="0757E84F"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5277CFE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Lobular</w:t>
            </w:r>
          </w:p>
        </w:tc>
        <w:tc>
          <w:tcPr>
            <w:tcW w:w="1125" w:type="dxa"/>
            <w:tcBorders>
              <w:top w:val="nil"/>
              <w:left w:val="nil"/>
              <w:bottom w:val="nil"/>
              <w:right w:val="nil"/>
            </w:tcBorders>
            <w:noWrap/>
            <w:vAlign w:val="bottom"/>
            <w:hideMark/>
          </w:tcPr>
          <w:p w14:paraId="59709DE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 (4.70)</w:t>
            </w:r>
          </w:p>
        </w:tc>
        <w:tc>
          <w:tcPr>
            <w:tcW w:w="193" w:type="dxa"/>
            <w:tcBorders>
              <w:top w:val="nil"/>
              <w:left w:val="nil"/>
              <w:bottom w:val="nil"/>
              <w:right w:val="nil"/>
            </w:tcBorders>
            <w:noWrap/>
            <w:vAlign w:val="bottom"/>
            <w:hideMark/>
          </w:tcPr>
          <w:p w14:paraId="5066627C"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02DD186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(5.10)</w:t>
            </w:r>
          </w:p>
        </w:tc>
        <w:tc>
          <w:tcPr>
            <w:tcW w:w="825" w:type="dxa"/>
            <w:tcBorders>
              <w:top w:val="nil"/>
              <w:left w:val="nil"/>
              <w:bottom w:val="nil"/>
              <w:right w:val="nil"/>
            </w:tcBorders>
            <w:noWrap/>
            <w:vAlign w:val="bottom"/>
            <w:hideMark/>
          </w:tcPr>
          <w:p w14:paraId="76FDC35D" w14:textId="77777777" w:rsidR="00F02322" w:rsidRDefault="00F02322" w:rsidP="00A873D8">
            <w:pPr>
              <w:rPr>
                <w:rFonts w:ascii="Palatino Linotype" w:hAnsi="Palatino Linotype"/>
                <w:color w:val="000000"/>
                <w:sz w:val="21"/>
                <w:szCs w:val="21"/>
              </w:rPr>
            </w:pPr>
          </w:p>
        </w:tc>
      </w:tr>
      <w:tr w:rsidR="00F02322" w14:paraId="7E7D0008" w14:textId="77777777" w:rsidTr="00A873D8">
        <w:trPr>
          <w:trHeight w:val="316"/>
        </w:trPr>
        <w:tc>
          <w:tcPr>
            <w:tcW w:w="3593" w:type="dxa"/>
            <w:tcBorders>
              <w:top w:val="nil"/>
              <w:left w:val="nil"/>
              <w:bottom w:val="single" w:sz="4" w:space="0" w:color="auto"/>
              <w:right w:val="nil"/>
            </w:tcBorders>
            <w:noWrap/>
            <w:vAlign w:val="bottom"/>
            <w:hideMark/>
          </w:tcPr>
          <w:p w14:paraId="353DB0EF"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AB9A2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Other</w:t>
            </w:r>
          </w:p>
        </w:tc>
        <w:tc>
          <w:tcPr>
            <w:tcW w:w="1125" w:type="dxa"/>
            <w:tcBorders>
              <w:top w:val="nil"/>
              <w:left w:val="nil"/>
              <w:bottom w:val="single" w:sz="4" w:space="0" w:color="auto"/>
              <w:right w:val="nil"/>
            </w:tcBorders>
            <w:noWrap/>
            <w:vAlign w:val="bottom"/>
            <w:hideMark/>
          </w:tcPr>
          <w:p w14:paraId="5EA89DB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 (6.30)</w:t>
            </w:r>
          </w:p>
        </w:tc>
        <w:tc>
          <w:tcPr>
            <w:tcW w:w="193" w:type="dxa"/>
            <w:tcBorders>
              <w:top w:val="nil"/>
              <w:left w:val="nil"/>
              <w:bottom w:val="single" w:sz="4" w:space="0" w:color="auto"/>
              <w:right w:val="nil"/>
            </w:tcBorders>
            <w:noWrap/>
            <w:vAlign w:val="bottom"/>
            <w:hideMark/>
          </w:tcPr>
          <w:p w14:paraId="05B77B9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6B0DA20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62 (9.70)</w:t>
            </w:r>
          </w:p>
        </w:tc>
        <w:tc>
          <w:tcPr>
            <w:tcW w:w="825" w:type="dxa"/>
            <w:tcBorders>
              <w:top w:val="nil"/>
              <w:left w:val="nil"/>
              <w:bottom w:val="single" w:sz="4" w:space="0" w:color="auto"/>
              <w:right w:val="nil"/>
            </w:tcBorders>
            <w:noWrap/>
            <w:vAlign w:val="bottom"/>
            <w:hideMark/>
          </w:tcPr>
          <w:p w14:paraId="050DD3A4" w14:textId="77777777" w:rsidR="00F02322" w:rsidRDefault="00F02322" w:rsidP="00A873D8">
            <w:pPr>
              <w:rPr>
                <w:rFonts w:ascii="Palatino Linotype" w:hAnsi="Palatino Linotype"/>
                <w:color w:val="000000"/>
                <w:sz w:val="21"/>
                <w:szCs w:val="21"/>
              </w:rPr>
            </w:pPr>
          </w:p>
        </w:tc>
      </w:tr>
      <w:tr w:rsidR="00F02322" w14:paraId="6B58242C" w14:textId="77777777" w:rsidTr="00A873D8">
        <w:trPr>
          <w:trHeight w:val="316"/>
        </w:trPr>
        <w:tc>
          <w:tcPr>
            <w:tcW w:w="3593" w:type="dxa"/>
            <w:tcBorders>
              <w:top w:val="single" w:sz="4" w:space="0" w:color="auto"/>
              <w:left w:val="nil"/>
              <w:bottom w:val="nil"/>
              <w:right w:val="nil"/>
            </w:tcBorders>
            <w:noWrap/>
            <w:vAlign w:val="bottom"/>
            <w:hideMark/>
          </w:tcPr>
          <w:p w14:paraId="1C7741B9"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Clinical stage, n (%)</w:t>
            </w:r>
          </w:p>
        </w:tc>
        <w:tc>
          <w:tcPr>
            <w:tcW w:w="2346" w:type="dxa"/>
            <w:tcBorders>
              <w:top w:val="single" w:sz="4" w:space="0" w:color="auto"/>
              <w:left w:val="nil"/>
              <w:bottom w:val="nil"/>
              <w:right w:val="nil"/>
            </w:tcBorders>
            <w:noWrap/>
            <w:vAlign w:val="bottom"/>
            <w:hideMark/>
          </w:tcPr>
          <w:p w14:paraId="262111A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w:t>
            </w:r>
          </w:p>
        </w:tc>
        <w:tc>
          <w:tcPr>
            <w:tcW w:w="1125" w:type="dxa"/>
            <w:tcBorders>
              <w:top w:val="single" w:sz="4" w:space="0" w:color="auto"/>
              <w:left w:val="nil"/>
              <w:bottom w:val="nil"/>
              <w:right w:val="nil"/>
            </w:tcBorders>
            <w:noWrap/>
            <w:vAlign w:val="bottom"/>
            <w:hideMark/>
          </w:tcPr>
          <w:p w14:paraId="5DAE028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 (5.20)</w:t>
            </w:r>
          </w:p>
        </w:tc>
        <w:tc>
          <w:tcPr>
            <w:tcW w:w="193" w:type="dxa"/>
            <w:tcBorders>
              <w:top w:val="single" w:sz="4" w:space="0" w:color="auto"/>
              <w:left w:val="nil"/>
              <w:bottom w:val="nil"/>
              <w:right w:val="nil"/>
            </w:tcBorders>
            <w:noWrap/>
            <w:vAlign w:val="bottom"/>
            <w:hideMark/>
          </w:tcPr>
          <w:p w14:paraId="77A432AF"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139598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109 (17.0)</w:t>
            </w:r>
          </w:p>
        </w:tc>
        <w:tc>
          <w:tcPr>
            <w:tcW w:w="825" w:type="dxa"/>
            <w:tcBorders>
              <w:top w:val="single" w:sz="4" w:space="0" w:color="auto"/>
              <w:left w:val="nil"/>
              <w:bottom w:val="nil"/>
              <w:right w:val="nil"/>
            </w:tcBorders>
            <w:noWrap/>
            <w:vAlign w:val="bottom"/>
            <w:hideMark/>
          </w:tcPr>
          <w:p w14:paraId="402BCCA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0E7BE67" w14:textId="77777777" w:rsidTr="00A873D8">
        <w:trPr>
          <w:trHeight w:val="316"/>
        </w:trPr>
        <w:tc>
          <w:tcPr>
            <w:tcW w:w="3593" w:type="dxa"/>
            <w:tcBorders>
              <w:top w:val="nil"/>
              <w:left w:val="nil"/>
              <w:bottom w:val="nil"/>
              <w:right w:val="nil"/>
            </w:tcBorders>
            <w:noWrap/>
            <w:vAlign w:val="bottom"/>
            <w:hideMark/>
          </w:tcPr>
          <w:p w14:paraId="2F709A94"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0DE6FD8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II</w:t>
            </w:r>
          </w:p>
        </w:tc>
        <w:tc>
          <w:tcPr>
            <w:tcW w:w="1125" w:type="dxa"/>
            <w:tcBorders>
              <w:top w:val="nil"/>
              <w:left w:val="nil"/>
              <w:bottom w:val="nil"/>
              <w:right w:val="nil"/>
            </w:tcBorders>
            <w:noWrap/>
            <w:vAlign w:val="bottom"/>
            <w:hideMark/>
          </w:tcPr>
          <w:p w14:paraId="7197FA4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60 (31.4)</w:t>
            </w:r>
          </w:p>
        </w:tc>
        <w:tc>
          <w:tcPr>
            <w:tcW w:w="193" w:type="dxa"/>
            <w:tcBorders>
              <w:top w:val="nil"/>
              <w:left w:val="nil"/>
              <w:bottom w:val="nil"/>
              <w:right w:val="nil"/>
            </w:tcBorders>
            <w:noWrap/>
            <w:vAlign w:val="bottom"/>
            <w:hideMark/>
          </w:tcPr>
          <w:p w14:paraId="6E6878E3"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38F27E3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316 (49.2)</w:t>
            </w:r>
          </w:p>
        </w:tc>
        <w:tc>
          <w:tcPr>
            <w:tcW w:w="825" w:type="dxa"/>
            <w:tcBorders>
              <w:top w:val="nil"/>
              <w:left w:val="nil"/>
              <w:bottom w:val="nil"/>
              <w:right w:val="nil"/>
            </w:tcBorders>
            <w:noWrap/>
            <w:vAlign w:val="bottom"/>
            <w:hideMark/>
          </w:tcPr>
          <w:p w14:paraId="49E21260" w14:textId="77777777" w:rsidR="00F02322" w:rsidRDefault="00F02322" w:rsidP="00A873D8">
            <w:pPr>
              <w:rPr>
                <w:rFonts w:ascii="Palatino Linotype" w:hAnsi="Palatino Linotype"/>
                <w:color w:val="000000"/>
                <w:sz w:val="21"/>
                <w:szCs w:val="21"/>
              </w:rPr>
            </w:pPr>
          </w:p>
        </w:tc>
      </w:tr>
      <w:tr w:rsidR="00F02322" w14:paraId="081AB07D" w14:textId="77777777" w:rsidTr="00A873D8">
        <w:trPr>
          <w:trHeight w:val="316"/>
        </w:trPr>
        <w:tc>
          <w:tcPr>
            <w:tcW w:w="3593" w:type="dxa"/>
            <w:tcBorders>
              <w:top w:val="nil"/>
              <w:left w:val="nil"/>
              <w:bottom w:val="single" w:sz="4" w:space="0" w:color="auto"/>
              <w:right w:val="nil"/>
            </w:tcBorders>
            <w:noWrap/>
            <w:vAlign w:val="bottom"/>
            <w:hideMark/>
          </w:tcPr>
          <w:p w14:paraId="55801A82"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2E85C3B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III</w:t>
            </w:r>
          </w:p>
        </w:tc>
        <w:tc>
          <w:tcPr>
            <w:tcW w:w="1125" w:type="dxa"/>
            <w:tcBorders>
              <w:top w:val="nil"/>
              <w:left w:val="nil"/>
              <w:bottom w:val="single" w:sz="4" w:space="0" w:color="auto"/>
              <w:right w:val="nil"/>
            </w:tcBorders>
            <w:noWrap/>
            <w:vAlign w:val="bottom"/>
            <w:hideMark/>
          </w:tcPr>
          <w:p w14:paraId="5CB15A2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121 (63.4)</w:t>
            </w:r>
          </w:p>
        </w:tc>
        <w:tc>
          <w:tcPr>
            <w:tcW w:w="193" w:type="dxa"/>
            <w:tcBorders>
              <w:top w:val="nil"/>
              <w:left w:val="nil"/>
              <w:bottom w:val="single" w:sz="4" w:space="0" w:color="auto"/>
              <w:right w:val="nil"/>
            </w:tcBorders>
            <w:noWrap/>
            <w:vAlign w:val="bottom"/>
            <w:hideMark/>
          </w:tcPr>
          <w:p w14:paraId="1ADB955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74FD971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217 (33.8)</w:t>
            </w:r>
          </w:p>
        </w:tc>
        <w:tc>
          <w:tcPr>
            <w:tcW w:w="825" w:type="dxa"/>
            <w:tcBorders>
              <w:top w:val="nil"/>
              <w:left w:val="nil"/>
              <w:bottom w:val="single" w:sz="4" w:space="0" w:color="auto"/>
              <w:right w:val="nil"/>
            </w:tcBorders>
            <w:noWrap/>
            <w:vAlign w:val="bottom"/>
            <w:hideMark/>
          </w:tcPr>
          <w:p w14:paraId="3F99BDFF" w14:textId="77777777" w:rsidR="00F02322" w:rsidRDefault="00F02322" w:rsidP="00A873D8">
            <w:pPr>
              <w:rPr>
                <w:rFonts w:ascii="Palatino Linotype" w:hAnsi="Palatino Linotype"/>
                <w:color w:val="000000"/>
                <w:sz w:val="21"/>
                <w:szCs w:val="21"/>
              </w:rPr>
            </w:pPr>
          </w:p>
        </w:tc>
      </w:tr>
      <w:tr w:rsidR="00F02322" w14:paraId="7C4B7DDC" w14:textId="77777777" w:rsidTr="00A873D8">
        <w:trPr>
          <w:trHeight w:val="316"/>
        </w:trPr>
        <w:tc>
          <w:tcPr>
            <w:tcW w:w="3593" w:type="dxa"/>
            <w:tcBorders>
              <w:top w:val="single" w:sz="4" w:space="0" w:color="auto"/>
              <w:left w:val="nil"/>
              <w:bottom w:val="nil"/>
              <w:right w:val="nil"/>
            </w:tcBorders>
            <w:noWrap/>
            <w:vAlign w:val="bottom"/>
            <w:hideMark/>
          </w:tcPr>
          <w:p w14:paraId="02F15E8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Molecular subtype, n (%)</w:t>
            </w:r>
          </w:p>
        </w:tc>
        <w:tc>
          <w:tcPr>
            <w:tcW w:w="2346" w:type="dxa"/>
            <w:tcBorders>
              <w:top w:val="single" w:sz="4" w:space="0" w:color="auto"/>
              <w:left w:val="nil"/>
              <w:bottom w:val="nil"/>
              <w:right w:val="nil"/>
            </w:tcBorders>
            <w:noWrap/>
            <w:vAlign w:val="bottom"/>
            <w:hideMark/>
          </w:tcPr>
          <w:p w14:paraId="00C39CC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A</w:t>
            </w:r>
          </w:p>
        </w:tc>
        <w:tc>
          <w:tcPr>
            <w:tcW w:w="1125" w:type="dxa"/>
            <w:tcBorders>
              <w:top w:val="single" w:sz="4" w:space="0" w:color="auto"/>
              <w:left w:val="nil"/>
              <w:bottom w:val="nil"/>
              <w:right w:val="nil"/>
            </w:tcBorders>
            <w:noWrap/>
            <w:vAlign w:val="bottom"/>
            <w:hideMark/>
          </w:tcPr>
          <w:p w14:paraId="6B6292A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(17.3)</w:t>
            </w:r>
          </w:p>
        </w:tc>
        <w:tc>
          <w:tcPr>
            <w:tcW w:w="193" w:type="dxa"/>
            <w:tcBorders>
              <w:top w:val="single" w:sz="4" w:space="0" w:color="auto"/>
              <w:left w:val="nil"/>
              <w:bottom w:val="nil"/>
              <w:right w:val="nil"/>
            </w:tcBorders>
            <w:noWrap/>
            <w:vAlign w:val="bottom"/>
            <w:hideMark/>
          </w:tcPr>
          <w:p w14:paraId="3FA0F40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CBE24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279 (43.5)</w:t>
            </w:r>
          </w:p>
        </w:tc>
        <w:tc>
          <w:tcPr>
            <w:tcW w:w="825" w:type="dxa"/>
            <w:tcBorders>
              <w:top w:val="single" w:sz="4" w:space="0" w:color="auto"/>
              <w:left w:val="nil"/>
              <w:bottom w:val="nil"/>
              <w:right w:val="nil"/>
            </w:tcBorders>
            <w:noWrap/>
            <w:vAlign w:val="bottom"/>
            <w:hideMark/>
          </w:tcPr>
          <w:p w14:paraId="459B926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45217231" w14:textId="77777777" w:rsidTr="00A873D8">
        <w:trPr>
          <w:trHeight w:val="316"/>
        </w:trPr>
        <w:tc>
          <w:tcPr>
            <w:tcW w:w="3593" w:type="dxa"/>
            <w:tcBorders>
              <w:top w:val="nil"/>
              <w:left w:val="nil"/>
              <w:bottom w:val="nil"/>
              <w:right w:val="nil"/>
            </w:tcBorders>
            <w:noWrap/>
            <w:vAlign w:val="bottom"/>
            <w:hideMark/>
          </w:tcPr>
          <w:p w14:paraId="77284CF7"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601D9D1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125" w:type="dxa"/>
            <w:tcBorders>
              <w:top w:val="nil"/>
              <w:left w:val="nil"/>
              <w:bottom w:val="nil"/>
              <w:right w:val="nil"/>
            </w:tcBorders>
            <w:noWrap/>
            <w:vAlign w:val="bottom"/>
            <w:hideMark/>
          </w:tcPr>
          <w:p w14:paraId="6B202A7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78 (40.8)</w:t>
            </w:r>
          </w:p>
        </w:tc>
        <w:tc>
          <w:tcPr>
            <w:tcW w:w="193" w:type="dxa"/>
            <w:tcBorders>
              <w:top w:val="nil"/>
              <w:left w:val="nil"/>
              <w:bottom w:val="nil"/>
              <w:right w:val="nil"/>
            </w:tcBorders>
            <w:noWrap/>
            <w:vAlign w:val="bottom"/>
            <w:hideMark/>
          </w:tcPr>
          <w:p w14:paraId="4C0ABA8D"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52A3957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825" w:type="dxa"/>
            <w:tcBorders>
              <w:top w:val="nil"/>
              <w:left w:val="nil"/>
              <w:bottom w:val="nil"/>
              <w:right w:val="nil"/>
            </w:tcBorders>
            <w:noWrap/>
            <w:vAlign w:val="bottom"/>
            <w:hideMark/>
          </w:tcPr>
          <w:p w14:paraId="68A961FF" w14:textId="77777777" w:rsidR="00F02322" w:rsidRDefault="00F02322" w:rsidP="00A873D8">
            <w:pPr>
              <w:rPr>
                <w:rFonts w:ascii="Palatino Linotype" w:hAnsi="Palatino Linotype"/>
                <w:color w:val="000000"/>
                <w:sz w:val="21"/>
                <w:szCs w:val="21"/>
              </w:rPr>
            </w:pPr>
          </w:p>
        </w:tc>
      </w:tr>
      <w:tr w:rsidR="00F02322" w14:paraId="3F9541BA" w14:textId="77777777" w:rsidTr="00A873D8">
        <w:trPr>
          <w:trHeight w:val="316"/>
        </w:trPr>
        <w:tc>
          <w:tcPr>
            <w:tcW w:w="3593" w:type="dxa"/>
            <w:tcBorders>
              <w:top w:val="nil"/>
              <w:left w:val="nil"/>
              <w:bottom w:val="nil"/>
              <w:right w:val="nil"/>
            </w:tcBorders>
            <w:noWrap/>
            <w:vAlign w:val="bottom"/>
            <w:hideMark/>
          </w:tcPr>
          <w:p w14:paraId="2F2693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75FA22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125" w:type="dxa"/>
            <w:tcBorders>
              <w:top w:val="nil"/>
              <w:left w:val="nil"/>
              <w:bottom w:val="nil"/>
              <w:right w:val="nil"/>
            </w:tcBorders>
            <w:noWrap/>
            <w:vAlign w:val="bottom"/>
            <w:hideMark/>
          </w:tcPr>
          <w:p w14:paraId="17FA92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34 (17.8)</w:t>
            </w:r>
          </w:p>
        </w:tc>
        <w:tc>
          <w:tcPr>
            <w:tcW w:w="193" w:type="dxa"/>
            <w:tcBorders>
              <w:top w:val="nil"/>
              <w:left w:val="nil"/>
              <w:bottom w:val="nil"/>
              <w:right w:val="nil"/>
            </w:tcBorders>
            <w:noWrap/>
            <w:vAlign w:val="bottom"/>
            <w:hideMark/>
          </w:tcPr>
          <w:p w14:paraId="02CCE01C"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08BE571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92 (14.3)</w:t>
            </w:r>
          </w:p>
        </w:tc>
        <w:tc>
          <w:tcPr>
            <w:tcW w:w="825" w:type="dxa"/>
            <w:tcBorders>
              <w:top w:val="nil"/>
              <w:left w:val="nil"/>
              <w:bottom w:val="nil"/>
              <w:right w:val="nil"/>
            </w:tcBorders>
            <w:noWrap/>
            <w:vAlign w:val="bottom"/>
            <w:hideMark/>
          </w:tcPr>
          <w:p w14:paraId="092084DA" w14:textId="77777777" w:rsidR="00F02322" w:rsidRDefault="00F02322" w:rsidP="00A873D8">
            <w:pPr>
              <w:rPr>
                <w:rFonts w:ascii="Palatino Linotype" w:hAnsi="Palatino Linotype"/>
                <w:color w:val="000000"/>
                <w:sz w:val="21"/>
                <w:szCs w:val="21"/>
              </w:rPr>
            </w:pPr>
          </w:p>
        </w:tc>
      </w:tr>
      <w:tr w:rsidR="00F02322" w14:paraId="738733A4" w14:textId="77777777" w:rsidTr="00A873D8">
        <w:trPr>
          <w:trHeight w:val="316"/>
        </w:trPr>
        <w:tc>
          <w:tcPr>
            <w:tcW w:w="3593" w:type="dxa"/>
            <w:tcBorders>
              <w:top w:val="nil"/>
              <w:left w:val="nil"/>
              <w:right w:val="nil"/>
            </w:tcBorders>
            <w:noWrap/>
            <w:vAlign w:val="bottom"/>
            <w:hideMark/>
          </w:tcPr>
          <w:p w14:paraId="5C076366" w14:textId="77777777" w:rsidR="00F02322" w:rsidRDefault="00F02322" w:rsidP="00A873D8">
            <w:pPr>
              <w:rPr>
                <w:sz w:val="20"/>
                <w:szCs w:val="20"/>
              </w:rPr>
            </w:pPr>
          </w:p>
        </w:tc>
        <w:tc>
          <w:tcPr>
            <w:tcW w:w="2346" w:type="dxa"/>
            <w:tcBorders>
              <w:top w:val="nil"/>
              <w:left w:val="nil"/>
              <w:right w:val="nil"/>
            </w:tcBorders>
            <w:noWrap/>
            <w:vAlign w:val="bottom"/>
            <w:hideMark/>
          </w:tcPr>
          <w:p w14:paraId="227D296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Her2+</w:t>
            </w:r>
          </w:p>
        </w:tc>
        <w:tc>
          <w:tcPr>
            <w:tcW w:w="1125" w:type="dxa"/>
            <w:tcBorders>
              <w:top w:val="nil"/>
              <w:left w:val="nil"/>
              <w:right w:val="nil"/>
            </w:tcBorders>
            <w:noWrap/>
            <w:vAlign w:val="bottom"/>
            <w:hideMark/>
          </w:tcPr>
          <w:p w14:paraId="36AA3D1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 (6.8)</w:t>
            </w:r>
          </w:p>
        </w:tc>
        <w:tc>
          <w:tcPr>
            <w:tcW w:w="193" w:type="dxa"/>
            <w:tcBorders>
              <w:top w:val="nil"/>
              <w:left w:val="nil"/>
              <w:right w:val="nil"/>
            </w:tcBorders>
            <w:noWrap/>
            <w:vAlign w:val="bottom"/>
            <w:hideMark/>
          </w:tcPr>
          <w:p w14:paraId="3BF6920B" w14:textId="77777777" w:rsidR="00F02322" w:rsidRDefault="00F02322" w:rsidP="00A873D8">
            <w:pPr>
              <w:rPr>
                <w:rFonts w:ascii="Palatino Linotype" w:hAnsi="Palatino Linotype"/>
                <w:color w:val="000000"/>
                <w:sz w:val="21"/>
                <w:szCs w:val="21"/>
              </w:rPr>
            </w:pPr>
          </w:p>
        </w:tc>
        <w:tc>
          <w:tcPr>
            <w:tcW w:w="1125" w:type="dxa"/>
            <w:tcBorders>
              <w:top w:val="nil"/>
              <w:left w:val="nil"/>
              <w:right w:val="nil"/>
            </w:tcBorders>
            <w:noWrap/>
            <w:vAlign w:val="bottom"/>
            <w:hideMark/>
          </w:tcPr>
          <w:p w14:paraId="7D4D7F0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825" w:type="dxa"/>
            <w:tcBorders>
              <w:top w:val="nil"/>
              <w:left w:val="nil"/>
              <w:right w:val="nil"/>
            </w:tcBorders>
            <w:noWrap/>
            <w:vAlign w:val="bottom"/>
            <w:hideMark/>
          </w:tcPr>
          <w:p w14:paraId="210FBB0A" w14:textId="77777777" w:rsidR="00F02322" w:rsidRDefault="00F02322" w:rsidP="00A873D8">
            <w:pPr>
              <w:rPr>
                <w:rFonts w:ascii="Palatino Linotype" w:hAnsi="Palatino Linotype"/>
                <w:color w:val="000000"/>
                <w:sz w:val="21"/>
                <w:szCs w:val="21"/>
              </w:rPr>
            </w:pPr>
          </w:p>
        </w:tc>
      </w:tr>
      <w:tr w:rsidR="00F02322" w14:paraId="2DE0ADB6" w14:textId="77777777" w:rsidTr="00A873D8">
        <w:trPr>
          <w:trHeight w:val="316"/>
        </w:trPr>
        <w:tc>
          <w:tcPr>
            <w:tcW w:w="3593" w:type="dxa"/>
            <w:tcBorders>
              <w:top w:val="nil"/>
              <w:left w:val="nil"/>
              <w:bottom w:val="single" w:sz="4" w:space="0" w:color="auto"/>
              <w:right w:val="nil"/>
            </w:tcBorders>
            <w:noWrap/>
            <w:vAlign w:val="bottom"/>
            <w:hideMark/>
          </w:tcPr>
          <w:p w14:paraId="24D4FF9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A5DCB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Triple-negative</w:t>
            </w:r>
          </w:p>
        </w:tc>
        <w:tc>
          <w:tcPr>
            <w:tcW w:w="1125" w:type="dxa"/>
            <w:tcBorders>
              <w:top w:val="nil"/>
              <w:left w:val="nil"/>
              <w:bottom w:val="single" w:sz="4" w:space="0" w:color="auto"/>
              <w:right w:val="nil"/>
            </w:tcBorders>
            <w:noWrap/>
            <w:vAlign w:val="bottom"/>
            <w:hideMark/>
          </w:tcPr>
          <w:p w14:paraId="1B4C159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 (17.3)</w:t>
            </w:r>
          </w:p>
        </w:tc>
        <w:tc>
          <w:tcPr>
            <w:tcW w:w="193" w:type="dxa"/>
            <w:tcBorders>
              <w:top w:val="nil"/>
              <w:left w:val="nil"/>
              <w:bottom w:val="single" w:sz="4" w:space="0" w:color="auto"/>
              <w:right w:val="nil"/>
            </w:tcBorders>
            <w:noWrap/>
            <w:vAlign w:val="bottom"/>
            <w:hideMark/>
          </w:tcPr>
          <w:p w14:paraId="50E547E7"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0704410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61 (9.50)</w:t>
            </w:r>
          </w:p>
        </w:tc>
        <w:tc>
          <w:tcPr>
            <w:tcW w:w="825" w:type="dxa"/>
            <w:tcBorders>
              <w:top w:val="nil"/>
              <w:left w:val="nil"/>
              <w:bottom w:val="single" w:sz="4" w:space="0" w:color="auto"/>
              <w:right w:val="nil"/>
            </w:tcBorders>
            <w:noWrap/>
            <w:vAlign w:val="bottom"/>
            <w:hideMark/>
          </w:tcPr>
          <w:p w14:paraId="493FC11F" w14:textId="77777777" w:rsidR="00F02322" w:rsidRDefault="00F02322" w:rsidP="00A873D8">
            <w:pPr>
              <w:rPr>
                <w:rFonts w:ascii="Palatino Linotype" w:hAnsi="Palatino Linotype"/>
                <w:color w:val="000000"/>
                <w:sz w:val="21"/>
                <w:szCs w:val="21"/>
              </w:rPr>
            </w:pPr>
          </w:p>
        </w:tc>
      </w:tr>
      <w:tr w:rsidR="00F02322" w14:paraId="0BECBE79" w14:textId="77777777" w:rsidTr="00A873D8">
        <w:trPr>
          <w:trHeight w:val="316"/>
        </w:trPr>
        <w:tc>
          <w:tcPr>
            <w:tcW w:w="3593" w:type="dxa"/>
            <w:tcBorders>
              <w:top w:val="single" w:sz="4" w:space="0" w:color="auto"/>
              <w:left w:val="nil"/>
              <w:right w:val="nil"/>
            </w:tcBorders>
            <w:noWrap/>
            <w:vAlign w:val="bottom"/>
          </w:tcPr>
          <w:p w14:paraId="1F74E4BA" w14:textId="77777777" w:rsidR="00F02322" w:rsidRDefault="00F02322" w:rsidP="00A873D8">
            <w:pPr>
              <w:rPr>
                <w:rFonts w:ascii="Palatino Linotype" w:hAnsi="Palatino Linotype"/>
                <w:b/>
                <w:bCs/>
                <w:color w:val="000000"/>
                <w:sz w:val="21"/>
                <w:szCs w:val="21"/>
                <w:lang w:val="es-MX"/>
              </w:rPr>
            </w:pPr>
            <w:r>
              <w:rPr>
                <w:rFonts w:ascii="Palatino Linotype" w:hAnsi="Palatino Linotype"/>
                <w:b/>
                <w:bCs/>
                <w:color w:val="000000"/>
                <w:sz w:val="21"/>
                <w:szCs w:val="21"/>
                <w:lang w:val="es-MX"/>
              </w:rPr>
              <w:t>Neoadjuvant chemotherapy, n (%)</w:t>
            </w:r>
          </w:p>
        </w:tc>
        <w:tc>
          <w:tcPr>
            <w:tcW w:w="2346" w:type="dxa"/>
            <w:tcBorders>
              <w:top w:val="single" w:sz="4" w:space="0" w:color="auto"/>
              <w:left w:val="nil"/>
              <w:right w:val="nil"/>
            </w:tcBorders>
            <w:noWrap/>
            <w:vAlign w:val="bottom"/>
          </w:tcPr>
          <w:p w14:paraId="6277839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right w:val="nil"/>
            </w:tcBorders>
            <w:noWrap/>
            <w:vAlign w:val="bottom"/>
          </w:tcPr>
          <w:p w14:paraId="1E0037C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145 (75.9)</w:t>
            </w:r>
          </w:p>
        </w:tc>
        <w:tc>
          <w:tcPr>
            <w:tcW w:w="193" w:type="dxa"/>
            <w:tcBorders>
              <w:top w:val="single" w:sz="4" w:space="0" w:color="auto"/>
              <w:left w:val="nil"/>
              <w:right w:val="nil"/>
            </w:tcBorders>
            <w:noWrap/>
            <w:vAlign w:val="bottom"/>
          </w:tcPr>
          <w:p w14:paraId="0967E9A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right w:val="nil"/>
            </w:tcBorders>
            <w:noWrap/>
            <w:vAlign w:val="bottom"/>
          </w:tcPr>
          <w:p w14:paraId="727AFC1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333 (51.9)</w:t>
            </w:r>
          </w:p>
        </w:tc>
        <w:tc>
          <w:tcPr>
            <w:tcW w:w="825" w:type="dxa"/>
            <w:tcBorders>
              <w:top w:val="single" w:sz="4" w:space="0" w:color="auto"/>
              <w:left w:val="nil"/>
              <w:right w:val="nil"/>
            </w:tcBorders>
            <w:noWrap/>
            <w:vAlign w:val="bottom"/>
          </w:tcPr>
          <w:p w14:paraId="7325CB1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583E59B" w14:textId="77777777" w:rsidTr="00A873D8">
        <w:trPr>
          <w:trHeight w:val="316"/>
        </w:trPr>
        <w:tc>
          <w:tcPr>
            <w:tcW w:w="3593" w:type="dxa"/>
            <w:tcBorders>
              <w:left w:val="nil"/>
              <w:bottom w:val="nil"/>
              <w:right w:val="nil"/>
            </w:tcBorders>
            <w:noWrap/>
            <w:vAlign w:val="bottom"/>
          </w:tcPr>
          <w:p w14:paraId="1453D358" w14:textId="77777777" w:rsidR="00F02322" w:rsidRDefault="00F02322" w:rsidP="00A873D8">
            <w:pPr>
              <w:rPr>
                <w:rFonts w:ascii="Palatino Linotype" w:hAnsi="Palatino Linotype"/>
                <w:b/>
                <w:bCs/>
                <w:color w:val="000000"/>
                <w:sz w:val="21"/>
                <w:szCs w:val="21"/>
                <w:lang w:val="es-MX"/>
              </w:rPr>
            </w:pPr>
          </w:p>
        </w:tc>
        <w:tc>
          <w:tcPr>
            <w:tcW w:w="2346" w:type="dxa"/>
            <w:tcBorders>
              <w:left w:val="nil"/>
              <w:bottom w:val="nil"/>
              <w:right w:val="nil"/>
            </w:tcBorders>
            <w:noWrap/>
            <w:vAlign w:val="bottom"/>
          </w:tcPr>
          <w:p w14:paraId="6EDF90F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left w:val="nil"/>
              <w:bottom w:val="nil"/>
              <w:right w:val="nil"/>
            </w:tcBorders>
            <w:noWrap/>
            <w:vAlign w:val="bottom"/>
          </w:tcPr>
          <w:p w14:paraId="11C91D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46 (24.1)</w:t>
            </w:r>
          </w:p>
        </w:tc>
        <w:tc>
          <w:tcPr>
            <w:tcW w:w="193" w:type="dxa"/>
            <w:tcBorders>
              <w:left w:val="nil"/>
              <w:bottom w:val="nil"/>
              <w:right w:val="nil"/>
            </w:tcBorders>
            <w:noWrap/>
            <w:vAlign w:val="bottom"/>
          </w:tcPr>
          <w:p w14:paraId="6B8A66F1" w14:textId="77777777" w:rsidR="00F02322" w:rsidRDefault="00F02322" w:rsidP="00A873D8">
            <w:pPr>
              <w:rPr>
                <w:rFonts w:ascii="Palatino Linotype" w:hAnsi="Palatino Linotype"/>
                <w:color w:val="000000"/>
                <w:sz w:val="21"/>
                <w:szCs w:val="21"/>
              </w:rPr>
            </w:pPr>
          </w:p>
        </w:tc>
        <w:tc>
          <w:tcPr>
            <w:tcW w:w="1125" w:type="dxa"/>
            <w:tcBorders>
              <w:left w:val="nil"/>
              <w:bottom w:val="nil"/>
              <w:right w:val="nil"/>
            </w:tcBorders>
            <w:noWrap/>
            <w:vAlign w:val="bottom"/>
          </w:tcPr>
          <w:p w14:paraId="379C21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309 (48.1)</w:t>
            </w:r>
          </w:p>
        </w:tc>
        <w:tc>
          <w:tcPr>
            <w:tcW w:w="825" w:type="dxa"/>
            <w:tcBorders>
              <w:left w:val="nil"/>
              <w:bottom w:val="nil"/>
              <w:right w:val="nil"/>
            </w:tcBorders>
            <w:noWrap/>
            <w:vAlign w:val="bottom"/>
          </w:tcPr>
          <w:p w14:paraId="7BB7CEC2" w14:textId="77777777" w:rsidR="00F02322" w:rsidRDefault="00F02322" w:rsidP="00A873D8">
            <w:pPr>
              <w:rPr>
                <w:rFonts w:ascii="Palatino Linotype" w:hAnsi="Palatino Linotype"/>
                <w:color w:val="000000"/>
                <w:sz w:val="21"/>
                <w:szCs w:val="21"/>
              </w:rPr>
            </w:pPr>
          </w:p>
        </w:tc>
      </w:tr>
      <w:tr w:rsidR="00F02322" w14:paraId="420D43D5" w14:textId="77777777" w:rsidTr="00A873D8">
        <w:trPr>
          <w:trHeight w:val="316"/>
        </w:trPr>
        <w:tc>
          <w:tcPr>
            <w:tcW w:w="3593" w:type="dxa"/>
            <w:tcBorders>
              <w:top w:val="single" w:sz="4" w:space="0" w:color="auto"/>
              <w:left w:val="nil"/>
              <w:bottom w:val="nil"/>
              <w:right w:val="nil"/>
            </w:tcBorders>
            <w:noWrap/>
            <w:vAlign w:val="bottom"/>
            <w:hideMark/>
          </w:tcPr>
          <w:p w14:paraId="400C522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Breast surgery, n (%)</w:t>
            </w:r>
          </w:p>
        </w:tc>
        <w:tc>
          <w:tcPr>
            <w:tcW w:w="2346" w:type="dxa"/>
            <w:tcBorders>
              <w:top w:val="single" w:sz="4" w:space="0" w:color="auto"/>
              <w:left w:val="nil"/>
              <w:bottom w:val="nil"/>
              <w:right w:val="nil"/>
            </w:tcBorders>
            <w:noWrap/>
            <w:vAlign w:val="bottom"/>
            <w:hideMark/>
          </w:tcPr>
          <w:p w14:paraId="33B9BDF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C</w:t>
            </w:r>
            <w:r w:rsidRPr="009B16AA">
              <w:rPr>
                <w:rFonts w:ascii="Palatino Linotype" w:hAnsi="Palatino Linotype"/>
                <w:color w:val="000000"/>
                <w:sz w:val="21"/>
                <w:szCs w:val="21"/>
              </w:rPr>
              <w:t xml:space="preserve">onservative </w:t>
            </w:r>
          </w:p>
        </w:tc>
        <w:tc>
          <w:tcPr>
            <w:tcW w:w="1125" w:type="dxa"/>
            <w:tcBorders>
              <w:top w:val="single" w:sz="4" w:space="0" w:color="auto"/>
              <w:left w:val="nil"/>
              <w:bottom w:val="nil"/>
              <w:right w:val="nil"/>
            </w:tcBorders>
            <w:noWrap/>
            <w:vAlign w:val="bottom"/>
            <w:hideMark/>
          </w:tcPr>
          <w:p w14:paraId="77B9DEA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68 (35.6)</w:t>
            </w:r>
          </w:p>
        </w:tc>
        <w:tc>
          <w:tcPr>
            <w:tcW w:w="193" w:type="dxa"/>
            <w:tcBorders>
              <w:top w:val="single" w:sz="4" w:space="0" w:color="auto"/>
              <w:left w:val="nil"/>
              <w:bottom w:val="nil"/>
              <w:right w:val="nil"/>
            </w:tcBorders>
            <w:noWrap/>
            <w:vAlign w:val="bottom"/>
            <w:hideMark/>
          </w:tcPr>
          <w:p w14:paraId="30A0C8A0"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233D6E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411 (64.0)</w:t>
            </w:r>
          </w:p>
        </w:tc>
        <w:tc>
          <w:tcPr>
            <w:tcW w:w="825" w:type="dxa"/>
            <w:tcBorders>
              <w:top w:val="single" w:sz="4" w:space="0" w:color="auto"/>
              <w:left w:val="nil"/>
              <w:bottom w:val="nil"/>
              <w:right w:val="nil"/>
            </w:tcBorders>
            <w:noWrap/>
            <w:vAlign w:val="bottom"/>
            <w:hideMark/>
          </w:tcPr>
          <w:p w14:paraId="06D55AE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5136898F" w14:textId="77777777" w:rsidTr="00A873D8">
        <w:trPr>
          <w:trHeight w:val="316"/>
        </w:trPr>
        <w:tc>
          <w:tcPr>
            <w:tcW w:w="3593" w:type="dxa"/>
            <w:tcBorders>
              <w:top w:val="nil"/>
              <w:left w:val="nil"/>
              <w:bottom w:val="single" w:sz="4" w:space="0" w:color="auto"/>
              <w:right w:val="nil"/>
            </w:tcBorders>
            <w:noWrap/>
            <w:vAlign w:val="bottom"/>
            <w:hideMark/>
          </w:tcPr>
          <w:p w14:paraId="11F01C25"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4374822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xml:space="preserve">Radical </w:t>
            </w:r>
          </w:p>
        </w:tc>
        <w:tc>
          <w:tcPr>
            <w:tcW w:w="1125" w:type="dxa"/>
            <w:tcBorders>
              <w:top w:val="nil"/>
              <w:left w:val="nil"/>
              <w:bottom w:val="single" w:sz="4" w:space="0" w:color="auto"/>
              <w:right w:val="nil"/>
            </w:tcBorders>
            <w:noWrap/>
            <w:vAlign w:val="bottom"/>
            <w:hideMark/>
          </w:tcPr>
          <w:p w14:paraId="67B1A2F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123 (64.4)</w:t>
            </w:r>
          </w:p>
        </w:tc>
        <w:tc>
          <w:tcPr>
            <w:tcW w:w="193" w:type="dxa"/>
            <w:tcBorders>
              <w:top w:val="nil"/>
              <w:left w:val="nil"/>
              <w:bottom w:val="single" w:sz="4" w:space="0" w:color="auto"/>
              <w:right w:val="nil"/>
            </w:tcBorders>
            <w:noWrap/>
            <w:vAlign w:val="bottom"/>
            <w:hideMark/>
          </w:tcPr>
          <w:p w14:paraId="24C5387E"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3D15090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231 (36.0)</w:t>
            </w:r>
          </w:p>
        </w:tc>
        <w:tc>
          <w:tcPr>
            <w:tcW w:w="825" w:type="dxa"/>
            <w:tcBorders>
              <w:top w:val="nil"/>
              <w:left w:val="nil"/>
              <w:bottom w:val="single" w:sz="4" w:space="0" w:color="auto"/>
              <w:right w:val="nil"/>
            </w:tcBorders>
            <w:noWrap/>
            <w:vAlign w:val="bottom"/>
            <w:hideMark/>
          </w:tcPr>
          <w:p w14:paraId="6B08F1F1" w14:textId="77777777" w:rsidR="00F02322" w:rsidRDefault="00F02322" w:rsidP="00A873D8">
            <w:pPr>
              <w:rPr>
                <w:rFonts w:ascii="Palatino Linotype" w:hAnsi="Palatino Linotype"/>
                <w:color w:val="000000"/>
                <w:sz w:val="21"/>
                <w:szCs w:val="21"/>
              </w:rPr>
            </w:pPr>
          </w:p>
        </w:tc>
      </w:tr>
      <w:tr w:rsidR="00F02322" w14:paraId="477D814E" w14:textId="77777777" w:rsidTr="00A873D8">
        <w:trPr>
          <w:trHeight w:val="316"/>
        </w:trPr>
        <w:tc>
          <w:tcPr>
            <w:tcW w:w="3593" w:type="dxa"/>
            <w:tcBorders>
              <w:top w:val="single" w:sz="4" w:space="0" w:color="auto"/>
              <w:left w:val="nil"/>
              <w:bottom w:val="nil"/>
              <w:right w:val="nil"/>
            </w:tcBorders>
            <w:noWrap/>
            <w:vAlign w:val="bottom"/>
            <w:hideMark/>
          </w:tcPr>
          <w:p w14:paraId="34481914"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Axillary surgery, n (%)</w:t>
            </w:r>
          </w:p>
        </w:tc>
        <w:tc>
          <w:tcPr>
            <w:tcW w:w="2346" w:type="dxa"/>
            <w:tcBorders>
              <w:top w:val="single" w:sz="4" w:space="0" w:color="auto"/>
              <w:left w:val="nil"/>
              <w:bottom w:val="nil"/>
              <w:right w:val="nil"/>
            </w:tcBorders>
            <w:noWrap/>
            <w:vAlign w:val="bottom"/>
            <w:hideMark/>
          </w:tcPr>
          <w:p w14:paraId="4CF6DDD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Sentinel lymph node</w:t>
            </w:r>
          </w:p>
        </w:tc>
        <w:tc>
          <w:tcPr>
            <w:tcW w:w="1125" w:type="dxa"/>
            <w:tcBorders>
              <w:top w:val="single" w:sz="4" w:space="0" w:color="auto"/>
              <w:left w:val="nil"/>
              <w:bottom w:val="nil"/>
              <w:right w:val="nil"/>
            </w:tcBorders>
            <w:noWrap/>
            <w:vAlign w:val="bottom"/>
            <w:hideMark/>
          </w:tcPr>
          <w:p w14:paraId="35A98F8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(22.0)</w:t>
            </w:r>
          </w:p>
        </w:tc>
        <w:tc>
          <w:tcPr>
            <w:tcW w:w="193" w:type="dxa"/>
            <w:tcBorders>
              <w:top w:val="single" w:sz="4" w:space="0" w:color="auto"/>
              <w:left w:val="nil"/>
              <w:bottom w:val="nil"/>
              <w:right w:val="nil"/>
            </w:tcBorders>
            <w:noWrap/>
            <w:vAlign w:val="bottom"/>
            <w:hideMark/>
          </w:tcPr>
          <w:p w14:paraId="44F4ACCD"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995FE2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294 (45.8)</w:t>
            </w:r>
          </w:p>
        </w:tc>
        <w:tc>
          <w:tcPr>
            <w:tcW w:w="825" w:type="dxa"/>
            <w:tcBorders>
              <w:top w:val="single" w:sz="4" w:space="0" w:color="auto"/>
              <w:left w:val="nil"/>
              <w:bottom w:val="nil"/>
              <w:right w:val="nil"/>
            </w:tcBorders>
            <w:noWrap/>
            <w:vAlign w:val="bottom"/>
            <w:hideMark/>
          </w:tcPr>
          <w:p w14:paraId="0A4300A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CDE4B0E" w14:textId="77777777" w:rsidTr="00A873D8">
        <w:trPr>
          <w:trHeight w:val="316"/>
        </w:trPr>
        <w:tc>
          <w:tcPr>
            <w:tcW w:w="3593" w:type="dxa"/>
            <w:tcBorders>
              <w:top w:val="nil"/>
              <w:left w:val="nil"/>
              <w:bottom w:val="single" w:sz="4" w:space="0" w:color="auto"/>
              <w:right w:val="nil"/>
            </w:tcBorders>
            <w:noWrap/>
            <w:vAlign w:val="bottom"/>
            <w:hideMark/>
          </w:tcPr>
          <w:p w14:paraId="34D6575E"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1DE2764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Axillary dissection</w:t>
            </w:r>
          </w:p>
        </w:tc>
        <w:tc>
          <w:tcPr>
            <w:tcW w:w="1125" w:type="dxa"/>
            <w:tcBorders>
              <w:top w:val="nil"/>
              <w:left w:val="nil"/>
              <w:bottom w:val="single" w:sz="4" w:space="0" w:color="auto"/>
              <w:right w:val="nil"/>
            </w:tcBorders>
            <w:noWrap/>
            <w:vAlign w:val="bottom"/>
            <w:hideMark/>
          </w:tcPr>
          <w:p w14:paraId="13E181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149 (78.0)</w:t>
            </w:r>
          </w:p>
        </w:tc>
        <w:tc>
          <w:tcPr>
            <w:tcW w:w="193" w:type="dxa"/>
            <w:tcBorders>
              <w:top w:val="nil"/>
              <w:left w:val="nil"/>
              <w:bottom w:val="single" w:sz="4" w:space="0" w:color="auto"/>
              <w:right w:val="nil"/>
            </w:tcBorders>
            <w:noWrap/>
            <w:vAlign w:val="bottom"/>
            <w:hideMark/>
          </w:tcPr>
          <w:p w14:paraId="4D294CB2"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470229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348 (54.2)</w:t>
            </w:r>
          </w:p>
        </w:tc>
        <w:tc>
          <w:tcPr>
            <w:tcW w:w="825" w:type="dxa"/>
            <w:tcBorders>
              <w:top w:val="nil"/>
              <w:left w:val="nil"/>
              <w:bottom w:val="single" w:sz="4" w:space="0" w:color="auto"/>
              <w:right w:val="nil"/>
            </w:tcBorders>
            <w:noWrap/>
            <w:vAlign w:val="bottom"/>
            <w:hideMark/>
          </w:tcPr>
          <w:p w14:paraId="1CEB6069" w14:textId="77777777" w:rsidR="00F02322" w:rsidRDefault="00F02322" w:rsidP="00A873D8">
            <w:pPr>
              <w:rPr>
                <w:rFonts w:ascii="Palatino Linotype" w:hAnsi="Palatino Linotype"/>
                <w:color w:val="000000"/>
                <w:sz w:val="21"/>
                <w:szCs w:val="21"/>
              </w:rPr>
            </w:pPr>
          </w:p>
        </w:tc>
      </w:tr>
      <w:tr w:rsidR="00F02322" w14:paraId="66829223" w14:textId="77777777" w:rsidTr="00A873D8">
        <w:trPr>
          <w:trHeight w:val="316"/>
        </w:trPr>
        <w:tc>
          <w:tcPr>
            <w:tcW w:w="3593" w:type="dxa"/>
            <w:tcBorders>
              <w:top w:val="single" w:sz="4" w:space="0" w:color="auto"/>
              <w:left w:val="nil"/>
              <w:bottom w:val="nil"/>
              <w:right w:val="nil"/>
            </w:tcBorders>
            <w:noWrap/>
            <w:vAlign w:val="bottom"/>
            <w:hideMark/>
          </w:tcPr>
          <w:p w14:paraId="46F20053"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n-US"/>
              </w:rPr>
              <w:t>N° of positive lymph nodes, n (%)</w:t>
            </w:r>
          </w:p>
        </w:tc>
        <w:tc>
          <w:tcPr>
            <w:tcW w:w="2346" w:type="dxa"/>
            <w:tcBorders>
              <w:top w:val="single" w:sz="4" w:space="0" w:color="auto"/>
              <w:left w:val="nil"/>
              <w:bottom w:val="nil"/>
              <w:right w:val="nil"/>
            </w:tcBorders>
            <w:noWrap/>
            <w:vAlign w:val="bottom"/>
            <w:hideMark/>
          </w:tcPr>
          <w:p w14:paraId="4D03386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single" w:sz="4" w:space="0" w:color="auto"/>
              <w:left w:val="nil"/>
              <w:bottom w:val="nil"/>
              <w:right w:val="nil"/>
            </w:tcBorders>
            <w:noWrap/>
            <w:vAlign w:val="bottom"/>
            <w:hideMark/>
          </w:tcPr>
          <w:p w14:paraId="0F96E5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67 (35.1)</w:t>
            </w:r>
          </w:p>
        </w:tc>
        <w:tc>
          <w:tcPr>
            <w:tcW w:w="193" w:type="dxa"/>
            <w:tcBorders>
              <w:top w:val="single" w:sz="4" w:space="0" w:color="auto"/>
              <w:left w:val="nil"/>
              <w:bottom w:val="nil"/>
              <w:right w:val="nil"/>
            </w:tcBorders>
            <w:noWrap/>
            <w:vAlign w:val="bottom"/>
            <w:hideMark/>
          </w:tcPr>
          <w:p w14:paraId="2AE8F700"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46587DE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402 (62.6)</w:t>
            </w:r>
          </w:p>
        </w:tc>
        <w:tc>
          <w:tcPr>
            <w:tcW w:w="825" w:type="dxa"/>
            <w:tcBorders>
              <w:top w:val="single" w:sz="4" w:space="0" w:color="auto"/>
              <w:left w:val="nil"/>
              <w:bottom w:val="nil"/>
              <w:right w:val="nil"/>
            </w:tcBorders>
            <w:noWrap/>
            <w:vAlign w:val="bottom"/>
            <w:hideMark/>
          </w:tcPr>
          <w:p w14:paraId="4BE3355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2881402F" w14:textId="77777777" w:rsidTr="00A873D8">
        <w:trPr>
          <w:trHeight w:val="316"/>
        </w:trPr>
        <w:tc>
          <w:tcPr>
            <w:tcW w:w="3593" w:type="dxa"/>
            <w:tcBorders>
              <w:top w:val="nil"/>
              <w:left w:val="nil"/>
              <w:bottom w:val="nil"/>
              <w:right w:val="nil"/>
            </w:tcBorders>
            <w:noWrap/>
            <w:vAlign w:val="bottom"/>
            <w:hideMark/>
          </w:tcPr>
          <w:p w14:paraId="3A2D3DC1"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74A6E44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w:t>
            </w:r>
          </w:p>
        </w:tc>
        <w:tc>
          <w:tcPr>
            <w:tcW w:w="1125" w:type="dxa"/>
            <w:tcBorders>
              <w:top w:val="nil"/>
              <w:left w:val="nil"/>
              <w:bottom w:val="nil"/>
              <w:right w:val="nil"/>
            </w:tcBorders>
            <w:noWrap/>
            <w:vAlign w:val="bottom"/>
            <w:hideMark/>
          </w:tcPr>
          <w:p w14:paraId="4191AAA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52 (27.2)</w:t>
            </w:r>
          </w:p>
        </w:tc>
        <w:tc>
          <w:tcPr>
            <w:tcW w:w="193" w:type="dxa"/>
            <w:tcBorders>
              <w:top w:val="nil"/>
              <w:left w:val="nil"/>
              <w:bottom w:val="nil"/>
              <w:right w:val="nil"/>
            </w:tcBorders>
            <w:noWrap/>
            <w:vAlign w:val="bottom"/>
            <w:hideMark/>
          </w:tcPr>
          <w:p w14:paraId="0C4D91FB"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16E6099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172 (26.8)</w:t>
            </w:r>
          </w:p>
        </w:tc>
        <w:tc>
          <w:tcPr>
            <w:tcW w:w="825" w:type="dxa"/>
            <w:tcBorders>
              <w:top w:val="nil"/>
              <w:left w:val="nil"/>
              <w:bottom w:val="nil"/>
              <w:right w:val="nil"/>
            </w:tcBorders>
            <w:noWrap/>
            <w:vAlign w:val="bottom"/>
            <w:hideMark/>
          </w:tcPr>
          <w:p w14:paraId="120A1982" w14:textId="77777777" w:rsidR="00F02322" w:rsidRDefault="00F02322" w:rsidP="00A873D8">
            <w:pPr>
              <w:rPr>
                <w:rFonts w:ascii="Palatino Linotype" w:hAnsi="Palatino Linotype"/>
                <w:color w:val="000000"/>
                <w:sz w:val="21"/>
                <w:szCs w:val="21"/>
              </w:rPr>
            </w:pPr>
          </w:p>
        </w:tc>
      </w:tr>
      <w:tr w:rsidR="00F02322" w14:paraId="6F2A76CE" w14:textId="77777777" w:rsidTr="00A873D8">
        <w:trPr>
          <w:trHeight w:val="316"/>
        </w:trPr>
        <w:tc>
          <w:tcPr>
            <w:tcW w:w="3593" w:type="dxa"/>
            <w:tcBorders>
              <w:top w:val="nil"/>
              <w:left w:val="nil"/>
              <w:bottom w:val="single" w:sz="4" w:space="0" w:color="auto"/>
              <w:right w:val="nil"/>
            </w:tcBorders>
            <w:noWrap/>
            <w:vAlign w:val="bottom"/>
            <w:hideMark/>
          </w:tcPr>
          <w:p w14:paraId="0188082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5AAD28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&gt; 3</w:t>
            </w:r>
          </w:p>
        </w:tc>
        <w:tc>
          <w:tcPr>
            <w:tcW w:w="1125" w:type="dxa"/>
            <w:tcBorders>
              <w:top w:val="nil"/>
              <w:left w:val="nil"/>
              <w:bottom w:val="single" w:sz="4" w:space="0" w:color="auto"/>
              <w:right w:val="nil"/>
            </w:tcBorders>
            <w:noWrap/>
            <w:vAlign w:val="bottom"/>
            <w:hideMark/>
          </w:tcPr>
          <w:p w14:paraId="3FF1749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72 (37.7)</w:t>
            </w:r>
          </w:p>
        </w:tc>
        <w:tc>
          <w:tcPr>
            <w:tcW w:w="193" w:type="dxa"/>
            <w:tcBorders>
              <w:top w:val="nil"/>
              <w:left w:val="nil"/>
              <w:bottom w:val="single" w:sz="4" w:space="0" w:color="auto"/>
              <w:right w:val="nil"/>
            </w:tcBorders>
            <w:noWrap/>
            <w:vAlign w:val="bottom"/>
            <w:hideMark/>
          </w:tcPr>
          <w:p w14:paraId="2D1281C6"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3A09564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68 (10.6)</w:t>
            </w:r>
          </w:p>
        </w:tc>
        <w:tc>
          <w:tcPr>
            <w:tcW w:w="825" w:type="dxa"/>
            <w:tcBorders>
              <w:top w:val="nil"/>
              <w:left w:val="nil"/>
              <w:bottom w:val="single" w:sz="4" w:space="0" w:color="auto"/>
              <w:right w:val="nil"/>
            </w:tcBorders>
            <w:noWrap/>
            <w:vAlign w:val="bottom"/>
            <w:hideMark/>
          </w:tcPr>
          <w:p w14:paraId="133EE6D7" w14:textId="77777777" w:rsidR="00F02322" w:rsidRDefault="00F02322" w:rsidP="00A873D8">
            <w:pPr>
              <w:rPr>
                <w:rFonts w:ascii="Palatino Linotype" w:hAnsi="Palatino Linotype"/>
                <w:color w:val="000000"/>
                <w:sz w:val="21"/>
                <w:szCs w:val="21"/>
              </w:rPr>
            </w:pPr>
          </w:p>
        </w:tc>
      </w:tr>
      <w:tr w:rsidR="00F02322" w14:paraId="2A936675" w14:textId="77777777" w:rsidTr="00A873D8">
        <w:trPr>
          <w:trHeight w:val="316"/>
        </w:trPr>
        <w:tc>
          <w:tcPr>
            <w:tcW w:w="3593" w:type="dxa"/>
            <w:tcBorders>
              <w:top w:val="single" w:sz="4" w:space="0" w:color="auto"/>
              <w:left w:val="nil"/>
              <w:right w:val="nil"/>
            </w:tcBorders>
            <w:noWrap/>
            <w:vAlign w:val="bottom"/>
          </w:tcPr>
          <w:p w14:paraId="4B1CBF96" w14:textId="77777777" w:rsidR="00F02322" w:rsidRPr="001C5D29" w:rsidRDefault="00F02322" w:rsidP="00A873D8">
            <w:pPr>
              <w:rPr>
                <w:rFonts w:ascii="Palatino Linotype" w:hAnsi="Palatino Linotype"/>
                <w:b/>
                <w:bCs/>
                <w:sz w:val="21"/>
                <w:szCs w:val="21"/>
              </w:rPr>
            </w:pPr>
            <w:r w:rsidRPr="001C5D29">
              <w:rPr>
                <w:rFonts w:ascii="Palatino Linotype" w:hAnsi="Palatino Linotype"/>
                <w:b/>
                <w:bCs/>
                <w:sz w:val="21"/>
                <w:szCs w:val="21"/>
              </w:rPr>
              <w:t>Margins, n (%)</w:t>
            </w:r>
          </w:p>
        </w:tc>
        <w:tc>
          <w:tcPr>
            <w:tcW w:w="2346" w:type="dxa"/>
            <w:tcBorders>
              <w:top w:val="single" w:sz="4" w:space="0" w:color="auto"/>
              <w:left w:val="nil"/>
              <w:right w:val="nil"/>
            </w:tcBorders>
            <w:noWrap/>
            <w:vAlign w:val="bottom"/>
          </w:tcPr>
          <w:p w14:paraId="28EEB5F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125" w:type="dxa"/>
            <w:tcBorders>
              <w:top w:val="single" w:sz="4" w:space="0" w:color="auto"/>
              <w:left w:val="nil"/>
              <w:right w:val="nil"/>
            </w:tcBorders>
            <w:noWrap/>
            <w:vAlign w:val="bottom"/>
          </w:tcPr>
          <w:p w14:paraId="68C84BE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18 (9.40)</w:t>
            </w:r>
          </w:p>
        </w:tc>
        <w:tc>
          <w:tcPr>
            <w:tcW w:w="193" w:type="dxa"/>
            <w:tcBorders>
              <w:top w:val="single" w:sz="4" w:space="0" w:color="auto"/>
              <w:left w:val="nil"/>
              <w:right w:val="nil"/>
            </w:tcBorders>
            <w:noWrap/>
            <w:vAlign w:val="bottom"/>
          </w:tcPr>
          <w:p w14:paraId="6713CD94"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right w:val="nil"/>
            </w:tcBorders>
            <w:noWrap/>
            <w:vAlign w:val="bottom"/>
          </w:tcPr>
          <w:p w14:paraId="7DC2949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32 (5.00)</w:t>
            </w:r>
          </w:p>
        </w:tc>
        <w:tc>
          <w:tcPr>
            <w:tcW w:w="825" w:type="dxa"/>
            <w:tcBorders>
              <w:top w:val="single" w:sz="4" w:space="0" w:color="auto"/>
              <w:left w:val="nil"/>
              <w:right w:val="nil"/>
            </w:tcBorders>
            <w:noWrap/>
            <w:vAlign w:val="bottom"/>
          </w:tcPr>
          <w:p w14:paraId="2CCC097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0.04</w:t>
            </w:r>
          </w:p>
        </w:tc>
      </w:tr>
      <w:tr w:rsidR="00F02322" w14:paraId="484AEF96" w14:textId="77777777" w:rsidTr="00A873D8">
        <w:trPr>
          <w:trHeight w:val="316"/>
        </w:trPr>
        <w:tc>
          <w:tcPr>
            <w:tcW w:w="3593" w:type="dxa"/>
            <w:tcBorders>
              <w:top w:val="nil"/>
              <w:left w:val="nil"/>
              <w:bottom w:val="single" w:sz="4" w:space="0" w:color="auto"/>
              <w:right w:val="nil"/>
            </w:tcBorders>
            <w:noWrap/>
            <w:vAlign w:val="bottom"/>
          </w:tcPr>
          <w:p w14:paraId="73CE5CA2"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tcPr>
          <w:p w14:paraId="4EC4B3A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nil"/>
              <w:left w:val="nil"/>
              <w:bottom w:val="single" w:sz="4" w:space="0" w:color="auto"/>
              <w:right w:val="nil"/>
            </w:tcBorders>
            <w:noWrap/>
            <w:vAlign w:val="bottom"/>
          </w:tcPr>
          <w:p w14:paraId="6B2CF0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173 (90.6)</w:t>
            </w:r>
          </w:p>
        </w:tc>
        <w:tc>
          <w:tcPr>
            <w:tcW w:w="193" w:type="dxa"/>
            <w:tcBorders>
              <w:top w:val="nil"/>
              <w:left w:val="nil"/>
              <w:bottom w:val="single" w:sz="4" w:space="0" w:color="auto"/>
              <w:right w:val="nil"/>
            </w:tcBorders>
            <w:noWrap/>
            <w:vAlign w:val="bottom"/>
          </w:tcPr>
          <w:p w14:paraId="361EA7DD"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tcPr>
          <w:p w14:paraId="511A966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610 (95.0)</w:t>
            </w:r>
          </w:p>
        </w:tc>
        <w:tc>
          <w:tcPr>
            <w:tcW w:w="825" w:type="dxa"/>
            <w:tcBorders>
              <w:top w:val="nil"/>
              <w:left w:val="nil"/>
              <w:bottom w:val="single" w:sz="4" w:space="0" w:color="auto"/>
              <w:right w:val="nil"/>
            </w:tcBorders>
            <w:noWrap/>
            <w:vAlign w:val="bottom"/>
          </w:tcPr>
          <w:p w14:paraId="04082A49" w14:textId="77777777" w:rsidR="00F02322" w:rsidRDefault="00F02322" w:rsidP="00A873D8">
            <w:pPr>
              <w:rPr>
                <w:rFonts w:ascii="Palatino Linotype" w:hAnsi="Palatino Linotype"/>
                <w:color w:val="000000"/>
                <w:sz w:val="21"/>
                <w:szCs w:val="21"/>
              </w:rPr>
            </w:pPr>
          </w:p>
        </w:tc>
      </w:tr>
      <w:tr w:rsidR="00F02322" w14:paraId="4A0609DA" w14:textId="77777777" w:rsidTr="00A873D8">
        <w:trPr>
          <w:trHeight w:val="316"/>
        </w:trPr>
        <w:tc>
          <w:tcPr>
            <w:tcW w:w="3593" w:type="dxa"/>
            <w:tcBorders>
              <w:top w:val="single" w:sz="4" w:space="0" w:color="auto"/>
              <w:left w:val="nil"/>
              <w:bottom w:val="nil"/>
              <w:right w:val="nil"/>
            </w:tcBorders>
            <w:noWrap/>
            <w:vAlign w:val="bottom"/>
            <w:hideMark/>
          </w:tcPr>
          <w:p w14:paraId="7DD628C0"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Pathological tumor size, n (%)</w:t>
            </w:r>
          </w:p>
        </w:tc>
        <w:tc>
          <w:tcPr>
            <w:tcW w:w="2346" w:type="dxa"/>
            <w:tcBorders>
              <w:top w:val="single" w:sz="4" w:space="0" w:color="auto"/>
              <w:left w:val="nil"/>
              <w:bottom w:val="nil"/>
              <w:right w:val="nil"/>
            </w:tcBorders>
            <w:noWrap/>
            <w:vAlign w:val="bottom"/>
            <w:hideMark/>
          </w:tcPr>
          <w:p w14:paraId="1BE6571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125" w:type="dxa"/>
            <w:tcBorders>
              <w:top w:val="single" w:sz="4" w:space="0" w:color="auto"/>
              <w:left w:val="nil"/>
              <w:bottom w:val="nil"/>
              <w:right w:val="nil"/>
            </w:tcBorders>
            <w:noWrap/>
            <w:vAlign w:val="bottom"/>
            <w:hideMark/>
          </w:tcPr>
          <w:p w14:paraId="6EA80B9B"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 (8.40)</w:t>
            </w:r>
          </w:p>
        </w:tc>
        <w:tc>
          <w:tcPr>
            <w:tcW w:w="193" w:type="dxa"/>
            <w:tcBorders>
              <w:top w:val="single" w:sz="4" w:space="0" w:color="auto"/>
              <w:left w:val="nil"/>
              <w:bottom w:val="nil"/>
              <w:right w:val="nil"/>
            </w:tcBorders>
            <w:noWrap/>
            <w:vAlign w:val="bottom"/>
            <w:hideMark/>
          </w:tcPr>
          <w:p w14:paraId="3FD23BFC"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7F5403F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825" w:type="dxa"/>
            <w:tcBorders>
              <w:top w:val="single" w:sz="4" w:space="0" w:color="auto"/>
              <w:left w:val="nil"/>
              <w:bottom w:val="nil"/>
              <w:right w:val="nil"/>
            </w:tcBorders>
            <w:noWrap/>
            <w:vAlign w:val="bottom"/>
            <w:hideMark/>
          </w:tcPr>
          <w:p w14:paraId="552A121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6EDAB3D8" w14:textId="77777777" w:rsidTr="00A873D8">
        <w:trPr>
          <w:trHeight w:val="316"/>
        </w:trPr>
        <w:tc>
          <w:tcPr>
            <w:tcW w:w="3593" w:type="dxa"/>
            <w:tcBorders>
              <w:top w:val="nil"/>
              <w:left w:val="nil"/>
              <w:bottom w:val="nil"/>
              <w:right w:val="nil"/>
            </w:tcBorders>
            <w:noWrap/>
            <w:vAlign w:val="bottom"/>
            <w:hideMark/>
          </w:tcPr>
          <w:p w14:paraId="64B4BAD2"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0470073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Tumor in situ</w:t>
            </w:r>
          </w:p>
        </w:tc>
        <w:tc>
          <w:tcPr>
            <w:tcW w:w="1125" w:type="dxa"/>
            <w:tcBorders>
              <w:top w:val="nil"/>
              <w:left w:val="nil"/>
              <w:bottom w:val="nil"/>
              <w:right w:val="nil"/>
            </w:tcBorders>
            <w:noWrap/>
            <w:vAlign w:val="bottom"/>
            <w:hideMark/>
          </w:tcPr>
          <w:p w14:paraId="58D0DB2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 (1.60)</w:t>
            </w:r>
          </w:p>
        </w:tc>
        <w:tc>
          <w:tcPr>
            <w:tcW w:w="193" w:type="dxa"/>
            <w:tcBorders>
              <w:top w:val="nil"/>
              <w:left w:val="nil"/>
              <w:bottom w:val="nil"/>
              <w:right w:val="nil"/>
            </w:tcBorders>
            <w:noWrap/>
            <w:vAlign w:val="bottom"/>
            <w:hideMark/>
          </w:tcPr>
          <w:p w14:paraId="5F739C9D"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714C172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21 (3.30)</w:t>
            </w:r>
          </w:p>
        </w:tc>
        <w:tc>
          <w:tcPr>
            <w:tcW w:w="825" w:type="dxa"/>
            <w:tcBorders>
              <w:top w:val="nil"/>
              <w:left w:val="nil"/>
              <w:bottom w:val="nil"/>
              <w:right w:val="nil"/>
            </w:tcBorders>
            <w:noWrap/>
            <w:vAlign w:val="bottom"/>
            <w:hideMark/>
          </w:tcPr>
          <w:p w14:paraId="0F208D55" w14:textId="77777777" w:rsidR="00F02322" w:rsidRDefault="00F02322" w:rsidP="00A873D8">
            <w:pPr>
              <w:rPr>
                <w:rFonts w:ascii="Palatino Linotype" w:hAnsi="Palatino Linotype"/>
                <w:color w:val="000000"/>
                <w:sz w:val="21"/>
                <w:szCs w:val="21"/>
              </w:rPr>
            </w:pPr>
          </w:p>
        </w:tc>
      </w:tr>
      <w:tr w:rsidR="00F02322" w14:paraId="277C21FF" w14:textId="77777777" w:rsidTr="00A873D8">
        <w:trPr>
          <w:trHeight w:val="316"/>
        </w:trPr>
        <w:tc>
          <w:tcPr>
            <w:tcW w:w="3593" w:type="dxa"/>
            <w:tcBorders>
              <w:top w:val="nil"/>
              <w:left w:val="nil"/>
              <w:bottom w:val="nil"/>
              <w:right w:val="nil"/>
            </w:tcBorders>
            <w:noWrap/>
            <w:vAlign w:val="bottom"/>
            <w:hideMark/>
          </w:tcPr>
          <w:p w14:paraId="573247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3EF29D0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&lt; 2 cm</w:t>
            </w:r>
          </w:p>
        </w:tc>
        <w:tc>
          <w:tcPr>
            <w:tcW w:w="1125" w:type="dxa"/>
            <w:tcBorders>
              <w:top w:val="nil"/>
              <w:left w:val="nil"/>
              <w:bottom w:val="nil"/>
              <w:right w:val="nil"/>
            </w:tcBorders>
            <w:noWrap/>
            <w:vAlign w:val="bottom"/>
            <w:hideMark/>
          </w:tcPr>
          <w:p w14:paraId="7C7E7EC3"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57 (29.8)</w:t>
            </w:r>
          </w:p>
        </w:tc>
        <w:tc>
          <w:tcPr>
            <w:tcW w:w="193" w:type="dxa"/>
            <w:tcBorders>
              <w:top w:val="nil"/>
              <w:left w:val="nil"/>
              <w:bottom w:val="nil"/>
              <w:right w:val="nil"/>
            </w:tcBorders>
            <w:noWrap/>
            <w:vAlign w:val="bottom"/>
            <w:hideMark/>
          </w:tcPr>
          <w:p w14:paraId="1BD1F6A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60F0293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261 (40.7)</w:t>
            </w:r>
          </w:p>
        </w:tc>
        <w:tc>
          <w:tcPr>
            <w:tcW w:w="825" w:type="dxa"/>
            <w:tcBorders>
              <w:top w:val="nil"/>
              <w:left w:val="nil"/>
              <w:bottom w:val="nil"/>
              <w:right w:val="nil"/>
            </w:tcBorders>
            <w:noWrap/>
            <w:vAlign w:val="bottom"/>
            <w:hideMark/>
          </w:tcPr>
          <w:p w14:paraId="786A77A0" w14:textId="77777777" w:rsidR="00F02322" w:rsidRDefault="00F02322" w:rsidP="00A873D8">
            <w:pPr>
              <w:rPr>
                <w:rFonts w:ascii="Palatino Linotype" w:hAnsi="Palatino Linotype"/>
                <w:color w:val="000000"/>
                <w:sz w:val="21"/>
                <w:szCs w:val="21"/>
              </w:rPr>
            </w:pPr>
          </w:p>
        </w:tc>
      </w:tr>
      <w:tr w:rsidR="00F02322" w14:paraId="5EDDF34A" w14:textId="77777777" w:rsidTr="00A873D8">
        <w:trPr>
          <w:trHeight w:val="316"/>
        </w:trPr>
        <w:tc>
          <w:tcPr>
            <w:tcW w:w="3593" w:type="dxa"/>
            <w:tcBorders>
              <w:top w:val="nil"/>
              <w:left w:val="nil"/>
              <w:bottom w:val="nil"/>
              <w:right w:val="nil"/>
            </w:tcBorders>
            <w:noWrap/>
            <w:vAlign w:val="bottom"/>
            <w:hideMark/>
          </w:tcPr>
          <w:p w14:paraId="60310AA0" w14:textId="77777777" w:rsidR="00F02322" w:rsidRDefault="00F02322" w:rsidP="00A873D8">
            <w:pPr>
              <w:rPr>
                <w:sz w:val="20"/>
                <w:szCs w:val="20"/>
              </w:rPr>
            </w:pPr>
          </w:p>
        </w:tc>
        <w:tc>
          <w:tcPr>
            <w:tcW w:w="2346" w:type="dxa"/>
            <w:tcBorders>
              <w:top w:val="nil"/>
              <w:left w:val="nil"/>
              <w:bottom w:val="nil"/>
              <w:right w:val="nil"/>
            </w:tcBorders>
            <w:noWrap/>
            <w:vAlign w:val="bottom"/>
            <w:hideMark/>
          </w:tcPr>
          <w:p w14:paraId="547197E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2 - 5 cm</w:t>
            </w:r>
          </w:p>
        </w:tc>
        <w:tc>
          <w:tcPr>
            <w:tcW w:w="1125" w:type="dxa"/>
            <w:tcBorders>
              <w:top w:val="nil"/>
              <w:left w:val="nil"/>
              <w:bottom w:val="nil"/>
              <w:right w:val="nil"/>
            </w:tcBorders>
            <w:noWrap/>
            <w:vAlign w:val="bottom"/>
            <w:hideMark/>
          </w:tcPr>
          <w:p w14:paraId="24DD7BD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80 (41.9)</w:t>
            </w:r>
          </w:p>
        </w:tc>
        <w:tc>
          <w:tcPr>
            <w:tcW w:w="193" w:type="dxa"/>
            <w:tcBorders>
              <w:top w:val="nil"/>
              <w:left w:val="nil"/>
              <w:bottom w:val="nil"/>
              <w:right w:val="nil"/>
            </w:tcBorders>
            <w:noWrap/>
            <w:vAlign w:val="bottom"/>
            <w:hideMark/>
          </w:tcPr>
          <w:p w14:paraId="5FE3E74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452C6D4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221 (34.4)</w:t>
            </w:r>
          </w:p>
        </w:tc>
        <w:tc>
          <w:tcPr>
            <w:tcW w:w="825" w:type="dxa"/>
            <w:tcBorders>
              <w:top w:val="nil"/>
              <w:left w:val="nil"/>
              <w:bottom w:val="nil"/>
              <w:right w:val="nil"/>
            </w:tcBorders>
            <w:noWrap/>
            <w:vAlign w:val="bottom"/>
            <w:hideMark/>
          </w:tcPr>
          <w:p w14:paraId="54691881" w14:textId="77777777" w:rsidR="00F02322" w:rsidRDefault="00F02322" w:rsidP="00A873D8">
            <w:pPr>
              <w:rPr>
                <w:rFonts w:ascii="Palatino Linotype" w:hAnsi="Palatino Linotype"/>
                <w:color w:val="000000"/>
                <w:sz w:val="21"/>
                <w:szCs w:val="21"/>
              </w:rPr>
            </w:pPr>
          </w:p>
        </w:tc>
      </w:tr>
      <w:tr w:rsidR="00F02322" w14:paraId="0C9F2142" w14:textId="77777777" w:rsidTr="00A873D8">
        <w:trPr>
          <w:trHeight w:val="316"/>
        </w:trPr>
        <w:tc>
          <w:tcPr>
            <w:tcW w:w="3593" w:type="dxa"/>
            <w:tcBorders>
              <w:top w:val="nil"/>
              <w:left w:val="nil"/>
              <w:bottom w:val="single" w:sz="4" w:space="0" w:color="auto"/>
              <w:right w:val="nil"/>
            </w:tcBorders>
            <w:noWrap/>
            <w:vAlign w:val="bottom"/>
            <w:hideMark/>
          </w:tcPr>
          <w:p w14:paraId="03CB4357"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27E311D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Infiltrating, &gt; 5 cm</w:t>
            </w:r>
          </w:p>
        </w:tc>
        <w:tc>
          <w:tcPr>
            <w:tcW w:w="1125" w:type="dxa"/>
            <w:tcBorders>
              <w:top w:val="nil"/>
              <w:left w:val="nil"/>
              <w:bottom w:val="single" w:sz="4" w:space="0" w:color="auto"/>
              <w:right w:val="nil"/>
            </w:tcBorders>
            <w:noWrap/>
            <w:vAlign w:val="bottom"/>
            <w:hideMark/>
          </w:tcPr>
          <w:p w14:paraId="4D2FFF2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35 (18.3)</w:t>
            </w:r>
          </w:p>
        </w:tc>
        <w:tc>
          <w:tcPr>
            <w:tcW w:w="193" w:type="dxa"/>
            <w:tcBorders>
              <w:top w:val="nil"/>
              <w:left w:val="nil"/>
              <w:bottom w:val="single" w:sz="4" w:space="0" w:color="auto"/>
              <w:right w:val="nil"/>
            </w:tcBorders>
            <w:noWrap/>
            <w:vAlign w:val="bottom"/>
            <w:hideMark/>
          </w:tcPr>
          <w:p w14:paraId="455D69A4"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2BAAA1E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825" w:type="dxa"/>
            <w:tcBorders>
              <w:top w:val="nil"/>
              <w:left w:val="nil"/>
              <w:bottom w:val="single" w:sz="4" w:space="0" w:color="auto"/>
              <w:right w:val="nil"/>
            </w:tcBorders>
            <w:noWrap/>
            <w:vAlign w:val="bottom"/>
            <w:hideMark/>
          </w:tcPr>
          <w:p w14:paraId="4C12E9C6" w14:textId="77777777" w:rsidR="00F02322" w:rsidRDefault="00F02322" w:rsidP="00A873D8">
            <w:pPr>
              <w:rPr>
                <w:rFonts w:ascii="Palatino Linotype" w:hAnsi="Palatino Linotype"/>
                <w:color w:val="000000"/>
                <w:sz w:val="21"/>
                <w:szCs w:val="21"/>
              </w:rPr>
            </w:pPr>
          </w:p>
        </w:tc>
      </w:tr>
      <w:tr w:rsidR="00F02322" w14:paraId="33EAB155" w14:textId="77777777" w:rsidTr="00A873D8">
        <w:trPr>
          <w:trHeight w:val="316"/>
        </w:trPr>
        <w:tc>
          <w:tcPr>
            <w:tcW w:w="3593" w:type="dxa"/>
            <w:tcBorders>
              <w:top w:val="single" w:sz="4" w:space="0" w:color="auto"/>
              <w:left w:val="nil"/>
              <w:bottom w:val="nil"/>
              <w:right w:val="nil"/>
            </w:tcBorders>
            <w:noWrap/>
            <w:vAlign w:val="bottom"/>
            <w:hideMark/>
          </w:tcPr>
          <w:p w14:paraId="4FCB89A9"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Histological grade, n (%)</w:t>
            </w:r>
          </w:p>
        </w:tc>
        <w:tc>
          <w:tcPr>
            <w:tcW w:w="2346" w:type="dxa"/>
            <w:tcBorders>
              <w:top w:val="single" w:sz="4" w:space="0" w:color="auto"/>
              <w:left w:val="nil"/>
              <w:bottom w:val="nil"/>
              <w:right w:val="nil"/>
            </w:tcBorders>
            <w:noWrap/>
            <w:vAlign w:val="bottom"/>
            <w:hideMark/>
          </w:tcPr>
          <w:p w14:paraId="4E6D0A6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125" w:type="dxa"/>
            <w:tcBorders>
              <w:top w:val="single" w:sz="4" w:space="0" w:color="auto"/>
              <w:left w:val="nil"/>
              <w:bottom w:val="nil"/>
              <w:right w:val="nil"/>
            </w:tcBorders>
            <w:noWrap/>
            <w:vAlign w:val="bottom"/>
            <w:hideMark/>
          </w:tcPr>
          <w:p w14:paraId="48362FB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 (8.40)</w:t>
            </w:r>
          </w:p>
        </w:tc>
        <w:tc>
          <w:tcPr>
            <w:tcW w:w="193" w:type="dxa"/>
            <w:tcBorders>
              <w:top w:val="single" w:sz="4" w:space="0" w:color="auto"/>
              <w:left w:val="nil"/>
              <w:bottom w:val="nil"/>
              <w:right w:val="nil"/>
            </w:tcBorders>
            <w:noWrap/>
            <w:vAlign w:val="bottom"/>
            <w:hideMark/>
          </w:tcPr>
          <w:p w14:paraId="61D0A4AA"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C4A084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825" w:type="dxa"/>
            <w:tcBorders>
              <w:top w:val="single" w:sz="4" w:space="0" w:color="auto"/>
              <w:left w:val="nil"/>
              <w:bottom w:val="nil"/>
              <w:right w:val="nil"/>
            </w:tcBorders>
            <w:noWrap/>
            <w:vAlign w:val="bottom"/>
            <w:hideMark/>
          </w:tcPr>
          <w:p w14:paraId="5F2BF1D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296281AA" w14:textId="77777777" w:rsidTr="00A873D8">
        <w:trPr>
          <w:trHeight w:val="316"/>
        </w:trPr>
        <w:tc>
          <w:tcPr>
            <w:tcW w:w="3593" w:type="dxa"/>
            <w:tcBorders>
              <w:top w:val="nil"/>
              <w:left w:val="nil"/>
              <w:bottom w:val="nil"/>
              <w:right w:val="nil"/>
            </w:tcBorders>
            <w:noWrap/>
            <w:vAlign w:val="bottom"/>
            <w:hideMark/>
          </w:tcPr>
          <w:p w14:paraId="4DA1E1FE" w14:textId="77777777" w:rsidR="00F02322" w:rsidRDefault="00F02322" w:rsidP="00A873D8">
            <w:pPr>
              <w:rPr>
                <w:rFonts w:ascii="Palatino Linotype" w:hAnsi="Palatino Linotype"/>
                <w:color w:val="000000"/>
                <w:sz w:val="21"/>
                <w:szCs w:val="21"/>
              </w:rPr>
            </w:pPr>
          </w:p>
        </w:tc>
        <w:tc>
          <w:tcPr>
            <w:tcW w:w="2346" w:type="dxa"/>
            <w:tcBorders>
              <w:top w:val="nil"/>
              <w:left w:val="nil"/>
              <w:bottom w:val="nil"/>
              <w:right w:val="nil"/>
            </w:tcBorders>
            <w:noWrap/>
            <w:vAlign w:val="bottom"/>
            <w:hideMark/>
          </w:tcPr>
          <w:p w14:paraId="5667BE7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w:t>
            </w:r>
          </w:p>
        </w:tc>
        <w:tc>
          <w:tcPr>
            <w:tcW w:w="1125" w:type="dxa"/>
            <w:tcBorders>
              <w:top w:val="nil"/>
              <w:left w:val="nil"/>
              <w:bottom w:val="nil"/>
              <w:right w:val="nil"/>
            </w:tcBorders>
            <w:noWrap/>
            <w:vAlign w:val="bottom"/>
            <w:hideMark/>
          </w:tcPr>
          <w:p w14:paraId="6503ACDB" w14:textId="77777777" w:rsidR="00F02322" w:rsidRDefault="00F02322" w:rsidP="00A873D8">
            <w:pPr>
              <w:rPr>
                <w:rFonts w:ascii="Palatino Linotype" w:hAnsi="Palatino Linotype"/>
                <w:color w:val="000000"/>
                <w:sz w:val="21"/>
                <w:szCs w:val="21"/>
              </w:rPr>
            </w:pPr>
            <w:r w:rsidRPr="00EA2AD8">
              <w:rPr>
                <w:rFonts w:ascii="Palatino Linotype" w:hAnsi="Palatino Linotype"/>
                <w:color w:val="000000"/>
                <w:sz w:val="21"/>
                <w:szCs w:val="21"/>
              </w:rPr>
              <w:t>97 (50</w:t>
            </w:r>
            <w:r>
              <w:rPr>
                <w:rFonts w:ascii="Palatino Linotype" w:hAnsi="Palatino Linotype"/>
                <w:color w:val="000000"/>
                <w:sz w:val="21"/>
                <w:szCs w:val="21"/>
              </w:rPr>
              <w:t>.</w:t>
            </w:r>
            <w:r w:rsidRPr="00EA2AD8">
              <w:rPr>
                <w:rFonts w:ascii="Palatino Linotype" w:hAnsi="Palatino Linotype"/>
                <w:color w:val="000000"/>
                <w:sz w:val="21"/>
                <w:szCs w:val="21"/>
              </w:rPr>
              <w:t>8</w:t>
            </w:r>
            <w:r w:rsidRPr="00F20A11">
              <w:rPr>
                <w:rFonts w:ascii="Palatino Linotype" w:hAnsi="Palatino Linotype"/>
                <w:color w:val="000000"/>
                <w:sz w:val="21"/>
                <w:szCs w:val="21"/>
              </w:rPr>
              <w:t>)</w:t>
            </w:r>
          </w:p>
        </w:tc>
        <w:tc>
          <w:tcPr>
            <w:tcW w:w="193" w:type="dxa"/>
            <w:tcBorders>
              <w:top w:val="nil"/>
              <w:left w:val="nil"/>
              <w:bottom w:val="nil"/>
              <w:right w:val="nil"/>
            </w:tcBorders>
            <w:noWrap/>
            <w:vAlign w:val="bottom"/>
            <w:hideMark/>
          </w:tcPr>
          <w:p w14:paraId="590B3987" w14:textId="77777777" w:rsidR="00F02322" w:rsidRDefault="00F02322" w:rsidP="00A873D8">
            <w:pPr>
              <w:rPr>
                <w:rFonts w:ascii="Palatino Linotype" w:hAnsi="Palatino Linotype"/>
                <w:color w:val="000000"/>
                <w:sz w:val="21"/>
                <w:szCs w:val="21"/>
              </w:rPr>
            </w:pPr>
          </w:p>
        </w:tc>
        <w:tc>
          <w:tcPr>
            <w:tcW w:w="1125" w:type="dxa"/>
            <w:tcBorders>
              <w:top w:val="nil"/>
              <w:left w:val="nil"/>
              <w:bottom w:val="nil"/>
              <w:right w:val="nil"/>
            </w:tcBorders>
            <w:noWrap/>
            <w:vAlign w:val="bottom"/>
            <w:hideMark/>
          </w:tcPr>
          <w:p w14:paraId="1EAAE66F" w14:textId="77777777" w:rsidR="00F02322" w:rsidRDefault="00F02322" w:rsidP="00A873D8">
            <w:pPr>
              <w:rPr>
                <w:rFonts w:ascii="Palatino Linotype" w:hAnsi="Palatino Linotype"/>
                <w:color w:val="000000"/>
                <w:sz w:val="21"/>
                <w:szCs w:val="21"/>
              </w:rPr>
            </w:pPr>
            <w:r w:rsidRPr="00EA2AD8">
              <w:rPr>
                <w:rFonts w:ascii="Palatino Linotype" w:hAnsi="Palatino Linotype"/>
                <w:color w:val="000000"/>
                <w:sz w:val="21"/>
                <w:szCs w:val="21"/>
              </w:rPr>
              <w:t>401 (62</w:t>
            </w:r>
            <w:r>
              <w:rPr>
                <w:rFonts w:ascii="Palatino Linotype" w:hAnsi="Palatino Linotype"/>
                <w:color w:val="000000"/>
                <w:sz w:val="21"/>
                <w:szCs w:val="21"/>
              </w:rPr>
              <w:t>.</w:t>
            </w:r>
            <w:r w:rsidRPr="00EA2AD8">
              <w:rPr>
                <w:rFonts w:ascii="Palatino Linotype" w:hAnsi="Palatino Linotype"/>
                <w:color w:val="000000"/>
                <w:sz w:val="21"/>
                <w:szCs w:val="21"/>
              </w:rPr>
              <w:t>5)</w:t>
            </w:r>
          </w:p>
        </w:tc>
        <w:tc>
          <w:tcPr>
            <w:tcW w:w="825" w:type="dxa"/>
            <w:tcBorders>
              <w:top w:val="nil"/>
              <w:left w:val="nil"/>
              <w:bottom w:val="nil"/>
              <w:right w:val="nil"/>
            </w:tcBorders>
            <w:noWrap/>
            <w:vAlign w:val="bottom"/>
            <w:hideMark/>
          </w:tcPr>
          <w:p w14:paraId="1D56E381" w14:textId="77777777" w:rsidR="00F02322" w:rsidRDefault="00F02322" w:rsidP="00A873D8">
            <w:pPr>
              <w:rPr>
                <w:rFonts w:ascii="Palatino Linotype" w:hAnsi="Palatino Linotype"/>
                <w:color w:val="000000"/>
                <w:sz w:val="21"/>
                <w:szCs w:val="21"/>
              </w:rPr>
            </w:pPr>
          </w:p>
        </w:tc>
      </w:tr>
      <w:tr w:rsidR="00F02322" w14:paraId="55B66928" w14:textId="77777777" w:rsidTr="00A873D8">
        <w:trPr>
          <w:trHeight w:val="316"/>
        </w:trPr>
        <w:tc>
          <w:tcPr>
            <w:tcW w:w="3593" w:type="dxa"/>
            <w:tcBorders>
              <w:top w:val="nil"/>
              <w:left w:val="nil"/>
              <w:bottom w:val="single" w:sz="4" w:space="0" w:color="auto"/>
              <w:right w:val="nil"/>
            </w:tcBorders>
            <w:noWrap/>
            <w:vAlign w:val="bottom"/>
            <w:hideMark/>
          </w:tcPr>
          <w:p w14:paraId="43151A45"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B9D95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w:t>
            </w:r>
          </w:p>
        </w:tc>
        <w:tc>
          <w:tcPr>
            <w:tcW w:w="1125" w:type="dxa"/>
            <w:tcBorders>
              <w:top w:val="nil"/>
              <w:left w:val="nil"/>
              <w:bottom w:val="single" w:sz="4" w:space="0" w:color="auto"/>
              <w:right w:val="nil"/>
            </w:tcBorders>
            <w:noWrap/>
            <w:vAlign w:val="bottom"/>
            <w:hideMark/>
          </w:tcPr>
          <w:p w14:paraId="0788669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78 (40.8)</w:t>
            </w:r>
          </w:p>
        </w:tc>
        <w:tc>
          <w:tcPr>
            <w:tcW w:w="193" w:type="dxa"/>
            <w:tcBorders>
              <w:top w:val="nil"/>
              <w:left w:val="nil"/>
              <w:bottom w:val="single" w:sz="4" w:space="0" w:color="auto"/>
              <w:right w:val="nil"/>
            </w:tcBorders>
            <w:noWrap/>
            <w:vAlign w:val="bottom"/>
            <w:hideMark/>
          </w:tcPr>
          <w:p w14:paraId="16D45A2B"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6B93D6A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144 (22.4)</w:t>
            </w:r>
          </w:p>
        </w:tc>
        <w:tc>
          <w:tcPr>
            <w:tcW w:w="825" w:type="dxa"/>
            <w:tcBorders>
              <w:top w:val="nil"/>
              <w:left w:val="nil"/>
              <w:bottom w:val="single" w:sz="4" w:space="0" w:color="auto"/>
              <w:right w:val="nil"/>
            </w:tcBorders>
            <w:noWrap/>
            <w:vAlign w:val="bottom"/>
            <w:hideMark/>
          </w:tcPr>
          <w:p w14:paraId="219E6C88" w14:textId="77777777" w:rsidR="00F02322" w:rsidRDefault="00F02322" w:rsidP="00A873D8">
            <w:pPr>
              <w:rPr>
                <w:rFonts w:ascii="Palatino Linotype" w:hAnsi="Palatino Linotype"/>
                <w:color w:val="000000"/>
                <w:sz w:val="21"/>
                <w:szCs w:val="21"/>
              </w:rPr>
            </w:pPr>
          </w:p>
        </w:tc>
      </w:tr>
      <w:tr w:rsidR="00F02322" w14:paraId="47B16908" w14:textId="77777777" w:rsidTr="00A873D8">
        <w:trPr>
          <w:trHeight w:val="316"/>
        </w:trPr>
        <w:tc>
          <w:tcPr>
            <w:tcW w:w="3593" w:type="dxa"/>
            <w:tcBorders>
              <w:top w:val="single" w:sz="4" w:space="0" w:color="auto"/>
              <w:left w:val="nil"/>
              <w:bottom w:val="nil"/>
              <w:right w:val="nil"/>
            </w:tcBorders>
            <w:noWrap/>
            <w:vAlign w:val="bottom"/>
            <w:hideMark/>
          </w:tcPr>
          <w:p w14:paraId="51ED15D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Lymphovascular invasion</w:t>
            </w:r>
            <w:r w:rsidRPr="008C312C">
              <w:rPr>
                <w:rFonts w:ascii="Palatino Linotype" w:hAnsi="Palatino Linotype"/>
                <w:b/>
                <w:bCs/>
                <w:color w:val="000000"/>
                <w:sz w:val="21"/>
                <w:szCs w:val="21"/>
                <w:vertAlign w:val="superscript"/>
              </w:rPr>
              <w:t>§</w:t>
            </w:r>
            <w:r>
              <w:rPr>
                <w:rFonts w:ascii="Palatino Linotype" w:hAnsi="Palatino Linotype"/>
                <w:b/>
                <w:bCs/>
                <w:color w:val="000000"/>
                <w:sz w:val="21"/>
                <w:szCs w:val="21"/>
              </w:rPr>
              <w:t>, n (%)</w:t>
            </w:r>
          </w:p>
        </w:tc>
        <w:tc>
          <w:tcPr>
            <w:tcW w:w="2346" w:type="dxa"/>
            <w:tcBorders>
              <w:top w:val="single" w:sz="4" w:space="0" w:color="auto"/>
              <w:left w:val="nil"/>
              <w:bottom w:val="nil"/>
              <w:right w:val="nil"/>
            </w:tcBorders>
            <w:noWrap/>
            <w:vAlign w:val="bottom"/>
            <w:hideMark/>
          </w:tcPr>
          <w:p w14:paraId="0F6CECE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125" w:type="dxa"/>
            <w:tcBorders>
              <w:top w:val="single" w:sz="4" w:space="0" w:color="auto"/>
              <w:left w:val="nil"/>
              <w:bottom w:val="nil"/>
              <w:right w:val="nil"/>
            </w:tcBorders>
            <w:noWrap/>
            <w:vAlign w:val="bottom"/>
            <w:hideMark/>
          </w:tcPr>
          <w:p w14:paraId="60C8E1B5"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55 (45.5)</w:t>
            </w:r>
          </w:p>
        </w:tc>
        <w:tc>
          <w:tcPr>
            <w:tcW w:w="193" w:type="dxa"/>
            <w:tcBorders>
              <w:top w:val="single" w:sz="4" w:space="0" w:color="auto"/>
              <w:left w:val="nil"/>
              <w:bottom w:val="nil"/>
              <w:right w:val="nil"/>
            </w:tcBorders>
            <w:noWrap/>
            <w:vAlign w:val="bottom"/>
            <w:hideMark/>
          </w:tcPr>
          <w:p w14:paraId="1587D8C3"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7937B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126 (28.2)</w:t>
            </w:r>
          </w:p>
        </w:tc>
        <w:tc>
          <w:tcPr>
            <w:tcW w:w="825" w:type="dxa"/>
            <w:tcBorders>
              <w:top w:val="single" w:sz="4" w:space="0" w:color="auto"/>
              <w:left w:val="nil"/>
              <w:bottom w:val="nil"/>
              <w:right w:val="nil"/>
            </w:tcBorders>
            <w:noWrap/>
            <w:vAlign w:val="bottom"/>
            <w:hideMark/>
          </w:tcPr>
          <w:p w14:paraId="1005C05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695601FB" w14:textId="77777777" w:rsidTr="00A873D8">
        <w:trPr>
          <w:trHeight w:val="316"/>
        </w:trPr>
        <w:tc>
          <w:tcPr>
            <w:tcW w:w="3593" w:type="dxa"/>
            <w:tcBorders>
              <w:top w:val="nil"/>
              <w:left w:val="nil"/>
              <w:bottom w:val="single" w:sz="4" w:space="0" w:color="auto"/>
              <w:right w:val="nil"/>
            </w:tcBorders>
            <w:noWrap/>
            <w:vAlign w:val="bottom"/>
            <w:hideMark/>
          </w:tcPr>
          <w:p w14:paraId="7C17290D" w14:textId="77777777" w:rsidR="00F02322" w:rsidRDefault="00F02322" w:rsidP="00A873D8">
            <w:pPr>
              <w:rPr>
                <w:sz w:val="20"/>
                <w:szCs w:val="20"/>
              </w:rPr>
            </w:pPr>
          </w:p>
        </w:tc>
        <w:tc>
          <w:tcPr>
            <w:tcW w:w="2346" w:type="dxa"/>
            <w:tcBorders>
              <w:top w:val="nil"/>
              <w:left w:val="nil"/>
              <w:bottom w:val="single" w:sz="4" w:space="0" w:color="auto"/>
              <w:right w:val="nil"/>
            </w:tcBorders>
            <w:noWrap/>
            <w:vAlign w:val="bottom"/>
            <w:hideMark/>
          </w:tcPr>
          <w:p w14:paraId="1F8ECD10"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125" w:type="dxa"/>
            <w:tcBorders>
              <w:top w:val="nil"/>
              <w:left w:val="nil"/>
              <w:bottom w:val="single" w:sz="4" w:space="0" w:color="auto"/>
              <w:right w:val="nil"/>
            </w:tcBorders>
            <w:noWrap/>
            <w:vAlign w:val="bottom"/>
            <w:hideMark/>
          </w:tcPr>
          <w:p w14:paraId="445DA38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66 (54.5)</w:t>
            </w:r>
          </w:p>
        </w:tc>
        <w:tc>
          <w:tcPr>
            <w:tcW w:w="193" w:type="dxa"/>
            <w:tcBorders>
              <w:top w:val="nil"/>
              <w:left w:val="nil"/>
              <w:bottom w:val="single" w:sz="4" w:space="0" w:color="auto"/>
              <w:right w:val="nil"/>
            </w:tcBorders>
            <w:noWrap/>
            <w:vAlign w:val="bottom"/>
            <w:hideMark/>
          </w:tcPr>
          <w:p w14:paraId="575714C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2C62DD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321 (71.8)</w:t>
            </w:r>
          </w:p>
        </w:tc>
        <w:tc>
          <w:tcPr>
            <w:tcW w:w="825" w:type="dxa"/>
            <w:tcBorders>
              <w:top w:val="nil"/>
              <w:left w:val="nil"/>
              <w:bottom w:val="single" w:sz="4" w:space="0" w:color="auto"/>
              <w:right w:val="nil"/>
            </w:tcBorders>
            <w:noWrap/>
            <w:vAlign w:val="bottom"/>
            <w:hideMark/>
          </w:tcPr>
          <w:p w14:paraId="47D8F5AE" w14:textId="77777777" w:rsidR="00F02322" w:rsidRDefault="00F02322" w:rsidP="00A873D8">
            <w:pPr>
              <w:rPr>
                <w:rFonts w:ascii="Palatino Linotype" w:hAnsi="Palatino Linotype"/>
                <w:color w:val="000000"/>
                <w:sz w:val="21"/>
                <w:szCs w:val="21"/>
              </w:rPr>
            </w:pPr>
          </w:p>
        </w:tc>
      </w:tr>
      <w:tr w:rsidR="00F02322" w14:paraId="1C3C6505" w14:textId="77777777" w:rsidTr="00A873D8">
        <w:trPr>
          <w:trHeight w:val="316"/>
        </w:trPr>
        <w:tc>
          <w:tcPr>
            <w:tcW w:w="3593" w:type="dxa"/>
            <w:tcBorders>
              <w:top w:val="single" w:sz="4" w:space="0" w:color="auto"/>
              <w:left w:val="nil"/>
              <w:bottom w:val="nil"/>
              <w:right w:val="nil"/>
            </w:tcBorders>
            <w:noWrap/>
            <w:vAlign w:val="bottom"/>
            <w:hideMark/>
          </w:tcPr>
          <w:p w14:paraId="2396D7FF"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systemic therapy, n (%)</w:t>
            </w:r>
          </w:p>
        </w:tc>
        <w:tc>
          <w:tcPr>
            <w:tcW w:w="2346" w:type="dxa"/>
            <w:tcBorders>
              <w:top w:val="single" w:sz="4" w:space="0" w:color="auto"/>
              <w:left w:val="nil"/>
              <w:bottom w:val="nil"/>
              <w:right w:val="nil"/>
            </w:tcBorders>
            <w:noWrap/>
            <w:vAlign w:val="bottom"/>
            <w:hideMark/>
          </w:tcPr>
          <w:p w14:paraId="6CE914F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44D75FC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81 (42.4)</w:t>
            </w:r>
          </w:p>
        </w:tc>
        <w:tc>
          <w:tcPr>
            <w:tcW w:w="193" w:type="dxa"/>
            <w:tcBorders>
              <w:top w:val="single" w:sz="4" w:space="0" w:color="auto"/>
              <w:left w:val="nil"/>
              <w:bottom w:val="nil"/>
              <w:right w:val="nil"/>
            </w:tcBorders>
            <w:noWrap/>
            <w:vAlign w:val="bottom"/>
            <w:hideMark/>
          </w:tcPr>
          <w:p w14:paraId="1582AA78"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50D2682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274 (42.7)</w:t>
            </w:r>
          </w:p>
        </w:tc>
        <w:tc>
          <w:tcPr>
            <w:tcW w:w="825" w:type="dxa"/>
            <w:tcBorders>
              <w:top w:val="single" w:sz="4" w:space="0" w:color="auto"/>
              <w:left w:val="nil"/>
              <w:bottom w:val="nil"/>
              <w:right w:val="nil"/>
            </w:tcBorders>
            <w:noWrap/>
            <w:vAlign w:val="bottom"/>
            <w:hideMark/>
          </w:tcPr>
          <w:p w14:paraId="32F2809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1.00</w:t>
            </w:r>
          </w:p>
        </w:tc>
      </w:tr>
      <w:tr w:rsidR="00F02322" w14:paraId="181F0DD7" w14:textId="77777777" w:rsidTr="00A873D8">
        <w:trPr>
          <w:trHeight w:val="316"/>
        </w:trPr>
        <w:tc>
          <w:tcPr>
            <w:tcW w:w="3593" w:type="dxa"/>
            <w:tcBorders>
              <w:top w:val="nil"/>
              <w:left w:val="nil"/>
              <w:bottom w:val="single" w:sz="4" w:space="0" w:color="auto"/>
              <w:right w:val="nil"/>
            </w:tcBorders>
            <w:noWrap/>
            <w:vAlign w:val="bottom"/>
            <w:hideMark/>
          </w:tcPr>
          <w:p w14:paraId="53FC38D2"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0E1CBF7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7FEAC0C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110 (57.6)</w:t>
            </w:r>
          </w:p>
        </w:tc>
        <w:tc>
          <w:tcPr>
            <w:tcW w:w="193" w:type="dxa"/>
            <w:tcBorders>
              <w:top w:val="nil"/>
              <w:left w:val="nil"/>
              <w:bottom w:val="single" w:sz="4" w:space="0" w:color="auto"/>
              <w:right w:val="nil"/>
            </w:tcBorders>
            <w:noWrap/>
            <w:vAlign w:val="bottom"/>
            <w:hideMark/>
          </w:tcPr>
          <w:p w14:paraId="6BF3609F"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72CEA008"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368 (57.3)</w:t>
            </w:r>
          </w:p>
        </w:tc>
        <w:tc>
          <w:tcPr>
            <w:tcW w:w="825" w:type="dxa"/>
            <w:tcBorders>
              <w:top w:val="nil"/>
              <w:left w:val="nil"/>
              <w:bottom w:val="single" w:sz="4" w:space="0" w:color="auto"/>
              <w:right w:val="nil"/>
            </w:tcBorders>
            <w:noWrap/>
            <w:vAlign w:val="bottom"/>
            <w:hideMark/>
          </w:tcPr>
          <w:p w14:paraId="7BDE3EE0" w14:textId="77777777" w:rsidR="00F02322" w:rsidRDefault="00F02322" w:rsidP="00A873D8">
            <w:pPr>
              <w:rPr>
                <w:rFonts w:ascii="Palatino Linotype" w:hAnsi="Palatino Linotype"/>
                <w:color w:val="000000"/>
                <w:sz w:val="21"/>
                <w:szCs w:val="21"/>
              </w:rPr>
            </w:pPr>
          </w:p>
        </w:tc>
      </w:tr>
      <w:tr w:rsidR="00F02322" w14:paraId="47E2B8B3" w14:textId="77777777" w:rsidTr="00A873D8">
        <w:trPr>
          <w:trHeight w:val="316"/>
        </w:trPr>
        <w:tc>
          <w:tcPr>
            <w:tcW w:w="3593" w:type="dxa"/>
            <w:tcBorders>
              <w:top w:val="single" w:sz="4" w:space="0" w:color="auto"/>
              <w:left w:val="nil"/>
              <w:bottom w:val="nil"/>
              <w:right w:val="nil"/>
            </w:tcBorders>
            <w:noWrap/>
            <w:vAlign w:val="bottom"/>
            <w:hideMark/>
          </w:tcPr>
          <w:p w14:paraId="7A62AB52"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endocrine therapy, n (%)</w:t>
            </w:r>
          </w:p>
        </w:tc>
        <w:tc>
          <w:tcPr>
            <w:tcW w:w="2346" w:type="dxa"/>
            <w:tcBorders>
              <w:top w:val="single" w:sz="4" w:space="0" w:color="auto"/>
              <w:left w:val="nil"/>
              <w:bottom w:val="nil"/>
              <w:right w:val="nil"/>
            </w:tcBorders>
            <w:noWrap/>
            <w:vAlign w:val="bottom"/>
            <w:hideMark/>
          </w:tcPr>
          <w:p w14:paraId="36536E2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39B6010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137 (71.7)</w:t>
            </w:r>
          </w:p>
        </w:tc>
        <w:tc>
          <w:tcPr>
            <w:tcW w:w="193" w:type="dxa"/>
            <w:tcBorders>
              <w:top w:val="single" w:sz="4" w:space="0" w:color="auto"/>
              <w:left w:val="nil"/>
              <w:bottom w:val="nil"/>
              <w:right w:val="nil"/>
            </w:tcBorders>
            <w:noWrap/>
            <w:vAlign w:val="bottom"/>
            <w:hideMark/>
          </w:tcPr>
          <w:p w14:paraId="16520CC3"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64C0568D"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538 (83.8)</w:t>
            </w:r>
          </w:p>
        </w:tc>
        <w:tc>
          <w:tcPr>
            <w:tcW w:w="825" w:type="dxa"/>
            <w:tcBorders>
              <w:top w:val="single" w:sz="4" w:space="0" w:color="auto"/>
              <w:left w:val="nil"/>
              <w:bottom w:val="nil"/>
              <w:right w:val="nil"/>
            </w:tcBorders>
            <w:noWrap/>
            <w:vAlign w:val="bottom"/>
            <w:hideMark/>
          </w:tcPr>
          <w:p w14:paraId="41C5448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F02322" w14:paraId="094E7E8F" w14:textId="77777777" w:rsidTr="00A873D8">
        <w:trPr>
          <w:trHeight w:val="316"/>
        </w:trPr>
        <w:tc>
          <w:tcPr>
            <w:tcW w:w="3593" w:type="dxa"/>
            <w:tcBorders>
              <w:top w:val="nil"/>
              <w:left w:val="nil"/>
              <w:bottom w:val="single" w:sz="4" w:space="0" w:color="auto"/>
              <w:right w:val="nil"/>
            </w:tcBorders>
            <w:noWrap/>
            <w:vAlign w:val="bottom"/>
            <w:hideMark/>
          </w:tcPr>
          <w:p w14:paraId="5FD473B5" w14:textId="77777777" w:rsidR="00F02322" w:rsidRDefault="00F02322" w:rsidP="00A873D8">
            <w:pPr>
              <w:rPr>
                <w:rFonts w:ascii="Palatino Linotype" w:hAnsi="Palatino Linotype"/>
                <w:color w:val="000000"/>
                <w:sz w:val="21"/>
                <w:szCs w:val="21"/>
              </w:rPr>
            </w:pPr>
          </w:p>
        </w:tc>
        <w:tc>
          <w:tcPr>
            <w:tcW w:w="2346" w:type="dxa"/>
            <w:tcBorders>
              <w:top w:val="nil"/>
              <w:left w:val="nil"/>
              <w:bottom w:val="single" w:sz="4" w:space="0" w:color="auto"/>
              <w:right w:val="nil"/>
            </w:tcBorders>
            <w:noWrap/>
            <w:vAlign w:val="bottom"/>
            <w:hideMark/>
          </w:tcPr>
          <w:p w14:paraId="7467C7EF"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4C6E0C3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54 (28.3)</w:t>
            </w:r>
          </w:p>
        </w:tc>
        <w:tc>
          <w:tcPr>
            <w:tcW w:w="193" w:type="dxa"/>
            <w:tcBorders>
              <w:top w:val="nil"/>
              <w:left w:val="nil"/>
              <w:bottom w:val="single" w:sz="4" w:space="0" w:color="auto"/>
              <w:right w:val="nil"/>
            </w:tcBorders>
            <w:noWrap/>
            <w:vAlign w:val="bottom"/>
            <w:hideMark/>
          </w:tcPr>
          <w:p w14:paraId="34D78581" w14:textId="77777777" w:rsidR="00F02322" w:rsidRDefault="00F02322" w:rsidP="00A873D8">
            <w:pPr>
              <w:rPr>
                <w:rFonts w:ascii="Palatino Linotype" w:hAnsi="Palatino Linotype"/>
                <w:color w:val="000000"/>
                <w:sz w:val="21"/>
                <w:szCs w:val="21"/>
              </w:rPr>
            </w:pPr>
          </w:p>
        </w:tc>
        <w:tc>
          <w:tcPr>
            <w:tcW w:w="1125" w:type="dxa"/>
            <w:tcBorders>
              <w:top w:val="nil"/>
              <w:left w:val="nil"/>
              <w:bottom w:val="single" w:sz="4" w:space="0" w:color="auto"/>
              <w:right w:val="nil"/>
            </w:tcBorders>
            <w:noWrap/>
            <w:vAlign w:val="bottom"/>
            <w:hideMark/>
          </w:tcPr>
          <w:p w14:paraId="4B29727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104 (16.2)</w:t>
            </w:r>
          </w:p>
        </w:tc>
        <w:tc>
          <w:tcPr>
            <w:tcW w:w="825" w:type="dxa"/>
            <w:tcBorders>
              <w:top w:val="nil"/>
              <w:left w:val="nil"/>
              <w:bottom w:val="single" w:sz="4" w:space="0" w:color="auto"/>
              <w:right w:val="nil"/>
            </w:tcBorders>
            <w:noWrap/>
            <w:vAlign w:val="bottom"/>
            <w:hideMark/>
          </w:tcPr>
          <w:p w14:paraId="101824F5" w14:textId="77777777" w:rsidR="00F02322" w:rsidRDefault="00F02322" w:rsidP="00A873D8">
            <w:pPr>
              <w:rPr>
                <w:rFonts w:ascii="Palatino Linotype" w:hAnsi="Palatino Linotype"/>
                <w:color w:val="000000"/>
                <w:sz w:val="21"/>
                <w:szCs w:val="21"/>
              </w:rPr>
            </w:pPr>
          </w:p>
        </w:tc>
      </w:tr>
      <w:tr w:rsidR="00F02322" w14:paraId="11F82F6C" w14:textId="77777777" w:rsidTr="00A873D8">
        <w:trPr>
          <w:trHeight w:val="316"/>
        </w:trPr>
        <w:tc>
          <w:tcPr>
            <w:tcW w:w="3593" w:type="dxa"/>
            <w:tcBorders>
              <w:top w:val="single" w:sz="4" w:space="0" w:color="auto"/>
              <w:left w:val="nil"/>
              <w:bottom w:val="nil"/>
              <w:right w:val="nil"/>
            </w:tcBorders>
            <w:noWrap/>
            <w:vAlign w:val="bottom"/>
            <w:hideMark/>
          </w:tcPr>
          <w:p w14:paraId="2359E63A"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lang w:val="es-MX"/>
              </w:rPr>
              <w:lastRenderedPageBreak/>
              <w:t>Adjuvant radiotherapy, n (%)</w:t>
            </w:r>
          </w:p>
        </w:tc>
        <w:tc>
          <w:tcPr>
            <w:tcW w:w="2346" w:type="dxa"/>
            <w:tcBorders>
              <w:top w:val="single" w:sz="4" w:space="0" w:color="auto"/>
              <w:left w:val="nil"/>
              <w:bottom w:val="nil"/>
              <w:right w:val="nil"/>
            </w:tcBorders>
            <w:noWrap/>
            <w:vAlign w:val="bottom"/>
            <w:hideMark/>
          </w:tcPr>
          <w:p w14:paraId="4AE21457"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125" w:type="dxa"/>
            <w:tcBorders>
              <w:top w:val="single" w:sz="4" w:space="0" w:color="auto"/>
              <w:left w:val="nil"/>
              <w:bottom w:val="nil"/>
              <w:right w:val="nil"/>
            </w:tcBorders>
            <w:noWrap/>
            <w:vAlign w:val="bottom"/>
            <w:hideMark/>
          </w:tcPr>
          <w:p w14:paraId="5E331C34"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165 (86.4)</w:t>
            </w:r>
          </w:p>
        </w:tc>
        <w:tc>
          <w:tcPr>
            <w:tcW w:w="193" w:type="dxa"/>
            <w:tcBorders>
              <w:top w:val="single" w:sz="4" w:space="0" w:color="auto"/>
              <w:left w:val="nil"/>
              <w:bottom w:val="nil"/>
              <w:right w:val="nil"/>
            </w:tcBorders>
            <w:noWrap/>
            <w:vAlign w:val="bottom"/>
            <w:hideMark/>
          </w:tcPr>
          <w:p w14:paraId="69CDE57C" w14:textId="77777777" w:rsidR="00F02322" w:rsidRDefault="00F02322" w:rsidP="00A873D8">
            <w:pPr>
              <w:rPr>
                <w:rFonts w:ascii="Palatino Linotype" w:hAnsi="Palatino Linotype"/>
                <w:color w:val="000000"/>
                <w:sz w:val="21"/>
                <w:szCs w:val="21"/>
              </w:rPr>
            </w:pPr>
          </w:p>
        </w:tc>
        <w:tc>
          <w:tcPr>
            <w:tcW w:w="1125" w:type="dxa"/>
            <w:tcBorders>
              <w:top w:val="single" w:sz="4" w:space="0" w:color="auto"/>
              <w:left w:val="nil"/>
              <w:bottom w:val="nil"/>
              <w:right w:val="nil"/>
            </w:tcBorders>
            <w:noWrap/>
            <w:vAlign w:val="bottom"/>
            <w:hideMark/>
          </w:tcPr>
          <w:p w14:paraId="1AE9A3C9"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594 (92.5)</w:t>
            </w:r>
          </w:p>
        </w:tc>
        <w:tc>
          <w:tcPr>
            <w:tcW w:w="825" w:type="dxa"/>
            <w:tcBorders>
              <w:top w:val="single" w:sz="4" w:space="0" w:color="auto"/>
              <w:left w:val="nil"/>
              <w:bottom w:val="nil"/>
              <w:right w:val="nil"/>
            </w:tcBorders>
            <w:noWrap/>
            <w:vAlign w:val="bottom"/>
            <w:hideMark/>
          </w:tcPr>
          <w:p w14:paraId="103D126A"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0.01</w:t>
            </w:r>
          </w:p>
        </w:tc>
      </w:tr>
      <w:tr w:rsidR="00F02322" w14:paraId="2C678E9C" w14:textId="77777777" w:rsidTr="00A873D8">
        <w:trPr>
          <w:trHeight w:val="316"/>
        </w:trPr>
        <w:tc>
          <w:tcPr>
            <w:tcW w:w="3593" w:type="dxa"/>
            <w:tcBorders>
              <w:top w:val="nil"/>
              <w:left w:val="nil"/>
              <w:bottom w:val="single" w:sz="4" w:space="0" w:color="auto"/>
              <w:right w:val="nil"/>
            </w:tcBorders>
            <w:noWrap/>
            <w:vAlign w:val="bottom"/>
            <w:hideMark/>
          </w:tcPr>
          <w:p w14:paraId="793FFD93" w14:textId="77777777" w:rsidR="00F02322" w:rsidRDefault="00F02322" w:rsidP="00A873D8">
            <w:pPr>
              <w:rPr>
                <w:rFonts w:ascii="Palatino Linotype" w:hAnsi="Palatino Linotype"/>
                <w:b/>
                <w:bCs/>
                <w:color w:val="000000"/>
                <w:sz w:val="21"/>
                <w:szCs w:val="21"/>
              </w:rPr>
            </w:pPr>
            <w:r>
              <w:rPr>
                <w:rFonts w:ascii="Palatino Linotype" w:hAnsi="Palatino Linotype"/>
                <w:b/>
                <w:bCs/>
                <w:color w:val="000000"/>
                <w:sz w:val="21"/>
                <w:szCs w:val="21"/>
              </w:rPr>
              <w:t> </w:t>
            </w:r>
          </w:p>
        </w:tc>
        <w:tc>
          <w:tcPr>
            <w:tcW w:w="2346" w:type="dxa"/>
            <w:tcBorders>
              <w:top w:val="nil"/>
              <w:left w:val="nil"/>
              <w:bottom w:val="single" w:sz="4" w:space="0" w:color="auto"/>
              <w:right w:val="nil"/>
            </w:tcBorders>
            <w:noWrap/>
            <w:vAlign w:val="bottom"/>
            <w:hideMark/>
          </w:tcPr>
          <w:p w14:paraId="26EFEB36"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125" w:type="dxa"/>
            <w:tcBorders>
              <w:top w:val="nil"/>
              <w:left w:val="nil"/>
              <w:bottom w:val="single" w:sz="4" w:space="0" w:color="auto"/>
              <w:right w:val="nil"/>
            </w:tcBorders>
            <w:noWrap/>
            <w:vAlign w:val="bottom"/>
            <w:hideMark/>
          </w:tcPr>
          <w:p w14:paraId="5D1F455E"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26 (13.6)</w:t>
            </w:r>
          </w:p>
        </w:tc>
        <w:tc>
          <w:tcPr>
            <w:tcW w:w="193" w:type="dxa"/>
            <w:tcBorders>
              <w:top w:val="nil"/>
              <w:left w:val="nil"/>
              <w:bottom w:val="single" w:sz="4" w:space="0" w:color="auto"/>
              <w:right w:val="nil"/>
            </w:tcBorders>
            <w:noWrap/>
            <w:vAlign w:val="bottom"/>
            <w:hideMark/>
          </w:tcPr>
          <w:p w14:paraId="13B4FD52"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c>
          <w:tcPr>
            <w:tcW w:w="1125" w:type="dxa"/>
            <w:tcBorders>
              <w:top w:val="nil"/>
              <w:left w:val="nil"/>
              <w:bottom w:val="single" w:sz="4" w:space="0" w:color="auto"/>
              <w:right w:val="nil"/>
            </w:tcBorders>
            <w:noWrap/>
            <w:vAlign w:val="bottom"/>
            <w:hideMark/>
          </w:tcPr>
          <w:p w14:paraId="2166E1EC"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48 (7.50)</w:t>
            </w:r>
          </w:p>
        </w:tc>
        <w:tc>
          <w:tcPr>
            <w:tcW w:w="825" w:type="dxa"/>
            <w:tcBorders>
              <w:top w:val="nil"/>
              <w:left w:val="nil"/>
              <w:bottom w:val="single" w:sz="4" w:space="0" w:color="auto"/>
              <w:right w:val="nil"/>
            </w:tcBorders>
            <w:noWrap/>
            <w:vAlign w:val="bottom"/>
            <w:hideMark/>
          </w:tcPr>
          <w:p w14:paraId="02F5D7E1" w14:textId="77777777" w:rsidR="00F02322" w:rsidRDefault="00F02322" w:rsidP="00A873D8">
            <w:pPr>
              <w:rPr>
                <w:rFonts w:ascii="Palatino Linotype" w:hAnsi="Palatino Linotype"/>
                <w:color w:val="000000"/>
                <w:sz w:val="21"/>
                <w:szCs w:val="21"/>
              </w:rPr>
            </w:pPr>
            <w:r>
              <w:rPr>
                <w:rFonts w:ascii="Palatino Linotype" w:hAnsi="Palatino Linotype"/>
                <w:color w:val="000000"/>
                <w:sz w:val="21"/>
                <w:szCs w:val="21"/>
              </w:rPr>
              <w:t> </w:t>
            </w:r>
          </w:p>
        </w:tc>
      </w:tr>
    </w:tbl>
    <w:p w14:paraId="1BD6AF2C" w14:textId="77777777" w:rsidR="00F02322" w:rsidRPr="004C2FB8" w:rsidRDefault="00F02322" w:rsidP="00F02322">
      <w:pPr>
        <w:rPr>
          <w:rFonts w:ascii="Palatino Linotype" w:hAnsi="Palatino Linotype"/>
          <w:sz w:val="17"/>
          <w:szCs w:val="17"/>
        </w:rPr>
      </w:pPr>
      <w:r w:rsidRPr="004C2FB8">
        <w:rPr>
          <w:rFonts w:ascii="Palatino Linotype" w:hAnsi="Palatino Linotype"/>
          <w:sz w:val="17"/>
          <w:szCs w:val="17"/>
        </w:rPr>
        <w:t>†: Fisher-Freeman-Halton asymptotic test; Chi-square test</w:t>
      </w:r>
    </w:p>
    <w:p w14:paraId="160AF3D1" w14:textId="77777777" w:rsidR="00F02322" w:rsidRPr="0035748B" w:rsidRDefault="00F02322" w:rsidP="00F02322">
      <w:pPr>
        <w:rPr>
          <w:rFonts w:ascii="Palatino Linotype" w:hAnsi="Palatino Linotype" w:cs="Calibri"/>
          <w:sz w:val="17"/>
          <w:szCs w:val="17"/>
        </w:rPr>
      </w:pPr>
      <w:r w:rsidRPr="004C2FB8">
        <w:rPr>
          <w:rFonts w:ascii="Palatino Linotype" w:hAnsi="Palatino Linotype" w:cs="Calibri"/>
          <w:sz w:val="17"/>
          <w:szCs w:val="17"/>
        </w:rPr>
        <w:t>§: Missing data in 36.8% of cases (n = 265)</w:t>
      </w:r>
    </w:p>
    <w:p w14:paraId="39EAE81F" w14:textId="7B841DE9" w:rsidR="0029401A" w:rsidRPr="00C05B95" w:rsidRDefault="00C05B95" w:rsidP="00C05B95">
      <w:pPr>
        <w:jc w:val="both"/>
        <w:rPr>
          <w:rFonts w:ascii="Arial" w:eastAsia="Times New Roman" w:hAnsi="Arial" w:cs="Arial"/>
          <w:i/>
          <w:iCs/>
          <w:color w:val="000000" w:themeColor="text1"/>
          <w:kern w:val="0"/>
          <w:sz w:val="22"/>
          <w:szCs w:val="22"/>
          <w14:ligatures w14:val="none"/>
        </w:rPr>
      </w:pPr>
      <w:r>
        <w:rPr>
          <w:rFonts w:ascii="Arial" w:eastAsia="Times New Roman" w:hAnsi="Arial" w:cs="Arial"/>
          <w:i/>
          <w:iCs/>
          <w:color w:val="000000" w:themeColor="text1"/>
          <w:kern w:val="0"/>
          <w:sz w:val="22"/>
          <w:szCs w:val="22"/>
          <w14:ligatures w14:val="none"/>
        </w:rPr>
        <w:t>3.5</w:t>
      </w:r>
      <w:r w:rsidR="0029401A" w:rsidRPr="00C05B95">
        <w:rPr>
          <w:rFonts w:ascii="Arial" w:eastAsia="Times New Roman" w:hAnsi="Arial" w:cs="Arial"/>
          <w:i/>
          <w:iCs/>
          <w:color w:val="000000" w:themeColor="text1"/>
          <w:kern w:val="0"/>
          <w:sz w:val="22"/>
          <w:szCs w:val="22"/>
          <w14:ligatures w14:val="none"/>
        </w:rPr>
        <w:t>Patrones de recaída</w:t>
      </w:r>
    </w:p>
    <w:p w14:paraId="16FC4D68" w14:textId="6AEAC0C3" w:rsidR="0029401A" w:rsidRPr="00987E5C" w:rsidRDefault="005769A4" w:rsidP="008B6736">
      <w:pPr>
        <w:spacing w:after="0" w:line="240" w:lineRule="auto"/>
        <w:jc w:val="both"/>
        <w:rPr>
          <w:rFonts w:ascii="Arial" w:hAnsi="Arial" w:cs="Arial"/>
          <w:color w:val="000000" w:themeColor="text1"/>
          <w:sz w:val="22"/>
          <w:szCs w:val="22"/>
          <w:shd w:val="clear" w:color="auto" w:fill="FFFFFF"/>
        </w:rPr>
      </w:pPr>
      <w:r w:rsidRPr="005769A4">
        <w:rPr>
          <w:rFonts w:ascii="Arial" w:hAnsi="Arial" w:cs="Arial"/>
          <w:color w:val="000000"/>
          <w:sz w:val="22"/>
          <w:szCs w:val="22"/>
          <w:shd w:val="clear" w:color="auto" w:fill="FFFFFF"/>
        </w:rPr>
        <w:t>En esta cohorte, 149 pacientes (78,0 %) desarrollaron recaída a distancia. En el subtipo Luminal A, 28 de 33 pacientes (</w:t>
      </w:r>
      <w:r w:rsidR="008E3530">
        <w:rPr>
          <w:rFonts w:ascii="Arial" w:hAnsi="Arial" w:cs="Arial"/>
          <w:color w:val="000000"/>
          <w:sz w:val="22"/>
          <w:szCs w:val="22"/>
          <w:shd w:val="clear" w:color="auto" w:fill="FFFFFF"/>
        </w:rPr>
        <w:t>18.8</w:t>
      </w:r>
      <w:r w:rsidRPr="005769A4">
        <w:rPr>
          <w:rFonts w:ascii="Arial" w:hAnsi="Arial" w:cs="Arial"/>
          <w:color w:val="000000"/>
          <w:sz w:val="22"/>
          <w:szCs w:val="22"/>
          <w:shd w:val="clear" w:color="auto" w:fill="FFFFFF"/>
        </w:rPr>
        <w:t xml:space="preserve">%) presentaron recaída a distancia, predominando el compromiso </w:t>
      </w:r>
      <w:r w:rsidR="00867D9A">
        <w:rPr>
          <w:rFonts w:ascii="Arial" w:hAnsi="Arial" w:cs="Arial"/>
          <w:color w:val="000000"/>
          <w:sz w:val="22"/>
          <w:szCs w:val="22"/>
          <w:shd w:val="clear" w:color="auto" w:fill="FFFFFF"/>
        </w:rPr>
        <w:t xml:space="preserve">óseo (n=21; 75%) seguido de </w:t>
      </w:r>
      <w:r w:rsidRPr="005769A4">
        <w:rPr>
          <w:rFonts w:ascii="Arial" w:hAnsi="Arial" w:cs="Arial"/>
          <w:color w:val="000000"/>
          <w:sz w:val="22"/>
          <w:szCs w:val="22"/>
          <w:shd w:val="clear" w:color="auto" w:fill="FFFFFF"/>
        </w:rPr>
        <w:t>pulmonar/pleural (n = 9; 32,1 %),</w:t>
      </w:r>
      <w:r w:rsidR="00867D9A">
        <w:rPr>
          <w:rFonts w:ascii="Arial" w:hAnsi="Arial" w:cs="Arial"/>
          <w:color w:val="000000"/>
          <w:sz w:val="22"/>
          <w:szCs w:val="22"/>
          <w:shd w:val="clear" w:color="auto" w:fill="FFFFFF"/>
        </w:rPr>
        <w:t xml:space="preserve"> con </w:t>
      </w:r>
      <w:r w:rsidRPr="005769A4">
        <w:rPr>
          <w:rFonts w:ascii="Arial" w:hAnsi="Arial" w:cs="Arial"/>
          <w:color w:val="000000"/>
          <w:sz w:val="22"/>
          <w:szCs w:val="22"/>
          <w:shd w:val="clear" w:color="auto" w:fill="FFFFFF"/>
        </w:rPr>
        <w:t xml:space="preserve">afectación cerebral fue </w:t>
      </w:r>
      <w:r w:rsidRPr="00987E5C">
        <w:rPr>
          <w:rFonts w:ascii="Arial" w:hAnsi="Arial" w:cs="Arial"/>
          <w:color w:val="000000" w:themeColor="text1"/>
          <w:sz w:val="22"/>
          <w:szCs w:val="22"/>
          <w:shd w:val="clear" w:color="auto" w:fill="FFFFFF"/>
        </w:rPr>
        <w:t>infrecuente (n = 1; 3</w:t>
      </w:r>
      <w:r w:rsidR="008E3530" w:rsidRPr="00987E5C">
        <w:rPr>
          <w:rFonts w:ascii="Arial" w:hAnsi="Arial" w:cs="Arial"/>
          <w:color w:val="000000" w:themeColor="text1"/>
          <w:sz w:val="22"/>
          <w:szCs w:val="22"/>
          <w:shd w:val="clear" w:color="auto" w:fill="FFFFFF"/>
        </w:rPr>
        <w:t>.</w:t>
      </w:r>
      <w:r w:rsidRPr="00987E5C">
        <w:rPr>
          <w:rFonts w:ascii="Arial" w:hAnsi="Arial" w:cs="Arial"/>
          <w:color w:val="000000" w:themeColor="text1"/>
          <w:sz w:val="22"/>
          <w:szCs w:val="22"/>
          <w:shd w:val="clear" w:color="auto" w:fill="FFFFFF"/>
        </w:rPr>
        <w:t>6 %). Entre las pacientes con subtipo Luminal B HER2+, 23 de 34 pacientes (</w:t>
      </w:r>
      <w:r w:rsidR="008E3530" w:rsidRPr="00987E5C">
        <w:rPr>
          <w:rFonts w:ascii="Arial" w:hAnsi="Arial" w:cs="Arial"/>
          <w:color w:val="000000" w:themeColor="text1"/>
          <w:sz w:val="22"/>
          <w:szCs w:val="22"/>
          <w:shd w:val="clear" w:color="auto" w:fill="FFFFFF"/>
        </w:rPr>
        <w:t>15.4</w:t>
      </w:r>
      <w:r w:rsidRPr="00987E5C">
        <w:rPr>
          <w:rFonts w:ascii="Arial" w:hAnsi="Arial" w:cs="Arial"/>
          <w:color w:val="000000" w:themeColor="text1"/>
          <w:sz w:val="22"/>
          <w:szCs w:val="22"/>
          <w:shd w:val="clear" w:color="auto" w:fill="FFFFFF"/>
        </w:rPr>
        <w:t xml:space="preserve">%) desarrollaron recaída a distancia, siendo los sitios más frecuentes </w:t>
      </w:r>
      <w:r w:rsidR="00867D9A" w:rsidRPr="00987E5C">
        <w:rPr>
          <w:rFonts w:ascii="Arial" w:hAnsi="Arial" w:cs="Arial"/>
          <w:color w:val="000000" w:themeColor="text1"/>
          <w:sz w:val="22"/>
          <w:szCs w:val="22"/>
          <w:shd w:val="clear" w:color="auto" w:fill="FFFFFF"/>
        </w:rPr>
        <w:t xml:space="preserve">óseo </w:t>
      </w:r>
      <w:r w:rsidRPr="00987E5C">
        <w:rPr>
          <w:rFonts w:ascii="Arial" w:hAnsi="Arial" w:cs="Arial"/>
          <w:color w:val="000000" w:themeColor="text1"/>
          <w:sz w:val="22"/>
          <w:szCs w:val="22"/>
          <w:shd w:val="clear" w:color="auto" w:fill="FFFFFF"/>
        </w:rPr>
        <w:t xml:space="preserve">(n = </w:t>
      </w:r>
      <w:r w:rsidRPr="00987E5C">
        <w:rPr>
          <w:rFonts w:ascii="Arial" w:hAnsi="Arial" w:cs="Arial"/>
          <w:b/>
          <w:bCs/>
          <w:color w:val="000000" w:themeColor="text1"/>
          <w:sz w:val="22"/>
          <w:szCs w:val="22"/>
          <w:shd w:val="clear" w:color="auto" w:fill="FFFFFF"/>
        </w:rPr>
        <w:t>1</w:t>
      </w:r>
      <w:r w:rsidR="00867D9A" w:rsidRPr="00987E5C">
        <w:rPr>
          <w:rFonts w:ascii="Arial" w:hAnsi="Arial" w:cs="Arial"/>
          <w:b/>
          <w:bCs/>
          <w:color w:val="000000" w:themeColor="text1"/>
          <w:sz w:val="22"/>
          <w:szCs w:val="22"/>
          <w:shd w:val="clear" w:color="auto" w:fill="FFFFFF"/>
        </w:rPr>
        <w:t>2</w:t>
      </w:r>
      <w:r w:rsidRPr="00987E5C">
        <w:rPr>
          <w:rFonts w:ascii="Arial" w:hAnsi="Arial" w:cs="Arial"/>
          <w:color w:val="000000" w:themeColor="text1"/>
          <w:sz w:val="22"/>
          <w:szCs w:val="22"/>
          <w:shd w:val="clear" w:color="auto" w:fill="FFFFFF"/>
        </w:rPr>
        <w:t xml:space="preserve">; </w:t>
      </w:r>
      <w:r w:rsidR="00867D9A" w:rsidRPr="00987E5C">
        <w:rPr>
          <w:rFonts w:ascii="Arial" w:hAnsi="Arial" w:cs="Arial"/>
          <w:color w:val="000000" w:themeColor="text1"/>
          <w:sz w:val="22"/>
          <w:szCs w:val="22"/>
          <w:shd w:val="clear" w:color="auto" w:fill="FFFFFF"/>
        </w:rPr>
        <w:t>52.1</w:t>
      </w:r>
      <w:r w:rsidRPr="00987E5C">
        <w:rPr>
          <w:rFonts w:ascii="Arial" w:hAnsi="Arial" w:cs="Arial"/>
          <w:color w:val="000000" w:themeColor="text1"/>
          <w:sz w:val="22"/>
          <w:szCs w:val="22"/>
          <w:shd w:val="clear" w:color="auto" w:fill="FFFFFF"/>
        </w:rPr>
        <w:t xml:space="preserve"> %), </w:t>
      </w:r>
      <w:r w:rsidR="00867D9A" w:rsidRPr="00987E5C">
        <w:rPr>
          <w:rFonts w:ascii="Arial" w:hAnsi="Arial" w:cs="Arial"/>
          <w:color w:val="000000" w:themeColor="text1"/>
          <w:sz w:val="22"/>
          <w:szCs w:val="22"/>
          <w:shd w:val="clear" w:color="auto" w:fill="FFFFFF"/>
        </w:rPr>
        <w:t>pulmón/pleura</w:t>
      </w:r>
      <w:r w:rsidRPr="00987E5C">
        <w:rPr>
          <w:rFonts w:ascii="Arial" w:hAnsi="Arial" w:cs="Arial"/>
          <w:color w:val="000000" w:themeColor="text1"/>
          <w:sz w:val="22"/>
          <w:szCs w:val="22"/>
          <w:shd w:val="clear" w:color="auto" w:fill="FFFFFF"/>
        </w:rPr>
        <w:t xml:space="preserve"> (n = </w:t>
      </w:r>
      <w:r w:rsidR="00867D9A" w:rsidRPr="00987E5C">
        <w:rPr>
          <w:rFonts w:ascii="Arial" w:hAnsi="Arial" w:cs="Arial"/>
          <w:b/>
          <w:bCs/>
          <w:color w:val="000000" w:themeColor="text1"/>
          <w:sz w:val="22"/>
          <w:szCs w:val="22"/>
          <w:shd w:val="clear" w:color="auto" w:fill="FFFFFF"/>
        </w:rPr>
        <w:t>7</w:t>
      </w:r>
      <w:r w:rsidRPr="00987E5C">
        <w:rPr>
          <w:rFonts w:ascii="Arial" w:hAnsi="Arial" w:cs="Arial"/>
          <w:color w:val="000000" w:themeColor="text1"/>
          <w:sz w:val="22"/>
          <w:szCs w:val="22"/>
          <w:shd w:val="clear" w:color="auto" w:fill="FFFFFF"/>
        </w:rPr>
        <w:t>; 3</w:t>
      </w:r>
      <w:r w:rsidR="00867D9A" w:rsidRPr="00987E5C">
        <w:rPr>
          <w:rFonts w:ascii="Arial" w:hAnsi="Arial" w:cs="Arial"/>
          <w:color w:val="000000" w:themeColor="text1"/>
          <w:sz w:val="22"/>
          <w:szCs w:val="22"/>
          <w:shd w:val="clear" w:color="auto" w:fill="FFFFFF"/>
        </w:rPr>
        <w:t>0.4</w:t>
      </w:r>
      <w:r w:rsidRPr="00987E5C">
        <w:rPr>
          <w:rFonts w:ascii="Arial" w:hAnsi="Arial" w:cs="Arial"/>
          <w:color w:val="000000" w:themeColor="text1"/>
          <w:sz w:val="22"/>
          <w:szCs w:val="22"/>
          <w:shd w:val="clear" w:color="auto" w:fill="FFFFFF"/>
        </w:rPr>
        <w:t xml:space="preserve">%) y el compromiso del sistema nervioso central se observó en </w:t>
      </w:r>
      <w:r w:rsidR="00867D9A" w:rsidRPr="00987E5C">
        <w:rPr>
          <w:rFonts w:ascii="Arial" w:hAnsi="Arial" w:cs="Arial"/>
          <w:b/>
          <w:bCs/>
          <w:color w:val="000000" w:themeColor="text1"/>
          <w:sz w:val="22"/>
          <w:szCs w:val="22"/>
          <w:shd w:val="clear" w:color="auto" w:fill="FFFFFF"/>
        </w:rPr>
        <w:t>5</w:t>
      </w:r>
      <w:r w:rsidRPr="00987E5C">
        <w:rPr>
          <w:rFonts w:ascii="Arial" w:hAnsi="Arial" w:cs="Arial"/>
          <w:color w:val="000000" w:themeColor="text1"/>
          <w:sz w:val="22"/>
          <w:szCs w:val="22"/>
          <w:shd w:val="clear" w:color="auto" w:fill="FFFFFF"/>
        </w:rPr>
        <w:t xml:space="preserve"> pacientes (</w:t>
      </w:r>
      <w:r w:rsidR="00867D9A" w:rsidRPr="00987E5C">
        <w:rPr>
          <w:rFonts w:ascii="Arial" w:hAnsi="Arial" w:cs="Arial"/>
          <w:color w:val="000000" w:themeColor="text1"/>
          <w:sz w:val="22"/>
          <w:szCs w:val="22"/>
          <w:shd w:val="clear" w:color="auto" w:fill="FFFFFF"/>
        </w:rPr>
        <w:t>21.7</w:t>
      </w:r>
      <w:r w:rsidRPr="00987E5C">
        <w:rPr>
          <w:rFonts w:ascii="Arial" w:hAnsi="Arial" w:cs="Arial"/>
          <w:color w:val="000000" w:themeColor="text1"/>
          <w:sz w:val="22"/>
          <w:szCs w:val="22"/>
          <w:shd w:val="clear" w:color="auto" w:fill="FFFFFF"/>
        </w:rPr>
        <w:t xml:space="preserve">%) </w:t>
      </w:r>
      <w:r w:rsidR="00987E5C"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En el grupo Luminal B HER2−, 62 pacientes (</w:t>
      </w:r>
      <w:r w:rsidR="008E3530" w:rsidRPr="00987E5C">
        <w:rPr>
          <w:rFonts w:ascii="Arial" w:hAnsi="Arial" w:cs="Arial"/>
          <w:color w:val="000000" w:themeColor="text1"/>
          <w:sz w:val="22"/>
          <w:szCs w:val="22"/>
          <w:shd w:val="clear" w:color="auto" w:fill="FFFFFF"/>
        </w:rPr>
        <w:t>41.6</w:t>
      </w:r>
      <w:r w:rsidRPr="00987E5C">
        <w:rPr>
          <w:rFonts w:ascii="Arial" w:hAnsi="Arial" w:cs="Arial"/>
          <w:color w:val="000000" w:themeColor="text1"/>
          <w:sz w:val="22"/>
          <w:szCs w:val="22"/>
          <w:shd w:val="clear" w:color="auto" w:fill="FFFFFF"/>
        </w:rPr>
        <w:t>%) presentaron recaída a distancia, con predominio de</w:t>
      </w:r>
      <w:r w:rsidR="008E3530" w:rsidRPr="00987E5C">
        <w:rPr>
          <w:rFonts w:ascii="Arial" w:hAnsi="Arial" w:cs="Arial"/>
          <w:color w:val="000000" w:themeColor="text1"/>
          <w:sz w:val="22"/>
          <w:szCs w:val="22"/>
          <w:shd w:val="clear" w:color="auto" w:fill="FFFFFF"/>
        </w:rPr>
        <w:t xml:space="preserve"> compromiso óseo (n = 38; 61.2 %), seguido de</w:t>
      </w:r>
      <w:r w:rsidRPr="00987E5C">
        <w:rPr>
          <w:rFonts w:ascii="Arial" w:hAnsi="Arial" w:cs="Arial"/>
          <w:color w:val="000000" w:themeColor="text1"/>
          <w:sz w:val="22"/>
          <w:szCs w:val="22"/>
          <w:shd w:val="clear" w:color="auto" w:fill="FFFFFF"/>
        </w:rPr>
        <w:t xml:space="preserve"> pulmón/pleura (n = 2</w:t>
      </w:r>
      <w:r w:rsidR="008E3530" w:rsidRPr="00987E5C">
        <w:rPr>
          <w:rFonts w:ascii="Arial" w:hAnsi="Arial" w:cs="Arial"/>
          <w:color w:val="000000" w:themeColor="text1"/>
          <w:sz w:val="22"/>
          <w:szCs w:val="22"/>
          <w:shd w:val="clear" w:color="auto" w:fill="FFFFFF"/>
        </w:rPr>
        <w:t>3</w:t>
      </w:r>
      <w:r w:rsidRPr="00987E5C">
        <w:rPr>
          <w:rFonts w:ascii="Arial" w:hAnsi="Arial" w:cs="Arial"/>
          <w:color w:val="000000" w:themeColor="text1"/>
          <w:sz w:val="22"/>
          <w:szCs w:val="22"/>
          <w:shd w:val="clear" w:color="auto" w:fill="FFFFFF"/>
        </w:rPr>
        <w:t>; 37 %) e hígado (n = 1</w:t>
      </w:r>
      <w:r w:rsidR="008E3530" w:rsidRPr="00987E5C">
        <w:rPr>
          <w:rFonts w:ascii="Arial" w:hAnsi="Arial" w:cs="Arial"/>
          <w:color w:val="000000" w:themeColor="text1"/>
          <w:sz w:val="22"/>
          <w:szCs w:val="22"/>
          <w:shd w:val="clear" w:color="auto" w:fill="FFFFFF"/>
        </w:rPr>
        <w:t>0</w:t>
      </w:r>
      <w:r w:rsidRPr="00987E5C">
        <w:rPr>
          <w:rFonts w:ascii="Arial" w:hAnsi="Arial" w:cs="Arial"/>
          <w:color w:val="000000" w:themeColor="text1"/>
          <w:sz w:val="22"/>
          <w:szCs w:val="22"/>
          <w:shd w:val="clear" w:color="auto" w:fill="FFFFFF"/>
        </w:rPr>
        <w:t xml:space="preserve">; </w:t>
      </w:r>
      <w:r w:rsidR="008E3530" w:rsidRPr="00987E5C">
        <w:rPr>
          <w:rFonts w:ascii="Arial" w:hAnsi="Arial" w:cs="Arial"/>
          <w:color w:val="000000" w:themeColor="text1"/>
          <w:sz w:val="22"/>
          <w:szCs w:val="22"/>
          <w:shd w:val="clear" w:color="auto" w:fill="FFFFFF"/>
        </w:rPr>
        <w:t>16.1</w:t>
      </w:r>
      <w:r w:rsidRPr="00987E5C">
        <w:rPr>
          <w:rFonts w:ascii="Arial" w:hAnsi="Arial" w:cs="Arial"/>
          <w:color w:val="000000" w:themeColor="text1"/>
          <w:sz w:val="22"/>
          <w:szCs w:val="22"/>
          <w:shd w:val="clear" w:color="auto" w:fill="FFFFFF"/>
        </w:rPr>
        <w:t xml:space="preserve"> %), mientras que la afectación cerebral fue poco frecuente</w:t>
      </w:r>
      <w:r w:rsidR="008E3530"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En las pacientes con subtipo HER2 puro, 9 de 13 pacientes (69,2 %) desarrollaron recaída a distancia, principalmente en pulmón/pleura (n = 5; 55,6 %) e hígado (n = 4; 44,4 %), con compromiso cerebral en 3 pacientes (33,3 %) y óseo en 2 pacientes (22,2 %). Finalmente, en el subtipo triple negativo, 27 de 33 pacientes (81,8 %) presentaron recaída a distancia, con alta frecuencia de compromiso pulmonar/pleural (</w:t>
      </w:r>
      <w:r w:rsidRPr="00987E5C">
        <w:rPr>
          <w:rFonts w:ascii="Arial" w:hAnsi="Arial" w:cs="Arial"/>
          <w:b/>
          <w:bCs/>
          <w:color w:val="000000" w:themeColor="text1"/>
          <w:sz w:val="22"/>
          <w:szCs w:val="22"/>
          <w:shd w:val="clear" w:color="auto" w:fill="FFFFFF"/>
        </w:rPr>
        <w:t>n = 1</w:t>
      </w:r>
      <w:r w:rsidR="00987E5C" w:rsidRPr="00987E5C">
        <w:rPr>
          <w:rFonts w:ascii="Arial" w:hAnsi="Arial" w:cs="Arial"/>
          <w:b/>
          <w:bCs/>
          <w:color w:val="000000" w:themeColor="text1"/>
          <w:sz w:val="22"/>
          <w:szCs w:val="22"/>
          <w:shd w:val="clear" w:color="auto" w:fill="FFFFFF"/>
        </w:rPr>
        <w:t>3</w:t>
      </w:r>
      <w:r w:rsidRPr="00987E5C">
        <w:rPr>
          <w:rFonts w:ascii="Arial" w:hAnsi="Arial" w:cs="Arial"/>
          <w:b/>
          <w:bCs/>
          <w:color w:val="000000" w:themeColor="text1"/>
          <w:sz w:val="22"/>
          <w:szCs w:val="22"/>
          <w:shd w:val="clear" w:color="auto" w:fill="FFFFFF"/>
        </w:rPr>
        <w:t xml:space="preserve">; </w:t>
      </w:r>
      <w:r w:rsidR="00987E5C" w:rsidRPr="00987E5C">
        <w:rPr>
          <w:rFonts w:ascii="Arial" w:hAnsi="Arial" w:cs="Arial"/>
          <w:b/>
          <w:bCs/>
          <w:color w:val="000000" w:themeColor="text1"/>
          <w:sz w:val="22"/>
          <w:szCs w:val="22"/>
          <w:shd w:val="clear" w:color="auto" w:fill="FFFFFF"/>
        </w:rPr>
        <w:t>48.1</w:t>
      </w:r>
      <w:r w:rsidRPr="00987E5C">
        <w:rPr>
          <w:rFonts w:ascii="Arial" w:hAnsi="Arial" w:cs="Arial"/>
          <w:b/>
          <w:bCs/>
          <w:color w:val="000000" w:themeColor="text1"/>
          <w:sz w:val="22"/>
          <w:szCs w:val="22"/>
          <w:shd w:val="clear" w:color="auto" w:fill="FFFFFF"/>
        </w:rPr>
        <w:t>%),</w:t>
      </w:r>
      <w:r w:rsidRPr="00987E5C">
        <w:rPr>
          <w:rFonts w:ascii="Arial" w:hAnsi="Arial" w:cs="Arial"/>
          <w:color w:val="000000" w:themeColor="text1"/>
          <w:sz w:val="22"/>
          <w:szCs w:val="22"/>
          <w:shd w:val="clear" w:color="auto" w:fill="FFFFFF"/>
        </w:rPr>
        <w:t xml:space="preserve"> cerebral (n = 9; 33,3 %) y hepático (n = </w:t>
      </w:r>
      <w:r w:rsidR="00987E5C" w:rsidRPr="00987E5C">
        <w:rPr>
          <w:rFonts w:ascii="Arial" w:hAnsi="Arial" w:cs="Arial"/>
          <w:color w:val="000000" w:themeColor="text1"/>
          <w:sz w:val="22"/>
          <w:szCs w:val="22"/>
          <w:shd w:val="clear" w:color="auto" w:fill="FFFFFF"/>
        </w:rPr>
        <w:t>5</w:t>
      </w:r>
      <w:r w:rsidRPr="00987E5C">
        <w:rPr>
          <w:rFonts w:ascii="Arial" w:hAnsi="Arial" w:cs="Arial"/>
          <w:color w:val="000000" w:themeColor="text1"/>
          <w:sz w:val="22"/>
          <w:szCs w:val="22"/>
          <w:shd w:val="clear" w:color="auto" w:fill="FFFFFF"/>
        </w:rPr>
        <w:t xml:space="preserve">; </w:t>
      </w:r>
      <w:r w:rsidR="00987E5C" w:rsidRPr="00987E5C">
        <w:rPr>
          <w:rFonts w:ascii="Arial" w:hAnsi="Arial" w:cs="Arial"/>
          <w:color w:val="000000" w:themeColor="text1"/>
          <w:sz w:val="22"/>
          <w:szCs w:val="22"/>
          <w:shd w:val="clear" w:color="auto" w:fill="FFFFFF"/>
        </w:rPr>
        <w:t>18.5</w:t>
      </w:r>
      <w:r w:rsidRPr="00987E5C">
        <w:rPr>
          <w:rFonts w:ascii="Arial" w:hAnsi="Arial" w:cs="Arial"/>
          <w:color w:val="000000" w:themeColor="text1"/>
          <w:sz w:val="22"/>
          <w:szCs w:val="22"/>
          <w:shd w:val="clear" w:color="auto" w:fill="FFFFFF"/>
        </w:rPr>
        <w:t>%)</w:t>
      </w:r>
      <w:r w:rsidR="00987E5C" w:rsidRPr="00987E5C">
        <w:rPr>
          <w:rFonts w:ascii="Arial" w:hAnsi="Arial" w:cs="Arial"/>
          <w:color w:val="000000" w:themeColor="text1"/>
          <w:sz w:val="22"/>
          <w:szCs w:val="22"/>
          <w:shd w:val="clear" w:color="auto" w:fill="FFFFFF"/>
        </w:rPr>
        <w:t xml:space="preserve"> </w:t>
      </w:r>
      <w:r w:rsidRPr="00987E5C">
        <w:rPr>
          <w:rFonts w:ascii="Arial" w:hAnsi="Arial" w:cs="Arial"/>
          <w:color w:val="000000" w:themeColor="text1"/>
          <w:sz w:val="22"/>
          <w:szCs w:val="22"/>
          <w:shd w:val="clear" w:color="auto" w:fill="FFFFFF"/>
        </w:rPr>
        <w:t>y óseo (n = 5; 18,5 %). Cabe resaltar que algunas pacientes presentaron compromiso en más de un sitio metastásico.</w:t>
      </w:r>
    </w:p>
    <w:p w14:paraId="34237E7E" w14:textId="77777777" w:rsidR="00311BE1" w:rsidRPr="003E5F42" w:rsidRDefault="00311BE1" w:rsidP="00311BE1">
      <w:pPr>
        <w:pStyle w:val="NormalWeb"/>
        <w:jc w:val="center"/>
        <w:rPr>
          <w:rFonts w:ascii="Palatino Linotype" w:hAnsi="Palatino Linotype"/>
          <w:sz w:val="22"/>
          <w:szCs w:val="22"/>
          <w:lang w:val="en-US"/>
        </w:rPr>
      </w:pPr>
      <w:r w:rsidRPr="00D278DD">
        <w:rPr>
          <w:rFonts w:ascii="Palatino Linotype" w:hAnsi="Palatino Linotype"/>
          <w:b/>
          <w:bCs/>
          <w:sz w:val="22"/>
          <w:szCs w:val="22"/>
          <w:lang w:val="en-US"/>
        </w:rPr>
        <w:t>Table 4-1.</w:t>
      </w:r>
      <w:r w:rsidRPr="00D278DD">
        <w:rPr>
          <w:rFonts w:ascii="Palatino Linotype" w:hAnsi="Palatino Linotype"/>
          <w:sz w:val="22"/>
          <w:szCs w:val="22"/>
          <w:lang w:val="en-US"/>
        </w:rPr>
        <w:t xml:space="preserve"> Comparative evaluation of demographic, clinical and treatment characteristics in breast cancer patients experiencing tumor relapse compared to those without relapse by type.</w:t>
      </w:r>
    </w:p>
    <w:p w14:paraId="39176781" w14:textId="77777777" w:rsidR="005769A4" w:rsidRPr="00311BE1" w:rsidRDefault="005769A4" w:rsidP="008B6736">
      <w:pPr>
        <w:spacing w:after="0" w:line="240" w:lineRule="auto"/>
        <w:jc w:val="both"/>
        <w:rPr>
          <w:rFonts w:ascii="Arial" w:hAnsi="Arial" w:cs="Arial"/>
          <w:color w:val="000000"/>
          <w:sz w:val="22"/>
          <w:szCs w:val="22"/>
          <w:shd w:val="clear" w:color="auto" w:fill="FFFFFF"/>
          <w:lang w:val="en-US"/>
        </w:rPr>
      </w:pPr>
    </w:p>
    <w:tbl>
      <w:tblPr>
        <w:tblW w:w="12080" w:type="dxa"/>
        <w:tblCellMar>
          <w:left w:w="70" w:type="dxa"/>
          <w:right w:w="70" w:type="dxa"/>
        </w:tblCellMar>
        <w:tblLook w:val="04A0" w:firstRow="1" w:lastRow="0" w:firstColumn="1" w:lastColumn="0" w:noHBand="0" w:noVBand="1"/>
      </w:tblPr>
      <w:tblGrid>
        <w:gridCol w:w="3780"/>
        <w:gridCol w:w="2080"/>
        <w:gridCol w:w="1300"/>
        <w:gridCol w:w="1340"/>
        <w:gridCol w:w="1340"/>
        <w:gridCol w:w="1280"/>
        <w:gridCol w:w="960"/>
      </w:tblGrid>
      <w:tr w:rsidR="00892A74" w14:paraId="52EB66C0" w14:textId="77777777" w:rsidTr="00A873D8">
        <w:trPr>
          <w:trHeight w:val="315"/>
        </w:trPr>
        <w:tc>
          <w:tcPr>
            <w:tcW w:w="3780" w:type="dxa"/>
            <w:vMerge w:val="restart"/>
            <w:tcBorders>
              <w:top w:val="single" w:sz="4" w:space="0" w:color="auto"/>
              <w:left w:val="nil"/>
              <w:bottom w:val="single" w:sz="4" w:space="0" w:color="000000"/>
              <w:right w:val="nil"/>
            </w:tcBorders>
            <w:noWrap/>
            <w:vAlign w:val="center"/>
            <w:hideMark/>
          </w:tcPr>
          <w:p w14:paraId="15F7C9F2" w14:textId="77777777" w:rsidR="00892A74" w:rsidRDefault="00892A74" w:rsidP="00A873D8">
            <w:pPr>
              <w:rPr>
                <w:rFonts w:ascii="Palatino Linotype" w:hAnsi="Palatino Linotype"/>
                <w:b/>
                <w:bCs/>
                <w:color w:val="000000"/>
                <w:sz w:val="21"/>
                <w:szCs w:val="21"/>
                <w:lang w:eastAsia="es-CO"/>
              </w:rPr>
            </w:pPr>
            <w:r>
              <w:rPr>
                <w:rFonts w:ascii="Palatino Linotype" w:hAnsi="Palatino Linotype"/>
                <w:b/>
                <w:bCs/>
                <w:color w:val="000000"/>
                <w:sz w:val="21"/>
                <w:szCs w:val="21"/>
              </w:rPr>
              <w:t>Characteristic</w:t>
            </w:r>
          </w:p>
        </w:tc>
        <w:tc>
          <w:tcPr>
            <w:tcW w:w="2080" w:type="dxa"/>
            <w:tcBorders>
              <w:top w:val="single" w:sz="4" w:space="0" w:color="auto"/>
              <w:left w:val="nil"/>
              <w:bottom w:val="nil"/>
              <w:right w:val="nil"/>
            </w:tcBorders>
            <w:noWrap/>
            <w:vAlign w:val="bottom"/>
            <w:hideMark/>
          </w:tcPr>
          <w:p w14:paraId="5E0B07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5260" w:type="dxa"/>
            <w:gridSpan w:val="4"/>
            <w:tcBorders>
              <w:top w:val="single" w:sz="4" w:space="0" w:color="auto"/>
              <w:left w:val="nil"/>
              <w:bottom w:val="single" w:sz="4" w:space="0" w:color="auto"/>
              <w:right w:val="nil"/>
            </w:tcBorders>
            <w:noWrap/>
            <w:vAlign w:val="bottom"/>
            <w:hideMark/>
          </w:tcPr>
          <w:p w14:paraId="681F4760" w14:textId="77777777" w:rsidR="00892A74" w:rsidRDefault="00892A74" w:rsidP="00A873D8">
            <w:pPr>
              <w:jc w:val="center"/>
              <w:rPr>
                <w:rFonts w:ascii="Palatino Linotype" w:hAnsi="Palatino Linotype"/>
                <w:b/>
                <w:bCs/>
                <w:color w:val="000000"/>
                <w:sz w:val="21"/>
                <w:szCs w:val="21"/>
              </w:rPr>
            </w:pPr>
            <w:r>
              <w:rPr>
                <w:rFonts w:ascii="Palatino Linotype" w:hAnsi="Palatino Linotype"/>
                <w:b/>
                <w:bCs/>
                <w:color w:val="000000"/>
                <w:sz w:val="21"/>
                <w:szCs w:val="21"/>
              </w:rPr>
              <w:t>Breast tumor relapse</w:t>
            </w:r>
          </w:p>
        </w:tc>
        <w:tc>
          <w:tcPr>
            <w:tcW w:w="960" w:type="dxa"/>
            <w:tcBorders>
              <w:top w:val="single" w:sz="4" w:space="0" w:color="auto"/>
              <w:left w:val="nil"/>
              <w:bottom w:val="nil"/>
              <w:right w:val="nil"/>
            </w:tcBorders>
            <w:noWrap/>
            <w:vAlign w:val="bottom"/>
            <w:hideMark/>
          </w:tcPr>
          <w:p w14:paraId="13021BA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4A30377D" w14:textId="77777777" w:rsidTr="00A873D8">
        <w:trPr>
          <w:trHeight w:val="630"/>
        </w:trPr>
        <w:tc>
          <w:tcPr>
            <w:tcW w:w="3780" w:type="dxa"/>
            <w:vMerge/>
            <w:tcBorders>
              <w:top w:val="single" w:sz="4" w:space="0" w:color="auto"/>
              <w:left w:val="nil"/>
              <w:bottom w:val="single" w:sz="4" w:space="0" w:color="000000"/>
              <w:right w:val="nil"/>
            </w:tcBorders>
            <w:vAlign w:val="center"/>
            <w:hideMark/>
          </w:tcPr>
          <w:p w14:paraId="2BD1BD7A" w14:textId="77777777" w:rsidR="00892A74" w:rsidRDefault="00892A74" w:rsidP="00A873D8">
            <w:pPr>
              <w:rPr>
                <w:rFonts w:ascii="Palatino Linotype" w:hAnsi="Palatino Linotype"/>
                <w:b/>
                <w:bCs/>
                <w:color w:val="000000"/>
                <w:sz w:val="21"/>
                <w:szCs w:val="21"/>
              </w:rPr>
            </w:pPr>
          </w:p>
        </w:tc>
        <w:tc>
          <w:tcPr>
            <w:tcW w:w="2080" w:type="dxa"/>
            <w:tcBorders>
              <w:top w:val="nil"/>
              <w:left w:val="nil"/>
              <w:bottom w:val="single" w:sz="4" w:space="0" w:color="auto"/>
              <w:right w:val="nil"/>
            </w:tcBorders>
            <w:noWrap/>
            <w:vAlign w:val="bottom"/>
            <w:hideMark/>
          </w:tcPr>
          <w:p w14:paraId="285EB01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1300" w:type="dxa"/>
            <w:tcBorders>
              <w:top w:val="nil"/>
              <w:left w:val="nil"/>
              <w:bottom w:val="single" w:sz="4" w:space="0" w:color="auto"/>
              <w:right w:val="nil"/>
            </w:tcBorders>
            <w:vAlign w:val="bottom"/>
            <w:hideMark/>
          </w:tcPr>
          <w:p w14:paraId="5397044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Local</w:t>
            </w:r>
            <w:r>
              <w:rPr>
                <w:rFonts w:ascii="Palatino Linotype" w:hAnsi="Palatino Linotype"/>
                <w:b/>
                <w:bCs/>
                <w:color w:val="000000"/>
                <w:sz w:val="21"/>
                <w:szCs w:val="21"/>
              </w:rPr>
              <w:br/>
              <w:t>(n = 17)</w:t>
            </w:r>
          </w:p>
        </w:tc>
        <w:tc>
          <w:tcPr>
            <w:tcW w:w="1340" w:type="dxa"/>
            <w:tcBorders>
              <w:top w:val="nil"/>
              <w:left w:val="nil"/>
              <w:bottom w:val="single" w:sz="4" w:space="0" w:color="auto"/>
              <w:right w:val="nil"/>
            </w:tcBorders>
            <w:vAlign w:val="bottom"/>
            <w:hideMark/>
          </w:tcPr>
          <w:p w14:paraId="638B0289"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 xml:space="preserve">Regional </w:t>
            </w:r>
            <w:r>
              <w:rPr>
                <w:rFonts w:ascii="Palatino Linotype" w:hAnsi="Palatino Linotype"/>
                <w:b/>
                <w:bCs/>
                <w:color w:val="000000"/>
                <w:sz w:val="21"/>
                <w:szCs w:val="21"/>
              </w:rPr>
              <w:br/>
              <w:t>(n = 25)</w:t>
            </w:r>
          </w:p>
        </w:tc>
        <w:tc>
          <w:tcPr>
            <w:tcW w:w="1340" w:type="dxa"/>
            <w:tcBorders>
              <w:top w:val="nil"/>
              <w:left w:val="nil"/>
              <w:bottom w:val="single" w:sz="4" w:space="0" w:color="auto"/>
              <w:right w:val="nil"/>
            </w:tcBorders>
            <w:vAlign w:val="bottom"/>
            <w:hideMark/>
          </w:tcPr>
          <w:p w14:paraId="66ED2233"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Distance</w:t>
            </w:r>
            <w:r>
              <w:rPr>
                <w:rFonts w:ascii="Palatino Linotype" w:hAnsi="Palatino Linotype"/>
                <w:b/>
                <w:bCs/>
                <w:color w:val="000000"/>
                <w:sz w:val="21"/>
                <w:szCs w:val="21"/>
              </w:rPr>
              <w:br/>
              <w:t>(n = 149)</w:t>
            </w:r>
          </w:p>
        </w:tc>
        <w:tc>
          <w:tcPr>
            <w:tcW w:w="1280" w:type="dxa"/>
            <w:tcBorders>
              <w:top w:val="nil"/>
              <w:left w:val="nil"/>
              <w:bottom w:val="single" w:sz="4" w:space="0" w:color="auto"/>
              <w:right w:val="nil"/>
            </w:tcBorders>
            <w:vAlign w:val="bottom"/>
            <w:hideMark/>
          </w:tcPr>
          <w:p w14:paraId="3245F5F7"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None</w:t>
            </w:r>
            <w:r>
              <w:rPr>
                <w:rFonts w:ascii="Palatino Linotype" w:hAnsi="Palatino Linotype"/>
                <w:b/>
                <w:bCs/>
                <w:color w:val="000000"/>
                <w:sz w:val="21"/>
                <w:szCs w:val="21"/>
              </w:rPr>
              <w:br/>
              <w:t>(n = 642)</w:t>
            </w:r>
          </w:p>
        </w:tc>
        <w:tc>
          <w:tcPr>
            <w:tcW w:w="960" w:type="dxa"/>
            <w:tcBorders>
              <w:top w:val="nil"/>
              <w:left w:val="nil"/>
              <w:bottom w:val="single" w:sz="4" w:space="0" w:color="auto"/>
              <w:right w:val="nil"/>
            </w:tcBorders>
            <w:noWrap/>
            <w:vAlign w:val="bottom"/>
            <w:hideMark/>
          </w:tcPr>
          <w:p w14:paraId="40F9CCB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p-value</w:t>
            </w:r>
            <w:r w:rsidRPr="008C312C">
              <w:rPr>
                <w:rFonts w:ascii="Palatino Linotype" w:hAnsi="Palatino Linotype"/>
                <w:b/>
                <w:bCs/>
                <w:color w:val="000000"/>
                <w:sz w:val="21"/>
                <w:szCs w:val="21"/>
                <w:vertAlign w:val="superscript"/>
              </w:rPr>
              <w:t>†</w:t>
            </w:r>
          </w:p>
        </w:tc>
      </w:tr>
      <w:tr w:rsidR="00892A74" w14:paraId="6DB498D1" w14:textId="77777777" w:rsidTr="00A873D8">
        <w:trPr>
          <w:trHeight w:val="315"/>
        </w:trPr>
        <w:tc>
          <w:tcPr>
            <w:tcW w:w="3780" w:type="dxa"/>
            <w:tcBorders>
              <w:top w:val="nil"/>
              <w:left w:val="nil"/>
              <w:bottom w:val="nil"/>
              <w:right w:val="nil"/>
            </w:tcBorders>
            <w:noWrap/>
            <w:vAlign w:val="bottom"/>
            <w:hideMark/>
          </w:tcPr>
          <w:p w14:paraId="36CDA588"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Age</w:t>
            </w:r>
          </w:p>
        </w:tc>
        <w:tc>
          <w:tcPr>
            <w:tcW w:w="2080" w:type="dxa"/>
            <w:tcBorders>
              <w:top w:val="nil"/>
              <w:left w:val="nil"/>
              <w:bottom w:val="nil"/>
              <w:right w:val="nil"/>
            </w:tcBorders>
            <w:noWrap/>
            <w:vAlign w:val="bottom"/>
            <w:hideMark/>
          </w:tcPr>
          <w:p w14:paraId="0A54143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Mean ± SD</w:t>
            </w:r>
          </w:p>
        </w:tc>
        <w:tc>
          <w:tcPr>
            <w:tcW w:w="1300" w:type="dxa"/>
            <w:tcBorders>
              <w:top w:val="nil"/>
              <w:left w:val="nil"/>
              <w:bottom w:val="nil"/>
              <w:right w:val="nil"/>
            </w:tcBorders>
            <w:noWrap/>
            <w:vAlign w:val="bottom"/>
            <w:hideMark/>
          </w:tcPr>
          <w:p w14:paraId="569788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62.3 ± 11.7</w:t>
            </w:r>
          </w:p>
        </w:tc>
        <w:tc>
          <w:tcPr>
            <w:tcW w:w="1340" w:type="dxa"/>
            <w:tcBorders>
              <w:top w:val="nil"/>
              <w:left w:val="nil"/>
              <w:bottom w:val="nil"/>
              <w:right w:val="nil"/>
            </w:tcBorders>
            <w:noWrap/>
            <w:vAlign w:val="bottom"/>
            <w:hideMark/>
          </w:tcPr>
          <w:p w14:paraId="0E4C067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57.7 ± 10.3</w:t>
            </w:r>
          </w:p>
        </w:tc>
        <w:tc>
          <w:tcPr>
            <w:tcW w:w="1340" w:type="dxa"/>
            <w:tcBorders>
              <w:top w:val="nil"/>
              <w:left w:val="nil"/>
              <w:bottom w:val="nil"/>
              <w:right w:val="nil"/>
            </w:tcBorders>
            <w:noWrap/>
            <w:vAlign w:val="bottom"/>
            <w:hideMark/>
          </w:tcPr>
          <w:p w14:paraId="159FBFB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54.9 ± 11.9</w:t>
            </w:r>
          </w:p>
        </w:tc>
        <w:tc>
          <w:tcPr>
            <w:tcW w:w="1280" w:type="dxa"/>
            <w:tcBorders>
              <w:top w:val="nil"/>
              <w:left w:val="nil"/>
              <w:bottom w:val="nil"/>
              <w:right w:val="nil"/>
            </w:tcBorders>
            <w:noWrap/>
            <w:vAlign w:val="bottom"/>
            <w:hideMark/>
          </w:tcPr>
          <w:p w14:paraId="2C8BB9A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57.5 ± 11.4</w:t>
            </w:r>
          </w:p>
        </w:tc>
        <w:tc>
          <w:tcPr>
            <w:tcW w:w="960" w:type="dxa"/>
            <w:tcBorders>
              <w:top w:val="nil"/>
              <w:left w:val="nil"/>
              <w:bottom w:val="nil"/>
              <w:right w:val="nil"/>
            </w:tcBorders>
            <w:noWrap/>
            <w:vAlign w:val="bottom"/>
            <w:hideMark/>
          </w:tcPr>
          <w:p w14:paraId="075F4A5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0.02</w:t>
            </w:r>
          </w:p>
        </w:tc>
      </w:tr>
      <w:tr w:rsidR="00892A74" w14:paraId="001924F4" w14:textId="77777777" w:rsidTr="00A873D8">
        <w:trPr>
          <w:trHeight w:val="315"/>
        </w:trPr>
        <w:tc>
          <w:tcPr>
            <w:tcW w:w="3780" w:type="dxa"/>
            <w:tcBorders>
              <w:top w:val="nil"/>
              <w:left w:val="nil"/>
              <w:bottom w:val="nil"/>
              <w:right w:val="nil"/>
            </w:tcBorders>
            <w:noWrap/>
            <w:vAlign w:val="bottom"/>
            <w:hideMark/>
          </w:tcPr>
          <w:p w14:paraId="44576B42"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Age, n (%)</w:t>
            </w:r>
          </w:p>
        </w:tc>
        <w:tc>
          <w:tcPr>
            <w:tcW w:w="2080" w:type="dxa"/>
            <w:tcBorders>
              <w:top w:val="nil"/>
              <w:left w:val="nil"/>
              <w:bottom w:val="nil"/>
              <w:right w:val="nil"/>
            </w:tcBorders>
            <w:noWrap/>
            <w:vAlign w:val="bottom"/>
            <w:hideMark/>
          </w:tcPr>
          <w:p w14:paraId="68BA9B0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&lt;50</w:t>
            </w:r>
          </w:p>
        </w:tc>
        <w:tc>
          <w:tcPr>
            <w:tcW w:w="1300" w:type="dxa"/>
            <w:tcBorders>
              <w:top w:val="nil"/>
              <w:left w:val="nil"/>
              <w:bottom w:val="nil"/>
              <w:right w:val="nil"/>
            </w:tcBorders>
            <w:noWrap/>
            <w:vAlign w:val="bottom"/>
            <w:hideMark/>
          </w:tcPr>
          <w:p w14:paraId="59D9D2B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14750C9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nil"/>
              <w:right w:val="nil"/>
            </w:tcBorders>
            <w:noWrap/>
            <w:vAlign w:val="bottom"/>
            <w:hideMark/>
          </w:tcPr>
          <w:p w14:paraId="69710ED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(32.2)</w:t>
            </w:r>
          </w:p>
        </w:tc>
        <w:tc>
          <w:tcPr>
            <w:tcW w:w="1280" w:type="dxa"/>
            <w:tcBorders>
              <w:top w:val="nil"/>
              <w:left w:val="nil"/>
              <w:bottom w:val="nil"/>
              <w:right w:val="nil"/>
            </w:tcBorders>
            <w:noWrap/>
            <w:vAlign w:val="bottom"/>
            <w:hideMark/>
          </w:tcPr>
          <w:p w14:paraId="31523B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960" w:type="dxa"/>
            <w:tcBorders>
              <w:top w:val="nil"/>
              <w:left w:val="nil"/>
              <w:bottom w:val="nil"/>
              <w:right w:val="nil"/>
            </w:tcBorders>
            <w:noWrap/>
            <w:vAlign w:val="bottom"/>
            <w:hideMark/>
          </w:tcPr>
          <w:p w14:paraId="3AC058B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0.10</w:t>
            </w:r>
          </w:p>
        </w:tc>
      </w:tr>
      <w:tr w:rsidR="00892A74" w14:paraId="7007ACAE" w14:textId="77777777" w:rsidTr="00A873D8">
        <w:trPr>
          <w:trHeight w:val="315"/>
        </w:trPr>
        <w:tc>
          <w:tcPr>
            <w:tcW w:w="3780" w:type="dxa"/>
            <w:tcBorders>
              <w:top w:val="nil"/>
              <w:left w:val="nil"/>
              <w:bottom w:val="single" w:sz="4" w:space="0" w:color="auto"/>
              <w:right w:val="nil"/>
            </w:tcBorders>
            <w:noWrap/>
            <w:vAlign w:val="bottom"/>
            <w:hideMark/>
          </w:tcPr>
          <w:p w14:paraId="5FAB536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4AAB30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50</w:t>
            </w:r>
          </w:p>
        </w:tc>
        <w:tc>
          <w:tcPr>
            <w:tcW w:w="1300" w:type="dxa"/>
            <w:tcBorders>
              <w:top w:val="nil"/>
              <w:left w:val="nil"/>
              <w:bottom w:val="single" w:sz="4" w:space="0" w:color="auto"/>
              <w:right w:val="nil"/>
            </w:tcBorders>
            <w:noWrap/>
            <w:vAlign w:val="bottom"/>
            <w:hideMark/>
          </w:tcPr>
          <w:p w14:paraId="2478E0F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 (94.1)</w:t>
            </w:r>
          </w:p>
        </w:tc>
        <w:tc>
          <w:tcPr>
            <w:tcW w:w="1340" w:type="dxa"/>
            <w:tcBorders>
              <w:top w:val="nil"/>
              <w:left w:val="nil"/>
              <w:bottom w:val="single" w:sz="4" w:space="0" w:color="auto"/>
              <w:right w:val="nil"/>
            </w:tcBorders>
            <w:noWrap/>
            <w:vAlign w:val="bottom"/>
            <w:hideMark/>
          </w:tcPr>
          <w:p w14:paraId="4C5ACFE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19 (76.0)</w:t>
            </w:r>
          </w:p>
        </w:tc>
        <w:tc>
          <w:tcPr>
            <w:tcW w:w="1340" w:type="dxa"/>
            <w:tcBorders>
              <w:top w:val="nil"/>
              <w:left w:val="nil"/>
              <w:bottom w:val="single" w:sz="4" w:space="0" w:color="auto"/>
              <w:right w:val="nil"/>
            </w:tcBorders>
            <w:noWrap/>
            <w:vAlign w:val="bottom"/>
            <w:hideMark/>
          </w:tcPr>
          <w:p w14:paraId="52E5990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101 (67.8)</w:t>
            </w:r>
          </w:p>
        </w:tc>
        <w:tc>
          <w:tcPr>
            <w:tcW w:w="1280" w:type="dxa"/>
            <w:tcBorders>
              <w:top w:val="nil"/>
              <w:left w:val="nil"/>
              <w:bottom w:val="single" w:sz="4" w:space="0" w:color="auto"/>
              <w:right w:val="nil"/>
            </w:tcBorders>
            <w:noWrap/>
            <w:vAlign w:val="bottom"/>
            <w:hideMark/>
          </w:tcPr>
          <w:p w14:paraId="4D2D1E9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474 (73.8)</w:t>
            </w:r>
          </w:p>
        </w:tc>
        <w:tc>
          <w:tcPr>
            <w:tcW w:w="960" w:type="dxa"/>
            <w:tcBorders>
              <w:top w:val="nil"/>
              <w:left w:val="nil"/>
              <w:bottom w:val="single" w:sz="4" w:space="0" w:color="auto"/>
              <w:right w:val="nil"/>
            </w:tcBorders>
            <w:noWrap/>
            <w:vAlign w:val="bottom"/>
            <w:hideMark/>
          </w:tcPr>
          <w:p w14:paraId="56FAD69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58716E50" w14:textId="77777777" w:rsidTr="00A873D8">
        <w:trPr>
          <w:trHeight w:val="315"/>
        </w:trPr>
        <w:tc>
          <w:tcPr>
            <w:tcW w:w="3780" w:type="dxa"/>
            <w:tcBorders>
              <w:top w:val="nil"/>
              <w:left w:val="nil"/>
              <w:bottom w:val="nil"/>
              <w:right w:val="nil"/>
            </w:tcBorders>
            <w:noWrap/>
            <w:vAlign w:val="bottom"/>
            <w:hideMark/>
          </w:tcPr>
          <w:p w14:paraId="71788E23"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n-US"/>
              </w:rPr>
              <w:t>Health insurance, n (%)</w:t>
            </w:r>
          </w:p>
        </w:tc>
        <w:tc>
          <w:tcPr>
            <w:tcW w:w="2080" w:type="dxa"/>
            <w:tcBorders>
              <w:top w:val="nil"/>
              <w:left w:val="nil"/>
              <w:bottom w:val="nil"/>
              <w:right w:val="nil"/>
            </w:tcBorders>
            <w:noWrap/>
            <w:vAlign w:val="center"/>
            <w:hideMark/>
          </w:tcPr>
          <w:p w14:paraId="38F1C96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lang w:val="en-US"/>
              </w:rPr>
              <w:t>Contributive/Others</w:t>
            </w:r>
          </w:p>
        </w:tc>
        <w:tc>
          <w:tcPr>
            <w:tcW w:w="1300" w:type="dxa"/>
            <w:tcBorders>
              <w:top w:val="nil"/>
              <w:left w:val="nil"/>
              <w:bottom w:val="nil"/>
              <w:right w:val="nil"/>
            </w:tcBorders>
            <w:noWrap/>
            <w:vAlign w:val="bottom"/>
            <w:hideMark/>
          </w:tcPr>
          <w:p w14:paraId="2EC7610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(41.2)</w:t>
            </w:r>
          </w:p>
        </w:tc>
        <w:tc>
          <w:tcPr>
            <w:tcW w:w="1340" w:type="dxa"/>
            <w:tcBorders>
              <w:top w:val="nil"/>
              <w:left w:val="nil"/>
              <w:bottom w:val="nil"/>
              <w:right w:val="nil"/>
            </w:tcBorders>
            <w:noWrap/>
            <w:vAlign w:val="bottom"/>
            <w:hideMark/>
          </w:tcPr>
          <w:p w14:paraId="31E2651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(44.0)</w:t>
            </w:r>
          </w:p>
        </w:tc>
        <w:tc>
          <w:tcPr>
            <w:tcW w:w="1340" w:type="dxa"/>
            <w:tcBorders>
              <w:top w:val="nil"/>
              <w:left w:val="nil"/>
              <w:bottom w:val="nil"/>
              <w:right w:val="nil"/>
            </w:tcBorders>
            <w:noWrap/>
            <w:vAlign w:val="bottom"/>
            <w:hideMark/>
          </w:tcPr>
          <w:p w14:paraId="554D26D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63 (42.3)</w:t>
            </w:r>
          </w:p>
        </w:tc>
        <w:tc>
          <w:tcPr>
            <w:tcW w:w="1280" w:type="dxa"/>
            <w:tcBorders>
              <w:top w:val="nil"/>
              <w:left w:val="nil"/>
              <w:bottom w:val="nil"/>
              <w:right w:val="nil"/>
            </w:tcBorders>
            <w:noWrap/>
            <w:vAlign w:val="bottom"/>
            <w:hideMark/>
          </w:tcPr>
          <w:p w14:paraId="0BD870E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354 (55.1)</w:t>
            </w:r>
          </w:p>
        </w:tc>
        <w:tc>
          <w:tcPr>
            <w:tcW w:w="960" w:type="dxa"/>
            <w:tcBorders>
              <w:top w:val="nil"/>
              <w:left w:val="nil"/>
              <w:bottom w:val="nil"/>
              <w:right w:val="nil"/>
            </w:tcBorders>
            <w:noWrap/>
            <w:vAlign w:val="bottom"/>
            <w:hideMark/>
          </w:tcPr>
          <w:p w14:paraId="09713E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0.02</w:t>
            </w:r>
          </w:p>
        </w:tc>
      </w:tr>
      <w:tr w:rsidR="00892A74" w14:paraId="648E9DFA" w14:textId="77777777" w:rsidTr="00A873D8">
        <w:trPr>
          <w:trHeight w:val="315"/>
        </w:trPr>
        <w:tc>
          <w:tcPr>
            <w:tcW w:w="3780" w:type="dxa"/>
            <w:tcBorders>
              <w:top w:val="nil"/>
              <w:left w:val="nil"/>
              <w:bottom w:val="single" w:sz="4" w:space="0" w:color="auto"/>
              <w:right w:val="nil"/>
            </w:tcBorders>
            <w:noWrap/>
            <w:vAlign w:val="bottom"/>
            <w:hideMark/>
          </w:tcPr>
          <w:p w14:paraId="12A1E3A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7A8644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lang w:val="en-US"/>
              </w:rPr>
              <w:t>Subsidized</w:t>
            </w:r>
          </w:p>
        </w:tc>
        <w:tc>
          <w:tcPr>
            <w:tcW w:w="1300" w:type="dxa"/>
            <w:tcBorders>
              <w:top w:val="nil"/>
              <w:left w:val="nil"/>
              <w:bottom w:val="single" w:sz="4" w:space="0" w:color="auto"/>
              <w:right w:val="nil"/>
            </w:tcBorders>
            <w:noWrap/>
            <w:vAlign w:val="bottom"/>
            <w:hideMark/>
          </w:tcPr>
          <w:p w14:paraId="421BB80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(58.8)</w:t>
            </w:r>
          </w:p>
        </w:tc>
        <w:tc>
          <w:tcPr>
            <w:tcW w:w="1340" w:type="dxa"/>
            <w:tcBorders>
              <w:top w:val="nil"/>
              <w:left w:val="nil"/>
              <w:bottom w:val="single" w:sz="4" w:space="0" w:color="auto"/>
              <w:right w:val="nil"/>
            </w:tcBorders>
            <w:noWrap/>
            <w:vAlign w:val="bottom"/>
            <w:hideMark/>
          </w:tcPr>
          <w:p w14:paraId="3C6EF1C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 (56.0)</w:t>
            </w:r>
          </w:p>
        </w:tc>
        <w:tc>
          <w:tcPr>
            <w:tcW w:w="1340" w:type="dxa"/>
            <w:tcBorders>
              <w:top w:val="nil"/>
              <w:left w:val="nil"/>
              <w:bottom w:val="single" w:sz="4" w:space="0" w:color="auto"/>
              <w:right w:val="nil"/>
            </w:tcBorders>
            <w:noWrap/>
            <w:vAlign w:val="bottom"/>
            <w:hideMark/>
          </w:tcPr>
          <w:p w14:paraId="073D487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86 (57.7)</w:t>
            </w:r>
          </w:p>
        </w:tc>
        <w:tc>
          <w:tcPr>
            <w:tcW w:w="1280" w:type="dxa"/>
            <w:tcBorders>
              <w:top w:val="nil"/>
              <w:left w:val="nil"/>
              <w:bottom w:val="single" w:sz="4" w:space="0" w:color="auto"/>
              <w:right w:val="nil"/>
            </w:tcBorders>
            <w:noWrap/>
            <w:vAlign w:val="bottom"/>
            <w:hideMark/>
          </w:tcPr>
          <w:p w14:paraId="5511BE6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288 (44.9)</w:t>
            </w:r>
          </w:p>
        </w:tc>
        <w:tc>
          <w:tcPr>
            <w:tcW w:w="960" w:type="dxa"/>
            <w:tcBorders>
              <w:top w:val="nil"/>
              <w:left w:val="nil"/>
              <w:bottom w:val="single" w:sz="4" w:space="0" w:color="auto"/>
              <w:right w:val="nil"/>
            </w:tcBorders>
            <w:noWrap/>
            <w:vAlign w:val="bottom"/>
            <w:hideMark/>
          </w:tcPr>
          <w:p w14:paraId="24C2E9C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5FCD3432" w14:textId="77777777" w:rsidTr="00A873D8">
        <w:trPr>
          <w:trHeight w:val="315"/>
        </w:trPr>
        <w:tc>
          <w:tcPr>
            <w:tcW w:w="3780" w:type="dxa"/>
            <w:tcBorders>
              <w:top w:val="nil"/>
              <w:left w:val="nil"/>
              <w:bottom w:val="nil"/>
              <w:right w:val="nil"/>
            </w:tcBorders>
            <w:noWrap/>
            <w:vAlign w:val="bottom"/>
            <w:hideMark/>
          </w:tcPr>
          <w:p w14:paraId="4E4F6C3E"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Histological type, n (%)</w:t>
            </w:r>
          </w:p>
        </w:tc>
        <w:tc>
          <w:tcPr>
            <w:tcW w:w="2080" w:type="dxa"/>
            <w:tcBorders>
              <w:top w:val="nil"/>
              <w:left w:val="nil"/>
              <w:bottom w:val="nil"/>
              <w:right w:val="nil"/>
            </w:tcBorders>
            <w:noWrap/>
            <w:vAlign w:val="bottom"/>
            <w:hideMark/>
          </w:tcPr>
          <w:p w14:paraId="57F859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Ductal (NOS)</w:t>
            </w:r>
          </w:p>
        </w:tc>
        <w:tc>
          <w:tcPr>
            <w:tcW w:w="1300" w:type="dxa"/>
            <w:tcBorders>
              <w:top w:val="nil"/>
              <w:left w:val="nil"/>
              <w:bottom w:val="nil"/>
              <w:right w:val="nil"/>
            </w:tcBorders>
            <w:noWrap/>
            <w:vAlign w:val="bottom"/>
            <w:hideMark/>
          </w:tcPr>
          <w:p w14:paraId="6DA14C7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 (82.4)</w:t>
            </w:r>
          </w:p>
        </w:tc>
        <w:tc>
          <w:tcPr>
            <w:tcW w:w="1340" w:type="dxa"/>
            <w:tcBorders>
              <w:top w:val="nil"/>
              <w:left w:val="nil"/>
              <w:bottom w:val="nil"/>
              <w:right w:val="nil"/>
            </w:tcBorders>
            <w:noWrap/>
            <w:vAlign w:val="bottom"/>
            <w:hideMark/>
          </w:tcPr>
          <w:p w14:paraId="5FFEB62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24 (96.0)</w:t>
            </w:r>
          </w:p>
        </w:tc>
        <w:tc>
          <w:tcPr>
            <w:tcW w:w="1340" w:type="dxa"/>
            <w:tcBorders>
              <w:top w:val="nil"/>
              <w:left w:val="nil"/>
              <w:bottom w:val="nil"/>
              <w:right w:val="nil"/>
            </w:tcBorders>
            <w:noWrap/>
            <w:vAlign w:val="bottom"/>
            <w:hideMark/>
          </w:tcPr>
          <w:p w14:paraId="49A024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132 (88.6)</w:t>
            </w:r>
          </w:p>
        </w:tc>
        <w:tc>
          <w:tcPr>
            <w:tcW w:w="1280" w:type="dxa"/>
            <w:tcBorders>
              <w:top w:val="nil"/>
              <w:left w:val="nil"/>
              <w:bottom w:val="nil"/>
              <w:right w:val="nil"/>
            </w:tcBorders>
            <w:noWrap/>
            <w:vAlign w:val="bottom"/>
            <w:hideMark/>
          </w:tcPr>
          <w:p w14:paraId="1F98E34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547 (85.2)</w:t>
            </w:r>
          </w:p>
        </w:tc>
        <w:tc>
          <w:tcPr>
            <w:tcW w:w="960" w:type="dxa"/>
            <w:tcBorders>
              <w:top w:val="nil"/>
              <w:left w:val="nil"/>
              <w:bottom w:val="nil"/>
              <w:right w:val="nil"/>
            </w:tcBorders>
            <w:noWrap/>
            <w:vAlign w:val="bottom"/>
            <w:hideMark/>
          </w:tcPr>
          <w:p w14:paraId="4753400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0.62</w:t>
            </w:r>
          </w:p>
        </w:tc>
      </w:tr>
      <w:tr w:rsidR="00892A74" w14:paraId="5D40DD68" w14:textId="77777777" w:rsidTr="00A873D8">
        <w:trPr>
          <w:trHeight w:val="315"/>
        </w:trPr>
        <w:tc>
          <w:tcPr>
            <w:tcW w:w="3780" w:type="dxa"/>
            <w:tcBorders>
              <w:top w:val="nil"/>
              <w:left w:val="nil"/>
              <w:bottom w:val="nil"/>
              <w:right w:val="nil"/>
            </w:tcBorders>
            <w:noWrap/>
            <w:vAlign w:val="bottom"/>
            <w:hideMark/>
          </w:tcPr>
          <w:p w14:paraId="5E585D92"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7F0A8A1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Lobular</w:t>
            </w:r>
          </w:p>
        </w:tc>
        <w:tc>
          <w:tcPr>
            <w:tcW w:w="1300" w:type="dxa"/>
            <w:tcBorders>
              <w:top w:val="nil"/>
              <w:left w:val="nil"/>
              <w:bottom w:val="nil"/>
              <w:right w:val="nil"/>
            </w:tcBorders>
            <w:noWrap/>
            <w:vAlign w:val="bottom"/>
            <w:hideMark/>
          </w:tcPr>
          <w:p w14:paraId="5260B5A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63268A8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589D77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(5.4)</w:t>
            </w:r>
          </w:p>
        </w:tc>
        <w:tc>
          <w:tcPr>
            <w:tcW w:w="1280" w:type="dxa"/>
            <w:tcBorders>
              <w:top w:val="nil"/>
              <w:left w:val="nil"/>
              <w:bottom w:val="nil"/>
              <w:right w:val="nil"/>
            </w:tcBorders>
            <w:noWrap/>
            <w:vAlign w:val="bottom"/>
            <w:hideMark/>
          </w:tcPr>
          <w:p w14:paraId="2C05BDE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33 (5.10)</w:t>
            </w:r>
          </w:p>
        </w:tc>
        <w:tc>
          <w:tcPr>
            <w:tcW w:w="960" w:type="dxa"/>
            <w:tcBorders>
              <w:top w:val="nil"/>
              <w:left w:val="nil"/>
              <w:bottom w:val="nil"/>
              <w:right w:val="nil"/>
            </w:tcBorders>
            <w:noWrap/>
            <w:vAlign w:val="bottom"/>
            <w:hideMark/>
          </w:tcPr>
          <w:p w14:paraId="735349BD" w14:textId="77777777" w:rsidR="00892A74" w:rsidRDefault="00892A74" w:rsidP="00A873D8">
            <w:pPr>
              <w:rPr>
                <w:rFonts w:ascii="Palatino Linotype" w:hAnsi="Palatino Linotype"/>
                <w:color w:val="000000"/>
                <w:sz w:val="21"/>
                <w:szCs w:val="21"/>
              </w:rPr>
            </w:pPr>
          </w:p>
        </w:tc>
      </w:tr>
      <w:tr w:rsidR="00892A74" w14:paraId="6EB4185F" w14:textId="77777777" w:rsidTr="00A873D8">
        <w:trPr>
          <w:trHeight w:val="315"/>
        </w:trPr>
        <w:tc>
          <w:tcPr>
            <w:tcW w:w="3780" w:type="dxa"/>
            <w:tcBorders>
              <w:top w:val="nil"/>
              <w:left w:val="nil"/>
              <w:bottom w:val="single" w:sz="4" w:space="0" w:color="auto"/>
              <w:right w:val="nil"/>
            </w:tcBorders>
            <w:noWrap/>
            <w:vAlign w:val="bottom"/>
            <w:hideMark/>
          </w:tcPr>
          <w:p w14:paraId="1C7AC17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lastRenderedPageBreak/>
              <w:t> </w:t>
            </w:r>
          </w:p>
        </w:tc>
        <w:tc>
          <w:tcPr>
            <w:tcW w:w="2080" w:type="dxa"/>
            <w:tcBorders>
              <w:top w:val="nil"/>
              <w:left w:val="nil"/>
              <w:bottom w:val="single" w:sz="4" w:space="0" w:color="auto"/>
              <w:right w:val="nil"/>
            </w:tcBorders>
            <w:noWrap/>
            <w:vAlign w:val="bottom"/>
            <w:hideMark/>
          </w:tcPr>
          <w:p w14:paraId="2C5CAE2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Other</w:t>
            </w:r>
          </w:p>
        </w:tc>
        <w:tc>
          <w:tcPr>
            <w:tcW w:w="1300" w:type="dxa"/>
            <w:tcBorders>
              <w:top w:val="nil"/>
              <w:left w:val="nil"/>
              <w:bottom w:val="single" w:sz="4" w:space="0" w:color="auto"/>
              <w:right w:val="nil"/>
            </w:tcBorders>
            <w:noWrap/>
            <w:vAlign w:val="bottom"/>
            <w:hideMark/>
          </w:tcPr>
          <w:p w14:paraId="7A92B3C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single" w:sz="4" w:space="0" w:color="auto"/>
              <w:right w:val="nil"/>
            </w:tcBorders>
            <w:noWrap/>
            <w:vAlign w:val="bottom"/>
            <w:hideMark/>
          </w:tcPr>
          <w:p w14:paraId="690906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single" w:sz="4" w:space="0" w:color="auto"/>
              <w:right w:val="nil"/>
            </w:tcBorders>
            <w:noWrap/>
            <w:vAlign w:val="bottom"/>
            <w:hideMark/>
          </w:tcPr>
          <w:p w14:paraId="1A5047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(6.00)</w:t>
            </w:r>
          </w:p>
        </w:tc>
        <w:tc>
          <w:tcPr>
            <w:tcW w:w="1280" w:type="dxa"/>
            <w:tcBorders>
              <w:top w:val="nil"/>
              <w:left w:val="nil"/>
              <w:bottom w:val="single" w:sz="4" w:space="0" w:color="auto"/>
              <w:right w:val="nil"/>
            </w:tcBorders>
            <w:noWrap/>
            <w:vAlign w:val="bottom"/>
            <w:hideMark/>
          </w:tcPr>
          <w:p w14:paraId="14C27B2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(9.70)</w:t>
            </w:r>
          </w:p>
        </w:tc>
        <w:tc>
          <w:tcPr>
            <w:tcW w:w="960" w:type="dxa"/>
            <w:tcBorders>
              <w:top w:val="nil"/>
              <w:left w:val="nil"/>
              <w:bottom w:val="single" w:sz="4" w:space="0" w:color="auto"/>
              <w:right w:val="nil"/>
            </w:tcBorders>
            <w:noWrap/>
            <w:vAlign w:val="bottom"/>
            <w:hideMark/>
          </w:tcPr>
          <w:p w14:paraId="03FBD20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9539805" w14:textId="77777777" w:rsidTr="00A873D8">
        <w:trPr>
          <w:trHeight w:val="315"/>
        </w:trPr>
        <w:tc>
          <w:tcPr>
            <w:tcW w:w="3780" w:type="dxa"/>
            <w:tcBorders>
              <w:top w:val="nil"/>
              <w:left w:val="nil"/>
              <w:bottom w:val="nil"/>
              <w:right w:val="nil"/>
            </w:tcBorders>
            <w:noWrap/>
            <w:vAlign w:val="bottom"/>
            <w:hideMark/>
          </w:tcPr>
          <w:p w14:paraId="0E17F49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Clinical stage, n (%)</w:t>
            </w:r>
          </w:p>
        </w:tc>
        <w:tc>
          <w:tcPr>
            <w:tcW w:w="2080" w:type="dxa"/>
            <w:tcBorders>
              <w:top w:val="nil"/>
              <w:left w:val="nil"/>
              <w:bottom w:val="nil"/>
              <w:right w:val="nil"/>
            </w:tcBorders>
            <w:noWrap/>
            <w:vAlign w:val="bottom"/>
            <w:hideMark/>
          </w:tcPr>
          <w:p w14:paraId="480E227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w:t>
            </w:r>
          </w:p>
        </w:tc>
        <w:tc>
          <w:tcPr>
            <w:tcW w:w="1300" w:type="dxa"/>
            <w:tcBorders>
              <w:top w:val="nil"/>
              <w:left w:val="nil"/>
              <w:bottom w:val="nil"/>
              <w:right w:val="nil"/>
            </w:tcBorders>
            <w:noWrap/>
            <w:vAlign w:val="bottom"/>
            <w:hideMark/>
          </w:tcPr>
          <w:p w14:paraId="614DD7A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(5.90)</w:t>
            </w:r>
          </w:p>
        </w:tc>
        <w:tc>
          <w:tcPr>
            <w:tcW w:w="1340" w:type="dxa"/>
            <w:tcBorders>
              <w:top w:val="nil"/>
              <w:left w:val="nil"/>
              <w:bottom w:val="nil"/>
              <w:right w:val="nil"/>
            </w:tcBorders>
            <w:noWrap/>
            <w:vAlign w:val="bottom"/>
            <w:hideMark/>
          </w:tcPr>
          <w:p w14:paraId="0256C4A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nil"/>
              <w:right w:val="nil"/>
            </w:tcBorders>
            <w:noWrap/>
            <w:vAlign w:val="bottom"/>
            <w:hideMark/>
          </w:tcPr>
          <w:p w14:paraId="55C35A9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(3.40)</w:t>
            </w:r>
          </w:p>
        </w:tc>
        <w:tc>
          <w:tcPr>
            <w:tcW w:w="1280" w:type="dxa"/>
            <w:tcBorders>
              <w:top w:val="nil"/>
              <w:left w:val="nil"/>
              <w:bottom w:val="nil"/>
              <w:right w:val="nil"/>
            </w:tcBorders>
            <w:noWrap/>
            <w:vAlign w:val="bottom"/>
            <w:hideMark/>
          </w:tcPr>
          <w:p w14:paraId="427637F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109 (17.0)</w:t>
            </w:r>
          </w:p>
        </w:tc>
        <w:tc>
          <w:tcPr>
            <w:tcW w:w="960" w:type="dxa"/>
            <w:tcBorders>
              <w:top w:val="nil"/>
              <w:left w:val="nil"/>
              <w:bottom w:val="nil"/>
              <w:right w:val="nil"/>
            </w:tcBorders>
            <w:noWrap/>
            <w:vAlign w:val="bottom"/>
            <w:hideMark/>
          </w:tcPr>
          <w:p w14:paraId="4C4E77B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6539E5C3" w14:textId="77777777" w:rsidTr="00A873D8">
        <w:trPr>
          <w:trHeight w:val="315"/>
        </w:trPr>
        <w:tc>
          <w:tcPr>
            <w:tcW w:w="3780" w:type="dxa"/>
            <w:tcBorders>
              <w:top w:val="nil"/>
              <w:left w:val="nil"/>
              <w:bottom w:val="nil"/>
              <w:right w:val="nil"/>
            </w:tcBorders>
            <w:noWrap/>
            <w:vAlign w:val="bottom"/>
            <w:hideMark/>
          </w:tcPr>
          <w:p w14:paraId="16FBF14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5A63F53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II</w:t>
            </w:r>
          </w:p>
        </w:tc>
        <w:tc>
          <w:tcPr>
            <w:tcW w:w="1300" w:type="dxa"/>
            <w:tcBorders>
              <w:top w:val="nil"/>
              <w:left w:val="nil"/>
              <w:bottom w:val="nil"/>
              <w:right w:val="nil"/>
            </w:tcBorders>
            <w:noWrap/>
            <w:vAlign w:val="bottom"/>
            <w:hideMark/>
          </w:tcPr>
          <w:p w14:paraId="47C29F8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nil"/>
              <w:right w:val="nil"/>
            </w:tcBorders>
            <w:noWrap/>
            <w:vAlign w:val="bottom"/>
            <w:hideMark/>
          </w:tcPr>
          <w:p w14:paraId="106E33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(32.0)</w:t>
            </w:r>
          </w:p>
        </w:tc>
        <w:tc>
          <w:tcPr>
            <w:tcW w:w="1340" w:type="dxa"/>
            <w:tcBorders>
              <w:top w:val="nil"/>
              <w:left w:val="nil"/>
              <w:bottom w:val="nil"/>
              <w:right w:val="nil"/>
            </w:tcBorders>
            <w:noWrap/>
            <w:vAlign w:val="bottom"/>
            <w:hideMark/>
          </w:tcPr>
          <w:p w14:paraId="6EB466C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47 (31.5)</w:t>
            </w:r>
          </w:p>
        </w:tc>
        <w:tc>
          <w:tcPr>
            <w:tcW w:w="1280" w:type="dxa"/>
            <w:tcBorders>
              <w:top w:val="nil"/>
              <w:left w:val="nil"/>
              <w:bottom w:val="nil"/>
              <w:right w:val="nil"/>
            </w:tcBorders>
            <w:noWrap/>
            <w:vAlign w:val="bottom"/>
            <w:hideMark/>
          </w:tcPr>
          <w:p w14:paraId="19D78F6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316 (49.2)</w:t>
            </w:r>
          </w:p>
        </w:tc>
        <w:tc>
          <w:tcPr>
            <w:tcW w:w="960" w:type="dxa"/>
            <w:tcBorders>
              <w:top w:val="nil"/>
              <w:left w:val="nil"/>
              <w:bottom w:val="nil"/>
              <w:right w:val="nil"/>
            </w:tcBorders>
            <w:noWrap/>
            <w:vAlign w:val="bottom"/>
            <w:hideMark/>
          </w:tcPr>
          <w:p w14:paraId="7DA605D0" w14:textId="77777777" w:rsidR="00892A74" w:rsidRDefault="00892A74" w:rsidP="00A873D8">
            <w:pPr>
              <w:rPr>
                <w:rFonts w:ascii="Palatino Linotype" w:hAnsi="Palatino Linotype"/>
                <w:color w:val="000000"/>
                <w:sz w:val="21"/>
                <w:szCs w:val="21"/>
              </w:rPr>
            </w:pPr>
          </w:p>
        </w:tc>
      </w:tr>
      <w:tr w:rsidR="00892A74" w14:paraId="6B3C53F8" w14:textId="77777777" w:rsidTr="00A873D8">
        <w:trPr>
          <w:trHeight w:val="315"/>
        </w:trPr>
        <w:tc>
          <w:tcPr>
            <w:tcW w:w="3780" w:type="dxa"/>
            <w:tcBorders>
              <w:top w:val="nil"/>
              <w:left w:val="nil"/>
              <w:bottom w:val="single" w:sz="4" w:space="0" w:color="auto"/>
              <w:right w:val="nil"/>
            </w:tcBorders>
            <w:noWrap/>
            <w:vAlign w:val="bottom"/>
            <w:hideMark/>
          </w:tcPr>
          <w:p w14:paraId="7930449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4BC3BA5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III</w:t>
            </w:r>
          </w:p>
        </w:tc>
        <w:tc>
          <w:tcPr>
            <w:tcW w:w="1300" w:type="dxa"/>
            <w:tcBorders>
              <w:top w:val="nil"/>
              <w:left w:val="nil"/>
              <w:bottom w:val="single" w:sz="4" w:space="0" w:color="auto"/>
              <w:right w:val="nil"/>
            </w:tcBorders>
            <w:noWrap/>
            <w:vAlign w:val="bottom"/>
            <w:hideMark/>
          </w:tcPr>
          <w:p w14:paraId="2ED01D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(64.7)</w:t>
            </w:r>
          </w:p>
        </w:tc>
        <w:tc>
          <w:tcPr>
            <w:tcW w:w="1340" w:type="dxa"/>
            <w:tcBorders>
              <w:top w:val="nil"/>
              <w:left w:val="nil"/>
              <w:bottom w:val="single" w:sz="4" w:space="0" w:color="auto"/>
              <w:right w:val="nil"/>
            </w:tcBorders>
            <w:noWrap/>
            <w:vAlign w:val="bottom"/>
            <w:hideMark/>
          </w:tcPr>
          <w:p w14:paraId="00FC407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6840AA2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(65.1)</w:t>
            </w:r>
          </w:p>
        </w:tc>
        <w:tc>
          <w:tcPr>
            <w:tcW w:w="1280" w:type="dxa"/>
            <w:tcBorders>
              <w:top w:val="nil"/>
              <w:left w:val="nil"/>
              <w:bottom w:val="single" w:sz="4" w:space="0" w:color="auto"/>
              <w:right w:val="nil"/>
            </w:tcBorders>
            <w:noWrap/>
            <w:vAlign w:val="bottom"/>
            <w:hideMark/>
          </w:tcPr>
          <w:p w14:paraId="13CD87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217 (33.8)</w:t>
            </w:r>
          </w:p>
        </w:tc>
        <w:tc>
          <w:tcPr>
            <w:tcW w:w="960" w:type="dxa"/>
            <w:tcBorders>
              <w:top w:val="nil"/>
              <w:left w:val="nil"/>
              <w:bottom w:val="single" w:sz="4" w:space="0" w:color="auto"/>
              <w:right w:val="nil"/>
            </w:tcBorders>
            <w:noWrap/>
            <w:vAlign w:val="bottom"/>
            <w:hideMark/>
          </w:tcPr>
          <w:p w14:paraId="4EE6118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42E37C04" w14:textId="77777777" w:rsidTr="00A873D8">
        <w:trPr>
          <w:trHeight w:val="315"/>
        </w:trPr>
        <w:tc>
          <w:tcPr>
            <w:tcW w:w="3780" w:type="dxa"/>
            <w:tcBorders>
              <w:top w:val="nil"/>
              <w:left w:val="nil"/>
              <w:bottom w:val="nil"/>
              <w:right w:val="nil"/>
            </w:tcBorders>
            <w:noWrap/>
            <w:vAlign w:val="bottom"/>
            <w:hideMark/>
          </w:tcPr>
          <w:p w14:paraId="046E33B4"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Molecular subtype, n (%)</w:t>
            </w:r>
          </w:p>
        </w:tc>
        <w:tc>
          <w:tcPr>
            <w:tcW w:w="2080" w:type="dxa"/>
            <w:tcBorders>
              <w:top w:val="nil"/>
              <w:left w:val="nil"/>
              <w:bottom w:val="nil"/>
              <w:right w:val="nil"/>
            </w:tcBorders>
            <w:noWrap/>
            <w:vAlign w:val="bottom"/>
            <w:hideMark/>
          </w:tcPr>
          <w:p w14:paraId="12C2355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A</w:t>
            </w:r>
          </w:p>
        </w:tc>
        <w:tc>
          <w:tcPr>
            <w:tcW w:w="1300" w:type="dxa"/>
            <w:tcBorders>
              <w:top w:val="nil"/>
              <w:left w:val="nil"/>
              <w:bottom w:val="nil"/>
              <w:right w:val="nil"/>
            </w:tcBorders>
            <w:noWrap/>
            <w:vAlign w:val="bottom"/>
            <w:hideMark/>
          </w:tcPr>
          <w:p w14:paraId="3F861AB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16BC71F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(12.0)</w:t>
            </w:r>
          </w:p>
        </w:tc>
        <w:tc>
          <w:tcPr>
            <w:tcW w:w="1340" w:type="dxa"/>
            <w:tcBorders>
              <w:top w:val="nil"/>
              <w:left w:val="nil"/>
              <w:bottom w:val="nil"/>
              <w:right w:val="nil"/>
            </w:tcBorders>
            <w:noWrap/>
            <w:vAlign w:val="bottom"/>
            <w:hideMark/>
          </w:tcPr>
          <w:p w14:paraId="566DF2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 (18.8)</w:t>
            </w:r>
          </w:p>
        </w:tc>
        <w:tc>
          <w:tcPr>
            <w:tcW w:w="1280" w:type="dxa"/>
            <w:tcBorders>
              <w:top w:val="nil"/>
              <w:left w:val="nil"/>
              <w:bottom w:val="nil"/>
              <w:right w:val="nil"/>
            </w:tcBorders>
            <w:noWrap/>
            <w:vAlign w:val="bottom"/>
            <w:hideMark/>
          </w:tcPr>
          <w:p w14:paraId="530FCC5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279 (43.5)</w:t>
            </w:r>
          </w:p>
        </w:tc>
        <w:tc>
          <w:tcPr>
            <w:tcW w:w="960" w:type="dxa"/>
            <w:tcBorders>
              <w:top w:val="nil"/>
              <w:left w:val="nil"/>
              <w:bottom w:val="nil"/>
              <w:right w:val="nil"/>
            </w:tcBorders>
            <w:noWrap/>
            <w:vAlign w:val="bottom"/>
            <w:hideMark/>
          </w:tcPr>
          <w:p w14:paraId="201E3BA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3FF3BA4" w14:textId="77777777" w:rsidTr="00A873D8">
        <w:trPr>
          <w:trHeight w:val="315"/>
        </w:trPr>
        <w:tc>
          <w:tcPr>
            <w:tcW w:w="3780" w:type="dxa"/>
            <w:tcBorders>
              <w:top w:val="nil"/>
              <w:left w:val="nil"/>
              <w:bottom w:val="nil"/>
              <w:right w:val="nil"/>
            </w:tcBorders>
            <w:noWrap/>
            <w:vAlign w:val="bottom"/>
            <w:hideMark/>
          </w:tcPr>
          <w:p w14:paraId="2C197315"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6760A6F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300" w:type="dxa"/>
            <w:tcBorders>
              <w:top w:val="nil"/>
              <w:left w:val="nil"/>
              <w:bottom w:val="nil"/>
              <w:right w:val="nil"/>
            </w:tcBorders>
            <w:noWrap/>
            <w:vAlign w:val="bottom"/>
            <w:hideMark/>
          </w:tcPr>
          <w:p w14:paraId="01F3719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(41.2)</w:t>
            </w:r>
          </w:p>
        </w:tc>
        <w:tc>
          <w:tcPr>
            <w:tcW w:w="1340" w:type="dxa"/>
            <w:tcBorders>
              <w:top w:val="nil"/>
              <w:left w:val="nil"/>
              <w:bottom w:val="nil"/>
              <w:right w:val="nil"/>
            </w:tcBorders>
            <w:noWrap/>
            <w:vAlign w:val="bottom"/>
            <w:hideMark/>
          </w:tcPr>
          <w:p w14:paraId="73593F0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nil"/>
              <w:right w:val="nil"/>
            </w:tcBorders>
            <w:noWrap/>
            <w:vAlign w:val="bottom"/>
            <w:hideMark/>
          </w:tcPr>
          <w:p w14:paraId="41D346C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(41.6)</w:t>
            </w:r>
          </w:p>
        </w:tc>
        <w:tc>
          <w:tcPr>
            <w:tcW w:w="1280" w:type="dxa"/>
            <w:tcBorders>
              <w:top w:val="nil"/>
              <w:left w:val="nil"/>
              <w:bottom w:val="nil"/>
              <w:right w:val="nil"/>
            </w:tcBorders>
            <w:noWrap/>
            <w:vAlign w:val="bottom"/>
            <w:hideMark/>
          </w:tcPr>
          <w:p w14:paraId="614F5E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168 (26.2)</w:t>
            </w:r>
          </w:p>
        </w:tc>
        <w:tc>
          <w:tcPr>
            <w:tcW w:w="960" w:type="dxa"/>
            <w:tcBorders>
              <w:top w:val="nil"/>
              <w:left w:val="nil"/>
              <w:bottom w:val="nil"/>
              <w:right w:val="nil"/>
            </w:tcBorders>
            <w:noWrap/>
            <w:vAlign w:val="bottom"/>
            <w:hideMark/>
          </w:tcPr>
          <w:p w14:paraId="3CEDA5D2" w14:textId="77777777" w:rsidR="00892A74" w:rsidRDefault="00892A74" w:rsidP="00A873D8">
            <w:pPr>
              <w:rPr>
                <w:rFonts w:ascii="Palatino Linotype" w:hAnsi="Palatino Linotype"/>
                <w:color w:val="000000"/>
                <w:sz w:val="21"/>
                <w:szCs w:val="21"/>
              </w:rPr>
            </w:pPr>
          </w:p>
        </w:tc>
      </w:tr>
      <w:tr w:rsidR="00892A74" w14:paraId="6BCD534D" w14:textId="77777777" w:rsidTr="00A873D8">
        <w:trPr>
          <w:trHeight w:val="315"/>
        </w:trPr>
        <w:tc>
          <w:tcPr>
            <w:tcW w:w="3780" w:type="dxa"/>
            <w:tcBorders>
              <w:top w:val="nil"/>
              <w:left w:val="nil"/>
              <w:bottom w:val="nil"/>
              <w:right w:val="nil"/>
            </w:tcBorders>
            <w:noWrap/>
            <w:vAlign w:val="bottom"/>
            <w:hideMark/>
          </w:tcPr>
          <w:p w14:paraId="719FA797"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14ED41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Luminal B HER2+</w:t>
            </w:r>
          </w:p>
        </w:tc>
        <w:tc>
          <w:tcPr>
            <w:tcW w:w="1300" w:type="dxa"/>
            <w:tcBorders>
              <w:top w:val="nil"/>
              <w:left w:val="nil"/>
              <w:bottom w:val="nil"/>
              <w:right w:val="nil"/>
            </w:tcBorders>
            <w:noWrap/>
            <w:vAlign w:val="bottom"/>
            <w:hideMark/>
          </w:tcPr>
          <w:p w14:paraId="6CFEFF0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0D8B22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nil"/>
              <w:right w:val="nil"/>
            </w:tcBorders>
            <w:noWrap/>
            <w:vAlign w:val="bottom"/>
            <w:hideMark/>
          </w:tcPr>
          <w:p w14:paraId="2DBB9DC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23 (15.4)</w:t>
            </w:r>
          </w:p>
        </w:tc>
        <w:tc>
          <w:tcPr>
            <w:tcW w:w="1280" w:type="dxa"/>
            <w:tcBorders>
              <w:top w:val="nil"/>
              <w:left w:val="nil"/>
              <w:bottom w:val="nil"/>
              <w:right w:val="nil"/>
            </w:tcBorders>
            <w:noWrap/>
            <w:vAlign w:val="bottom"/>
            <w:hideMark/>
          </w:tcPr>
          <w:p w14:paraId="11A1A73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92 (14.3)</w:t>
            </w:r>
          </w:p>
        </w:tc>
        <w:tc>
          <w:tcPr>
            <w:tcW w:w="960" w:type="dxa"/>
            <w:tcBorders>
              <w:top w:val="nil"/>
              <w:left w:val="nil"/>
              <w:bottom w:val="nil"/>
              <w:right w:val="nil"/>
            </w:tcBorders>
            <w:noWrap/>
            <w:vAlign w:val="bottom"/>
            <w:hideMark/>
          </w:tcPr>
          <w:p w14:paraId="0199292D" w14:textId="77777777" w:rsidR="00892A74" w:rsidRDefault="00892A74" w:rsidP="00A873D8">
            <w:pPr>
              <w:rPr>
                <w:rFonts w:ascii="Palatino Linotype" w:hAnsi="Palatino Linotype"/>
                <w:color w:val="000000"/>
                <w:sz w:val="21"/>
                <w:szCs w:val="21"/>
              </w:rPr>
            </w:pPr>
          </w:p>
        </w:tc>
      </w:tr>
      <w:tr w:rsidR="00892A74" w14:paraId="4E240E42" w14:textId="77777777" w:rsidTr="00A873D8">
        <w:trPr>
          <w:trHeight w:val="315"/>
        </w:trPr>
        <w:tc>
          <w:tcPr>
            <w:tcW w:w="3780" w:type="dxa"/>
            <w:tcBorders>
              <w:top w:val="nil"/>
              <w:left w:val="nil"/>
              <w:bottom w:val="nil"/>
              <w:right w:val="nil"/>
            </w:tcBorders>
            <w:noWrap/>
            <w:vAlign w:val="bottom"/>
            <w:hideMark/>
          </w:tcPr>
          <w:p w14:paraId="3F019467"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3AA71A2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Her2+</w:t>
            </w:r>
          </w:p>
        </w:tc>
        <w:tc>
          <w:tcPr>
            <w:tcW w:w="1300" w:type="dxa"/>
            <w:tcBorders>
              <w:top w:val="nil"/>
              <w:left w:val="nil"/>
              <w:bottom w:val="nil"/>
              <w:right w:val="nil"/>
            </w:tcBorders>
            <w:noWrap/>
            <w:vAlign w:val="bottom"/>
            <w:hideMark/>
          </w:tcPr>
          <w:p w14:paraId="37A2D86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7D54D4E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3A77F0C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(6.00)</w:t>
            </w:r>
          </w:p>
        </w:tc>
        <w:tc>
          <w:tcPr>
            <w:tcW w:w="1280" w:type="dxa"/>
            <w:tcBorders>
              <w:top w:val="nil"/>
              <w:left w:val="nil"/>
              <w:bottom w:val="nil"/>
              <w:right w:val="nil"/>
            </w:tcBorders>
            <w:noWrap/>
            <w:vAlign w:val="bottom"/>
            <w:hideMark/>
          </w:tcPr>
          <w:p w14:paraId="265C63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960" w:type="dxa"/>
            <w:tcBorders>
              <w:top w:val="nil"/>
              <w:left w:val="nil"/>
              <w:bottom w:val="nil"/>
              <w:right w:val="nil"/>
            </w:tcBorders>
            <w:noWrap/>
            <w:vAlign w:val="bottom"/>
            <w:hideMark/>
          </w:tcPr>
          <w:p w14:paraId="4150A704" w14:textId="77777777" w:rsidR="00892A74" w:rsidRDefault="00892A74" w:rsidP="00A873D8">
            <w:pPr>
              <w:rPr>
                <w:rFonts w:ascii="Palatino Linotype" w:hAnsi="Palatino Linotype"/>
                <w:color w:val="000000"/>
                <w:sz w:val="21"/>
                <w:szCs w:val="21"/>
              </w:rPr>
            </w:pPr>
          </w:p>
        </w:tc>
      </w:tr>
      <w:tr w:rsidR="00892A74" w14:paraId="4BBC00DB" w14:textId="77777777" w:rsidTr="00A873D8">
        <w:trPr>
          <w:trHeight w:val="315"/>
        </w:trPr>
        <w:tc>
          <w:tcPr>
            <w:tcW w:w="3780" w:type="dxa"/>
            <w:tcBorders>
              <w:top w:val="nil"/>
              <w:left w:val="nil"/>
              <w:bottom w:val="single" w:sz="4" w:space="0" w:color="auto"/>
              <w:right w:val="nil"/>
            </w:tcBorders>
            <w:noWrap/>
            <w:vAlign w:val="bottom"/>
            <w:hideMark/>
          </w:tcPr>
          <w:p w14:paraId="5843D09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CA6302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Triple-negative</w:t>
            </w:r>
          </w:p>
        </w:tc>
        <w:tc>
          <w:tcPr>
            <w:tcW w:w="1300" w:type="dxa"/>
            <w:tcBorders>
              <w:top w:val="nil"/>
              <w:left w:val="nil"/>
              <w:bottom w:val="single" w:sz="4" w:space="0" w:color="auto"/>
              <w:right w:val="nil"/>
            </w:tcBorders>
            <w:noWrap/>
            <w:vAlign w:val="bottom"/>
            <w:hideMark/>
          </w:tcPr>
          <w:p w14:paraId="4E925FA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single" w:sz="4" w:space="0" w:color="auto"/>
              <w:right w:val="nil"/>
            </w:tcBorders>
            <w:noWrap/>
            <w:vAlign w:val="bottom"/>
            <w:hideMark/>
          </w:tcPr>
          <w:p w14:paraId="606D2DF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single" w:sz="4" w:space="0" w:color="auto"/>
              <w:right w:val="nil"/>
            </w:tcBorders>
            <w:noWrap/>
            <w:vAlign w:val="bottom"/>
            <w:hideMark/>
          </w:tcPr>
          <w:p w14:paraId="5789267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 (18.1)</w:t>
            </w:r>
          </w:p>
        </w:tc>
        <w:tc>
          <w:tcPr>
            <w:tcW w:w="1280" w:type="dxa"/>
            <w:tcBorders>
              <w:top w:val="nil"/>
              <w:left w:val="nil"/>
              <w:bottom w:val="single" w:sz="4" w:space="0" w:color="auto"/>
              <w:right w:val="nil"/>
            </w:tcBorders>
            <w:noWrap/>
            <w:vAlign w:val="bottom"/>
            <w:hideMark/>
          </w:tcPr>
          <w:p w14:paraId="43954C8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61 (9.50)</w:t>
            </w:r>
          </w:p>
        </w:tc>
        <w:tc>
          <w:tcPr>
            <w:tcW w:w="960" w:type="dxa"/>
            <w:tcBorders>
              <w:top w:val="nil"/>
              <w:left w:val="nil"/>
              <w:bottom w:val="single" w:sz="4" w:space="0" w:color="auto"/>
              <w:right w:val="nil"/>
            </w:tcBorders>
            <w:noWrap/>
            <w:vAlign w:val="bottom"/>
            <w:hideMark/>
          </w:tcPr>
          <w:p w14:paraId="51A5410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31A2D73" w14:textId="77777777" w:rsidTr="00A873D8">
        <w:trPr>
          <w:trHeight w:val="315"/>
        </w:trPr>
        <w:tc>
          <w:tcPr>
            <w:tcW w:w="3780" w:type="dxa"/>
            <w:tcBorders>
              <w:top w:val="nil"/>
              <w:left w:val="nil"/>
              <w:bottom w:val="nil"/>
              <w:right w:val="nil"/>
            </w:tcBorders>
            <w:noWrap/>
            <w:vAlign w:val="bottom"/>
            <w:hideMark/>
          </w:tcPr>
          <w:p w14:paraId="0679B990"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Neoadjuvant chemotherapy, n (%)</w:t>
            </w:r>
          </w:p>
        </w:tc>
        <w:tc>
          <w:tcPr>
            <w:tcW w:w="2080" w:type="dxa"/>
            <w:tcBorders>
              <w:top w:val="nil"/>
              <w:left w:val="nil"/>
              <w:bottom w:val="nil"/>
              <w:right w:val="nil"/>
            </w:tcBorders>
            <w:noWrap/>
            <w:vAlign w:val="bottom"/>
            <w:hideMark/>
          </w:tcPr>
          <w:p w14:paraId="06D0814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07FC9B4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(70.6)</w:t>
            </w:r>
          </w:p>
        </w:tc>
        <w:tc>
          <w:tcPr>
            <w:tcW w:w="1340" w:type="dxa"/>
            <w:tcBorders>
              <w:top w:val="nil"/>
              <w:left w:val="nil"/>
              <w:bottom w:val="nil"/>
              <w:right w:val="nil"/>
            </w:tcBorders>
            <w:noWrap/>
            <w:vAlign w:val="bottom"/>
            <w:hideMark/>
          </w:tcPr>
          <w:p w14:paraId="00DE7AE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(60.0)</w:t>
            </w:r>
          </w:p>
        </w:tc>
        <w:tc>
          <w:tcPr>
            <w:tcW w:w="1340" w:type="dxa"/>
            <w:tcBorders>
              <w:top w:val="nil"/>
              <w:left w:val="nil"/>
              <w:bottom w:val="nil"/>
              <w:right w:val="nil"/>
            </w:tcBorders>
            <w:noWrap/>
            <w:vAlign w:val="bottom"/>
            <w:hideMark/>
          </w:tcPr>
          <w:p w14:paraId="721E47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118 (79.2)</w:t>
            </w:r>
          </w:p>
        </w:tc>
        <w:tc>
          <w:tcPr>
            <w:tcW w:w="1280" w:type="dxa"/>
            <w:tcBorders>
              <w:top w:val="nil"/>
              <w:left w:val="nil"/>
              <w:bottom w:val="nil"/>
              <w:right w:val="nil"/>
            </w:tcBorders>
            <w:noWrap/>
            <w:vAlign w:val="bottom"/>
            <w:hideMark/>
          </w:tcPr>
          <w:p w14:paraId="0EB1EFC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333 (51.9)</w:t>
            </w:r>
          </w:p>
        </w:tc>
        <w:tc>
          <w:tcPr>
            <w:tcW w:w="960" w:type="dxa"/>
            <w:tcBorders>
              <w:top w:val="nil"/>
              <w:left w:val="nil"/>
              <w:bottom w:val="nil"/>
              <w:right w:val="nil"/>
            </w:tcBorders>
            <w:noWrap/>
            <w:vAlign w:val="bottom"/>
            <w:hideMark/>
          </w:tcPr>
          <w:p w14:paraId="5B478DD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8C0EC44" w14:textId="77777777" w:rsidTr="00A873D8">
        <w:trPr>
          <w:trHeight w:val="315"/>
        </w:trPr>
        <w:tc>
          <w:tcPr>
            <w:tcW w:w="3780" w:type="dxa"/>
            <w:tcBorders>
              <w:top w:val="nil"/>
              <w:left w:val="nil"/>
              <w:bottom w:val="single" w:sz="4" w:space="0" w:color="auto"/>
              <w:right w:val="nil"/>
            </w:tcBorders>
            <w:noWrap/>
            <w:vAlign w:val="bottom"/>
            <w:hideMark/>
          </w:tcPr>
          <w:p w14:paraId="7E4E90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270F7A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17D5D74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single" w:sz="4" w:space="0" w:color="auto"/>
              <w:right w:val="nil"/>
            </w:tcBorders>
            <w:noWrap/>
            <w:vAlign w:val="bottom"/>
            <w:hideMark/>
          </w:tcPr>
          <w:p w14:paraId="01B110B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single" w:sz="4" w:space="0" w:color="auto"/>
              <w:right w:val="nil"/>
            </w:tcBorders>
            <w:noWrap/>
            <w:vAlign w:val="bottom"/>
            <w:hideMark/>
          </w:tcPr>
          <w:p w14:paraId="00DC213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31 (20.8)</w:t>
            </w:r>
          </w:p>
        </w:tc>
        <w:tc>
          <w:tcPr>
            <w:tcW w:w="1280" w:type="dxa"/>
            <w:tcBorders>
              <w:top w:val="nil"/>
              <w:left w:val="nil"/>
              <w:bottom w:val="single" w:sz="4" w:space="0" w:color="auto"/>
              <w:right w:val="nil"/>
            </w:tcBorders>
            <w:noWrap/>
            <w:vAlign w:val="bottom"/>
            <w:hideMark/>
          </w:tcPr>
          <w:p w14:paraId="17F30CC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309 (48.1)</w:t>
            </w:r>
          </w:p>
        </w:tc>
        <w:tc>
          <w:tcPr>
            <w:tcW w:w="960" w:type="dxa"/>
            <w:tcBorders>
              <w:top w:val="nil"/>
              <w:left w:val="nil"/>
              <w:bottom w:val="single" w:sz="4" w:space="0" w:color="auto"/>
              <w:right w:val="nil"/>
            </w:tcBorders>
            <w:noWrap/>
            <w:vAlign w:val="bottom"/>
            <w:hideMark/>
          </w:tcPr>
          <w:p w14:paraId="623F12C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3342601C" w14:textId="77777777" w:rsidTr="00A873D8">
        <w:trPr>
          <w:trHeight w:val="315"/>
        </w:trPr>
        <w:tc>
          <w:tcPr>
            <w:tcW w:w="3780" w:type="dxa"/>
            <w:tcBorders>
              <w:top w:val="nil"/>
              <w:left w:val="nil"/>
              <w:bottom w:val="nil"/>
              <w:right w:val="nil"/>
            </w:tcBorders>
            <w:noWrap/>
            <w:vAlign w:val="bottom"/>
            <w:hideMark/>
          </w:tcPr>
          <w:p w14:paraId="0C34B5B0"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Breast surgery, n (%)</w:t>
            </w:r>
          </w:p>
        </w:tc>
        <w:tc>
          <w:tcPr>
            <w:tcW w:w="2080" w:type="dxa"/>
            <w:tcBorders>
              <w:top w:val="nil"/>
              <w:left w:val="nil"/>
              <w:bottom w:val="nil"/>
              <w:right w:val="nil"/>
            </w:tcBorders>
            <w:noWrap/>
            <w:vAlign w:val="bottom"/>
            <w:hideMark/>
          </w:tcPr>
          <w:p w14:paraId="5D2AD14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xml:space="preserve">Conservative </w:t>
            </w:r>
          </w:p>
        </w:tc>
        <w:tc>
          <w:tcPr>
            <w:tcW w:w="1300" w:type="dxa"/>
            <w:tcBorders>
              <w:top w:val="nil"/>
              <w:left w:val="nil"/>
              <w:bottom w:val="nil"/>
              <w:right w:val="nil"/>
            </w:tcBorders>
            <w:noWrap/>
            <w:vAlign w:val="bottom"/>
            <w:hideMark/>
          </w:tcPr>
          <w:p w14:paraId="4EAAFD9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(47.1)</w:t>
            </w:r>
          </w:p>
        </w:tc>
        <w:tc>
          <w:tcPr>
            <w:tcW w:w="1340" w:type="dxa"/>
            <w:tcBorders>
              <w:top w:val="nil"/>
              <w:left w:val="nil"/>
              <w:bottom w:val="nil"/>
              <w:right w:val="nil"/>
            </w:tcBorders>
            <w:noWrap/>
            <w:vAlign w:val="bottom"/>
            <w:hideMark/>
          </w:tcPr>
          <w:p w14:paraId="10D036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1ECF092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(32.2)</w:t>
            </w:r>
          </w:p>
        </w:tc>
        <w:tc>
          <w:tcPr>
            <w:tcW w:w="1280" w:type="dxa"/>
            <w:tcBorders>
              <w:top w:val="nil"/>
              <w:left w:val="nil"/>
              <w:bottom w:val="nil"/>
              <w:right w:val="nil"/>
            </w:tcBorders>
            <w:noWrap/>
            <w:vAlign w:val="bottom"/>
            <w:hideMark/>
          </w:tcPr>
          <w:p w14:paraId="079F09B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411 (64.0)</w:t>
            </w:r>
          </w:p>
        </w:tc>
        <w:tc>
          <w:tcPr>
            <w:tcW w:w="960" w:type="dxa"/>
            <w:tcBorders>
              <w:top w:val="nil"/>
              <w:left w:val="nil"/>
              <w:bottom w:val="nil"/>
              <w:right w:val="nil"/>
            </w:tcBorders>
            <w:noWrap/>
            <w:vAlign w:val="bottom"/>
            <w:hideMark/>
          </w:tcPr>
          <w:p w14:paraId="7B45791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BB2191E" w14:textId="77777777" w:rsidTr="00A873D8">
        <w:trPr>
          <w:trHeight w:val="315"/>
        </w:trPr>
        <w:tc>
          <w:tcPr>
            <w:tcW w:w="3780" w:type="dxa"/>
            <w:tcBorders>
              <w:top w:val="nil"/>
              <w:left w:val="nil"/>
              <w:bottom w:val="single" w:sz="4" w:space="0" w:color="auto"/>
              <w:right w:val="nil"/>
            </w:tcBorders>
            <w:noWrap/>
            <w:vAlign w:val="bottom"/>
            <w:hideMark/>
          </w:tcPr>
          <w:p w14:paraId="146DF16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58D2F77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xml:space="preserve">Radical </w:t>
            </w:r>
          </w:p>
        </w:tc>
        <w:tc>
          <w:tcPr>
            <w:tcW w:w="1300" w:type="dxa"/>
            <w:tcBorders>
              <w:top w:val="nil"/>
              <w:left w:val="nil"/>
              <w:bottom w:val="single" w:sz="4" w:space="0" w:color="auto"/>
              <w:right w:val="nil"/>
            </w:tcBorders>
            <w:noWrap/>
            <w:vAlign w:val="bottom"/>
            <w:hideMark/>
          </w:tcPr>
          <w:p w14:paraId="306BDA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(52.9)</w:t>
            </w:r>
          </w:p>
        </w:tc>
        <w:tc>
          <w:tcPr>
            <w:tcW w:w="1340" w:type="dxa"/>
            <w:tcBorders>
              <w:top w:val="nil"/>
              <w:left w:val="nil"/>
              <w:bottom w:val="single" w:sz="4" w:space="0" w:color="auto"/>
              <w:right w:val="nil"/>
            </w:tcBorders>
            <w:noWrap/>
            <w:vAlign w:val="bottom"/>
            <w:hideMark/>
          </w:tcPr>
          <w:p w14:paraId="34A4BE4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2F23C4B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101 (67.8)</w:t>
            </w:r>
          </w:p>
        </w:tc>
        <w:tc>
          <w:tcPr>
            <w:tcW w:w="1280" w:type="dxa"/>
            <w:tcBorders>
              <w:top w:val="nil"/>
              <w:left w:val="nil"/>
              <w:bottom w:val="single" w:sz="4" w:space="0" w:color="auto"/>
              <w:right w:val="nil"/>
            </w:tcBorders>
            <w:noWrap/>
            <w:vAlign w:val="bottom"/>
            <w:hideMark/>
          </w:tcPr>
          <w:p w14:paraId="0A3E79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231 (36.0)</w:t>
            </w:r>
          </w:p>
        </w:tc>
        <w:tc>
          <w:tcPr>
            <w:tcW w:w="960" w:type="dxa"/>
            <w:tcBorders>
              <w:top w:val="nil"/>
              <w:left w:val="nil"/>
              <w:bottom w:val="single" w:sz="4" w:space="0" w:color="auto"/>
              <w:right w:val="nil"/>
            </w:tcBorders>
            <w:noWrap/>
            <w:vAlign w:val="bottom"/>
            <w:hideMark/>
          </w:tcPr>
          <w:p w14:paraId="19B68FA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02A66372" w14:textId="77777777" w:rsidTr="00A873D8">
        <w:trPr>
          <w:trHeight w:val="315"/>
        </w:trPr>
        <w:tc>
          <w:tcPr>
            <w:tcW w:w="3780" w:type="dxa"/>
            <w:tcBorders>
              <w:top w:val="nil"/>
              <w:left w:val="nil"/>
              <w:bottom w:val="nil"/>
              <w:right w:val="nil"/>
            </w:tcBorders>
            <w:noWrap/>
            <w:vAlign w:val="bottom"/>
            <w:hideMark/>
          </w:tcPr>
          <w:p w14:paraId="4A7A5BC1"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Axillary surgery, n (%)</w:t>
            </w:r>
          </w:p>
        </w:tc>
        <w:tc>
          <w:tcPr>
            <w:tcW w:w="2080" w:type="dxa"/>
            <w:tcBorders>
              <w:top w:val="nil"/>
              <w:left w:val="nil"/>
              <w:bottom w:val="nil"/>
              <w:right w:val="nil"/>
            </w:tcBorders>
            <w:noWrap/>
            <w:vAlign w:val="center"/>
            <w:hideMark/>
          </w:tcPr>
          <w:p w14:paraId="531EDC5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Sentinel lymph node</w:t>
            </w:r>
          </w:p>
        </w:tc>
        <w:tc>
          <w:tcPr>
            <w:tcW w:w="1300" w:type="dxa"/>
            <w:tcBorders>
              <w:top w:val="nil"/>
              <w:left w:val="nil"/>
              <w:bottom w:val="nil"/>
              <w:right w:val="nil"/>
            </w:tcBorders>
            <w:noWrap/>
            <w:vAlign w:val="bottom"/>
            <w:hideMark/>
          </w:tcPr>
          <w:p w14:paraId="61F8F98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2788D7A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47C5087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28 (18.8)</w:t>
            </w:r>
          </w:p>
        </w:tc>
        <w:tc>
          <w:tcPr>
            <w:tcW w:w="1280" w:type="dxa"/>
            <w:tcBorders>
              <w:top w:val="nil"/>
              <w:left w:val="nil"/>
              <w:bottom w:val="nil"/>
              <w:right w:val="nil"/>
            </w:tcBorders>
            <w:noWrap/>
            <w:vAlign w:val="bottom"/>
            <w:hideMark/>
          </w:tcPr>
          <w:p w14:paraId="6CE19F6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294 (45.8)</w:t>
            </w:r>
          </w:p>
        </w:tc>
        <w:tc>
          <w:tcPr>
            <w:tcW w:w="960" w:type="dxa"/>
            <w:tcBorders>
              <w:top w:val="nil"/>
              <w:left w:val="nil"/>
              <w:bottom w:val="nil"/>
              <w:right w:val="nil"/>
            </w:tcBorders>
            <w:noWrap/>
            <w:vAlign w:val="bottom"/>
            <w:hideMark/>
          </w:tcPr>
          <w:p w14:paraId="26AE2AA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00C06400" w14:textId="77777777" w:rsidTr="00A873D8">
        <w:trPr>
          <w:trHeight w:val="315"/>
        </w:trPr>
        <w:tc>
          <w:tcPr>
            <w:tcW w:w="3780" w:type="dxa"/>
            <w:tcBorders>
              <w:top w:val="nil"/>
              <w:left w:val="nil"/>
              <w:bottom w:val="single" w:sz="4" w:space="0" w:color="auto"/>
              <w:right w:val="nil"/>
            </w:tcBorders>
            <w:noWrap/>
            <w:vAlign w:val="bottom"/>
            <w:hideMark/>
          </w:tcPr>
          <w:p w14:paraId="4441B0A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2723D9C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Axillary dissection</w:t>
            </w:r>
          </w:p>
        </w:tc>
        <w:tc>
          <w:tcPr>
            <w:tcW w:w="1300" w:type="dxa"/>
            <w:tcBorders>
              <w:top w:val="nil"/>
              <w:left w:val="nil"/>
              <w:bottom w:val="single" w:sz="4" w:space="0" w:color="auto"/>
              <w:right w:val="nil"/>
            </w:tcBorders>
            <w:noWrap/>
            <w:vAlign w:val="bottom"/>
            <w:hideMark/>
          </w:tcPr>
          <w:p w14:paraId="2565AA1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(76.5)</w:t>
            </w:r>
          </w:p>
        </w:tc>
        <w:tc>
          <w:tcPr>
            <w:tcW w:w="1340" w:type="dxa"/>
            <w:tcBorders>
              <w:top w:val="nil"/>
              <w:left w:val="nil"/>
              <w:bottom w:val="single" w:sz="4" w:space="0" w:color="auto"/>
              <w:right w:val="nil"/>
            </w:tcBorders>
            <w:noWrap/>
            <w:vAlign w:val="bottom"/>
            <w:hideMark/>
          </w:tcPr>
          <w:p w14:paraId="483AFA3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(60.0)</w:t>
            </w:r>
          </w:p>
        </w:tc>
        <w:tc>
          <w:tcPr>
            <w:tcW w:w="1340" w:type="dxa"/>
            <w:tcBorders>
              <w:top w:val="nil"/>
              <w:left w:val="nil"/>
              <w:bottom w:val="single" w:sz="4" w:space="0" w:color="auto"/>
              <w:right w:val="nil"/>
            </w:tcBorders>
            <w:noWrap/>
            <w:vAlign w:val="bottom"/>
            <w:hideMark/>
          </w:tcPr>
          <w:p w14:paraId="199CE85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121 (81.2)</w:t>
            </w:r>
          </w:p>
        </w:tc>
        <w:tc>
          <w:tcPr>
            <w:tcW w:w="1280" w:type="dxa"/>
            <w:tcBorders>
              <w:top w:val="nil"/>
              <w:left w:val="nil"/>
              <w:bottom w:val="single" w:sz="4" w:space="0" w:color="auto"/>
              <w:right w:val="nil"/>
            </w:tcBorders>
            <w:noWrap/>
            <w:vAlign w:val="bottom"/>
            <w:hideMark/>
          </w:tcPr>
          <w:p w14:paraId="338B2B5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348 (54.2)</w:t>
            </w:r>
          </w:p>
        </w:tc>
        <w:tc>
          <w:tcPr>
            <w:tcW w:w="960" w:type="dxa"/>
            <w:tcBorders>
              <w:top w:val="nil"/>
              <w:left w:val="nil"/>
              <w:bottom w:val="single" w:sz="4" w:space="0" w:color="auto"/>
              <w:right w:val="nil"/>
            </w:tcBorders>
            <w:noWrap/>
            <w:vAlign w:val="bottom"/>
            <w:hideMark/>
          </w:tcPr>
          <w:p w14:paraId="7D09EC6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CB8E628" w14:textId="77777777" w:rsidTr="00A873D8">
        <w:trPr>
          <w:trHeight w:val="315"/>
        </w:trPr>
        <w:tc>
          <w:tcPr>
            <w:tcW w:w="3780" w:type="dxa"/>
            <w:tcBorders>
              <w:top w:val="nil"/>
              <w:left w:val="nil"/>
              <w:bottom w:val="nil"/>
              <w:right w:val="nil"/>
            </w:tcBorders>
            <w:noWrap/>
            <w:vAlign w:val="center"/>
            <w:hideMark/>
          </w:tcPr>
          <w:p w14:paraId="6FC90945" w14:textId="77777777" w:rsidR="00892A74" w:rsidRPr="00046216" w:rsidRDefault="00892A74" w:rsidP="00A873D8">
            <w:pPr>
              <w:rPr>
                <w:rFonts w:ascii="Palatino Linotype" w:hAnsi="Palatino Linotype"/>
                <w:b/>
                <w:bCs/>
                <w:color w:val="000000"/>
                <w:sz w:val="21"/>
                <w:szCs w:val="21"/>
                <w:lang w:val="en-US"/>
              </w:rPr>
            </w:pPr>
            <w:r>
              <w:rPr>
                <w:rFonts w:ascii="Palatino Linotype" w:hAnsi="Palatino Linotype"/>
                <w:b/>
                <w:bCs/>
                <w:color w:val="000000"/>
                <w:sz w:val="21"/>
                <w:szCs w:val="21"/>
                <w:lang w:val="en-US"/>
              </w:rPr>
              <w:t>N° of positive lymph nodes, n (%)</w:t>
            </w:r>
          </w:p>
        </w:tc>
        <w:tc>
          <w:tcPr>
            <w:tcW w:w="2080" w:type="dxa"/>
            <w:tcBorders>
              <w:top w:val="nil"/>
              <w:left w:val="nil"/>
              <w:bottom w:val="nil"/>
              <w:right w:val="nil"/>
            </w:tcBorders>
            <w:noWrap/>
            <w:vAlign w:val="bottom"/>
            <w:hideMark/>
          </w:tcPr>
          <w:p w14:paraId="0E75A1E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nil"/>
              <w:right w:val="nil"/>
            </w:tcBorders>
            <w:noWrap/>
            <w:vAlign w:val="bottom"/>
            <w:hideMark/>
          </w:tcPr>
          <w:p w14:paraId="51D0769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4561E1E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nil"/>
              <w:right w:val="nil"/>
            </w:tcBorders>
            <w:noWrap/>
            <w:vAlign w:val="bottom"/>
            <w:hideMark/>
          </w:tcPr>
          <w:p w14:paraId="5725635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55 (36.9)</w:t>
            </w:r>
          </w:p>
        </w:tc>
        <w:tc>
          <w:tcPr>
            <w:tcW w:w="1280" w:type="dxa"/>
            <w:tcBorders>
              <w:top w:val="nil"/>
              <w:left w:val="nil"/>
              <w:bottom w:val="nil"/>
              <w:right w:val="nil"/>
            </w:tcBorders>
            <w:noWrap/>
            <w:vAlign w:val="bottom"/>
            <w:hideMark/>
          </w:tcPr>
          <w:p w14:paraId="505FFDE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402 (62.6)</w:t>
            </w:r>
          </w:p>
        </w:tc>
        <w:tc>
          <w:tcPr>
            <w:tcW w:w="960" w:type="dxa"/>
            <w:tcBorders>
              <w:top w:val="nil"/>
              <w:left w:val="nil"/>
              <w:bottom w:val="nil"/>
              <w:right w:val="nil"/>
            </w:tcBorders>
            <w:noWrap/>
            <w:vAlign w:val="bottom"/>
            <w:hideMark/>
          </w:tcPr>
          <w:p w14:paraId="0D9D75B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492FA0AC" w14:textId="77777777" w:rsidTr="00A873D8">
        <w:trPr>
          <w:trHeight w:val="315"/>
        </w:trPr>
        <w:tc>
          <w:tcPr>
            <w:tcW w:w="3780" w:type="dxa"/>
            <w:tcBorders>
              <w:top w:val="nil"/>
              <w:left w:val="nil"/>
              <w:bottom w:val="nil"/>
              <w:right w:val="nil"/>
            </w:tcBorders>
            <w:noWrap/>
            <w:vAlign w:val="bottom"/>
            <w:hideMark/>
          </w:tcPr>
          <w:p w14:paraId="0C628B1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3B7E9CE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w:t>
            </w:r>
          </w:p>
        </w:tc>
        <w:tc>
          <w:tcPr>
            <w:tcW w:w="1300" w:type="dxa"/>
            <w:tcBorders>
              <w:top w:val="nil"/>
              <w:left w:val="nil"/>
              <w:bottom w:val="nil"/>
              <w:right w:val="nil"/>
            </w:tcBorders>
            <w:noWrap/>
            <w:vAlign w:val="bottom"/>
            <w:hideMark/>
          </w:tcPr>
          <w:p w14:paraId="03559EC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06B860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6A62A64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36 (24.2)</w:t>
            </w:r>
          </w:p>
        </w:tc>
        <w:tc>
          <w:tcPr>
            <w:tcW w:w="1280" w:type="dxa"/>
            <w:tcBorders>
              <w:top w:val="nil"/>
              <w:left w:val="nil"/>
              <w:bottom w:val="nil"/>
              <w:right w:val="nil"/>
            </w:tcBorders>
            <w:noWrap/>
            <w:vAlign w:val="bottom"/>
            <w:hideMark/>
          </w:tcPr>
          <w:p w14:paraId="6591667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172 (26.8)</w:t>
            </w:r>
          </w:p>
        </w:tc>
        <w:tc>
          <w:tcPr>
            <w:tcW w:w="960" w:type="dxa"/>
            <w:tcBorders>
              <w:top w:val="nil"/>
              <w:left w:val="nil"/>
              <w:bottom w:val="nil"/>
              <w:right w:val="nil"/>
            </w:tcBorders>
            <w:noWrap/>
            <w:vAlign w:val="bottom"/>
            <w:hideMark/>
          </w:tcPr>
          <w:p w14:paraId="1615461E" w14:textId="77777777" w:rsidR="00892A74" w:rsidRDefault="00892A74" w:rsidP="00A873D8">
            <w:pPr>
              <w:rPr>
                <w:rFonts w:ascii="Palatino Linotype" w:hAnsi="Palatino Linotype"/>
                <w:color w:val="000000"/>
                <w:sz w:val="21"/>
                <w:szCs w:val="21"/>
              </w:rPr>
            </w:pPr>
          </w:p>
        </w:tc>
      </w:tr>
      <w:tr w:rsidR="00892A74" w14:paraId="672337FD" w14:textId="77777777" w:rsidTr="00A873D8">
        <w:trPr>
          <w:trHeight w:val="315"/>
        </w:trPr>
        <w:tc>
          <w:tcPr>
            <w:tcW w:w="3780" w:type="dxa"/>
            <w:tcBorders>
              <w:top w:val="nil"/>
              <w:left w:val="nil"/>
              <w:bottom w:val="single" w:sz="4" w:space="0" w:color="auto"/>
              <w:right w:val="nil"/>
            </w:tcBorders>
            <w:noWrap/>
            <w:vAlign w:val="bottom"/>
            <w:hideMark/>
          </w:tcPr>
          <w:p w14:paraId="4333D40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659FFD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&gt; 3</w:t>
            </w:r>
          </w:p>
        </w:tc>
        <w:tc>
          <w:tcPr>
            <w:tcW w:w="1300" w:type="dxa"/>
            <w:tcBorders>
              <w:top w:val="nil"/>
              <w:left w:val="nil"/>
              <w:bottom w:val="single" w:sz="4" w:space="0" w:color="auto"/>
              <w:right w:val="nil"/>
            </w:tcBorders>
            <w:noWrap/>
            <w:vAlign w:val="bottom"/>
            <w:hideMark/>
          </w:tcPr>
          <w:p w14:paraId="35B79E4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(29.4)</w:t>
            </w:r>
          </w:p>
        </w:tc>
        <w:tc>
          <w:tcPr>
            <w:tcW w:w="1340" w:type="dxa"/>
            <w:tcBorders>
              <w:top w:val="nil"/>
              <w:left w:val="nil"/>
              <w:bottom w:val="single" w:sz="4" w:space="0" w:color="auto"/>
              <w:right w:val="nil"/>
            </w:tcBorders>
            <w:noWrap/>
            <w:vAlign w:val="bottom"/>
            <w:hideMark/>
          </w:tcPr>
          <w:p w14:paraId="60403A8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(36.0)</w:t>
            </w:r>
          </w:p>
        </w:tc>
        <w:tc>
          <w:tcPr>
            <w:tcW w:w="1340" w:type="dxa"/>
            <w:tcBorders>
              <w:top w:val="nil"/>
              <w:left w:val="nil"/>
              <w:bottom w:val="single" w:sz="4" w:space="0" w:color="auto"/>
              <w:right w:val="nil"/>
            </w:tcBorders>
            <w:noWrap/>
            <w:vAlign w:val="bottom"/>
            <w:hideMark/>
          </w:tcPr>
          <w:p w14:paraId="1B12F98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58 (38.9)</w:t>
            </w:r>
          </w:p>
        </w:tc>
        <w:tc>
          <w:tcPr>
            <w:tcW w:w="1280" w:type="dxa"/>
            <w:tcBorders>
              <w:top w:val="nil"/>
              <w:left w:val="nil"/>
              <w:bottom w:val="single" w:sz="4" w:space="0" w:color="auto"/>
              <w:right w:val="nil"/>
            </w:tcBorders>
            <w:noWrap/>
            <w:vAlign w:val="bottom"/>
            <w:hideMark/>
          </w:tcPr>
          <w:p w14:paraId="41FAB23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68 (10.6)</w:t>
            </w:r>
          </w:p>
        </w:tc>
        <w:tc>
          <w:tcPr>
            <w:tcW w:w="960" w:type="dxa"/>
            <w:tcBorders>
              <w:top w:val="nil"/>
              <w:left w:val="nil"/>
              <w:bottom w:val="single" w:sz="4" w:space="0" w:color="auto"/>
              <w:right w:val="nil"/>
            </w:tcBorders>
            <w:noWrap/>
            <w:vAlign w:val="bottom"/>
            <w:hideMark/>
          </w:tcPr>
          <w:p w14:paraId="4994A8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99DBEDB" w14:textId="77777777" w:rsidTr="00A873D8">
        <w:trPr>
          <w:trHeight w:val="315"/>
        </w:trPr>
        <w:tc>
          <w:tcPr>
            <w:tcW w:w="3780" w:type="dxa"/>
            <w:tcBorders>
              <w:top w:val="nil"/>
              <w:left w:val="nil"/>
              <w:bottom w:val="nil"/>
              <w:right w:val="nil"/>
            </w:tcBorders>
            <w:noWrap/>
            <w:vAlign w:val="bottom"/>
            <w:hideMark/>
          </w:tcPr>
          <w:p w14:paraId="4D27D574"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Margins, n (%)</w:t>
            </w:r>
          </w:p>
        </w:tc>
        <w:tc>
          <w:tcPr>
            <w:tcW w:w="2080" w:type="dxa"/>
            <w:tcBorders>
              <w:top w:val="nil"/>
              <w:left w:val="nil"/>
              <w:bottom w:val="nil"/>
              <w:right w:val="nil"/>
            </w:tcBorders>
            <w:noWrap/>
            <w:vAlign w:val="bottom"/>
            <w:hideMark/>
          </w:tcPr>
          <w:p w14:paraId="0C34963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300" w:type="dxa"/>
            <w:tcBorders>
              <w:top w:val="nil"/>
              <w:left w:val="nil"/>
              <w:bottom w:val="nil"/>
              <w:right w:val="nil"/>
            </w:tcBorders>
            <w:noWrap/>
            <w:vAlign w:val="bottom"/>
            <w:hideMark/>
          </w:tcPr>
          <w:p w14:paraId="5874667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(11.8)</w:t>
            </w:r>
          </w:p>
        </w:tc>
        <w:tc>
          <w:tcPr>
            <w:tcW w:w="1340" w:type="dxa"/>
            <w:tcBorders>
              <w:top w:val="nil"/>
              <w:left w:val="nil"/>
              <w:bottom w:val="nil"/>
              <w:right w:val="nil"/>
            </w:tcBorders>
            <w:noWrap/>
            <w:vAlign w:val="bottom"/>
            <w:hideMark/>
          </w:tcPr>
          <w:p w14:paraId="048CE2C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(16.0)</w:t>
            </w:r>
          </w:p>
        </w:tc>
        <w:tc>
          <w:tcPr>
            <w:tcW w:w="1340" w:type="dxa"/>
            <w:tcBorders>
              <w:top w:val="nil"/>
              <w:left w:val="nil"/>
              <w:bottom w:val="nil"/>
              <w:right w:val="nil"/>
            </w:tcBorders>
            <w:noWrap/>
            <w:vAlign w:val="bottom"/>
            <w:hideMark/>
          </w:tcPr>
          <w:p w14:paraId="2BE5324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(8.10)</w:t>
            </w:r>
          </w:p>
        </w:tc>
        <w:tc>
          <w:tcPr>
            <w:tcW w:w="1280" w:type="dxa"/>
            <w:tcBorders>
              <w:top w:val="nil"/>
              <w:left w:val="nil"/>
              <w:bottom w:val="nil"/>
              <w:right w:val="nil"/>
            </w:tcBorders>
            <w:noWrap/>
            <w:vAlign w:val="bottom"/>
            <w:hideMark/>
          </w:tcPr>
          <w:p w14:paraId="12C5BD6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32 (5.00)</w:t>
            </w:r>
          </w:p>
        </w:tc>
        <w:tc>
          <w:tcPr>
            <w:tcW w:w="960" w:type="dxa"/>
            <w:tcBorders>
              <w:top w:val="nil"/>
              <w:left w:val="nil"/>
              <w:bottom w:val="nil"/>
              <w:right w:val="nil"/>
            </w:tcBorders>
            <w:noWrap/>
            <w:vAlign w:val="bottom"/>
            <w:hideMark/>
          </w:tcPr>
          <w:p w14:paraId="470017C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0.05</w:t>
            </w:r>
          </w:p>
        </w:tc>
      </w:tr>
      <w:tr w:rsidR="00892A74" w14:paraId="4A6BF915" w14:textId="77777777" w:rsidTr="00A873D8">
        <w:trPr>
          <w:trHeight w:val="315"/>
        </w:trPr>
        <w:tc>
          <w:tcPr>
            <w:tcW w:w="3780" w:type="dxa"/>
            <w:tcBorders>
              <w:top w:val="nil"/>
              <w:left w:val="nil"/>
              <w:bottom w:val="single" w:sz="4" w:space="0" w:color="auto"/>
              <w:right w:val="nil"/>
            </w:tcBorders>
            <w:noWrap/>
            <w:vAlign w:val="bottom"/>
            <w:hideMark/>
          </w:tcPr>
          <w:p w14:paraId="63AFB7E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72F7C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single" w:sz="4" w:space="0" w:color="auto"/>
              <w:right w:val="nil"/>
            </w:tcBorders>
            <w:noWrap/>
            <w:vAlign w:val="bottom"/>
            <w:hideMark/>
          </w:tcPr>
          <w:p w14:paraId="23C7207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15 (88.2)</w:t>
            </w:r>
          </w:p>
        </w:tc>
        <w:tc>
          <w:tcPr>
            <w:tcW w:w="1340" w:type="dxa"/>
            <w:tcBorders>
              <w:top w:val="nil"/>
              <w:left w:val="nil"/>
              <w:bottom w:val="single" w:sz="4" w:space="0" w:color="auto"/>
              <w:right w:val="nil"/>
            </w:tcBorders>
            <w:noWrap/>
            <w:vAlign w:val="bottom"/>
            <w:hideMark/>
          </w:tcPr>
          <w:p w14:paraId="2934A43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 (84.0)</w:t>
            </w:r>
          </w:p>
        </w:tc>
        <w:tc>
          <w:tcPr>
            <w:tcW w:w="1340" w:type="dxa"/>
            <w:tcBorders>
              <w:top w:val="nil"/>
              <w:left w:val="nil"/>
              <w:bottom w:val="single" w:sz="4" w:space="0" w:color="auto"/>
              <w:right w:val="nil"/>
            </w:tcBorders>
            <w:noWrap/>
            <w:vAlign w:val="bottom"/>
            <w:hideMark/>
          </w:tcPr>
          <w:p w14:paraId="638D5E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137 (91.9)</w:t>
            </w:r>
          </w:p>
        </w:tc>
        <w:tc>
          <w:tcPr>
            <w:tcW w:w="1280" w:type="dxa"/>
            <w:tcBorders>
              <w:top w:val="nil"/>
              <w:left w:val="nil"/>
              <w:bottom w:val="single" w:sz="4" w:space="0" w:color="auto"/>
              <w:right w:val="nil"/>
            </w:tcBorders>
            <w:noWrap/>
            <w:vAlign w:val="bottom"/>
            <w:hideMark/>
          </w:tcPr>
          <w:p w14:paraId="415ED54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610 (95.0)</w:t>
            </w:r>
          </w:p>
        </w:tc>
        <w:tc>
          <w:tcPr>
            <w:tcW w:w="960" w:type="dxa"/>
            <w:tcBorders>
              <w:top w:val="nil"/>
              <w:left w:val="nil"/>
              <w:bottom w:val="single" w:sz="4" w:space="0" w:color="auto"/>
              <w:right w:val="nil"/>
            </w:tcBorders>
            <w:noWrap/>
            <w:vAlign w:val="bottom"/>
            <w:hideMark/>
          </w:tcPr>
          <w:p w14:paraId="6E2988A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6EC3967" w14:textId="77777777" w:rsidTr="00A873D8">
        <w:trPr>
          <w:trHeight w:val="315"/>
        </w:trPr>
        <w:tc>
          <w:tcPr>
            <w:tcW w:w="3780" w:type="dxa"/>
            <w:tcBorders>
              <w:top w:val="nil"/>
              <w:left w:val="nil"/>
              <w:bottom w:val="nil"/>
              <w:right w:val="nil"/>
            </w:tcBorders>
            <w:noWrap/>
            <w:vAlign w:val="bottom"/>
            <w:hideMark/>
          </w:tcPr>
          <w:p w14:paraId="2B3F7E0F"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Pathological tumor size, n (%)</w:t>
            </w:r>
          </w:p>
        </w:tc>
        <w:tc>
          <w:tcPr>
            <w:tcW w:w="2080" w:type="dxa"/>
            <w:tcBorders>
              <w:top w:val="nil"/>
              <w:left w:val="nil"/>
              <w:bottom w:val="nil"/>
              <w:right w:val="nil"/>
            </w:tcBorders>
            <w:noWrap/>
            <w:vAlign w:val="center"/>
            <w:hideMark/>
          </w:tcPr>
          <w:p w14:paraId="3DD3E0B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300" w:type="dxa"/>
            <w:tcBorders>
              <w:top w:val="nil"/>
              <w:left w:val="nil"/>
              <w:bottom w:val="nil"/>
              <w:right w:val="nil"/>
            </w:tcBorders>
            <w:noWrap/>
            <w:vAlign w:val="bottom"/>
            <w:hideMark/>
          </w:tcPr>
          <w:p w14:paraId="0460891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06785BE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nil"/>
              <w:right w:val="nil"/>
            </w:tcBorders>
            <w:noWrap/>
            <w:vAlign w:val="bottom"/>
            <w:hideMark/>
          </w:tcPr>
          <w:p w14:paraId="526A5BE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(7.40)</w:t>
            </w:r>
          </w:p>
        </w:tc>
        <w:tc>
          <w:tcPr>
            <w:tcW w:w="1280" w:type="dxa"/>
            <w:tcBorders>
              <w:top w:val="nil"/>
              <w:left w:val="nil"/>
              <w:bottom w:val="nil"/>
              <w:right w:val="nil"/>
            </w:tcBorders>
            <w:noWrap/>
            <w:vAlign w:val="bottom"/>
            <w:hideMark/>
          </w:tcPr>
          <w:p w14:paraId="55545C1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960" w:type="dxa"/>
            <w:tcBorders>
              <w:top w:val="nil"/>
              <w:left w:val="nil"/>
              <w:bottom w:val="nil"/>
              <w:right w:val="nil"/>
            </w:tcBorders>
            <w:noWrap/>
            <w:vAlign w:val="bottom"/>
            <w:hideMark/>
          </w:tcPr>
          <w:p w14:paraId="205EFBB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35CA212" w14:textId="77777777" w:rsidTr="00A873D8">
        <w:trPr>
          <w:trHeight w:val="315"/>
        </w:trPr>
        <w:tc>
          <w:tcPr>
            <w:tcW w:w="3780" w:type="dxa"/>
            <w:tcBorders>
              <w:top w:val="nil"/>
              <w:left w:val="nil"/>
              <w:bottom w:val="nil"/>
              <w:right w:val="nil"/>
            </w:tcBorders>
            <w:noWrap/>
            <w:vAlign w:val="bottom"/>
            <w:hideMark/>
          </w:tcPr>
          <w:p w14:paraId="5F632A03"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7A4FB03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Tumor in situ</w:t>
            </w:r>
          </w:p>
        </w:tc>
        <w:tc>
          <w:tcPr>
            <w:tcW w:w="1300" w:type="dxa"/>
            <w:tcBorders>
              <w:top w:val="nil"/>
              <w:left w:val="nil"/>
              <w:bottom w:val="nil"/>
              <w:right w:val="nil"/>
            </w:tcBorders>
            <w:noWrap/>
            <w:vAlign w:val="bottom"/>
            <w:hideMark/>
          </w:tcPr>
          <w:p w14:paraId="5E2758B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2683233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 (0.00)</w:t>
            </w:r>
          </w:p>
        </w:tc>
        <w:tc>
          <w:tcPr>
            <w:tcW w:w="1340" w:type="dxa"/>
            <w:tcBorders>
              <w:top w:val="nil"/>
              <w:left w:val="nil"/>
              <w:bottom w:val="nil"/>
              <w:right w:val="nil"/>
            </w:tcBorders>
            <w:noWrap/>
            <w:vAlign w:val="bottom"/>
            <w:hideMark/>
          </w:tcPr>
          <w:p w14:paraId="0FEA10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(2.00)</w:t>
            </w:r>
          </w:p>
        </w:tc>
        <w:tc>
          <w:tcPr>
            <w:tcW w:w="1280" w:type="dxa"/>
            <w:tcBorders>
              <w:top w:val="nil"/>
              <w:left w:val="nil"/>
              <w:bottom w:val="nil"/>
              <w:right w:val="nil"/>
            </w:tcBorders>
            <w:noWrap/>
            <w:vAlign w:val="bottom"/>
            <w:hideMark/>
          </w:tcPr>
          <w:p w14:paraId="217F48D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21 (3.30)</w:t>
            </w:r>
          </w:p>
        </w:tc>
        <w:tc>
          <w:tcPr>
            <w:tcW w:w="960" w:type="dxa"/>
            <w:tcBorders>
              <w:top w:val="nil"/>
              <w:left w:val="nil"/>
              <w:bottom w:val="nil"/>
              <w:right w:val="nil"/>
            </w:tcBorders>
            <w:noWrap/>
            <w:vAlign w:val="bottom"/>
            <w:hideMark/>
          </w:tcPr>
          <w:p w14:paraId="2B1A19CD" w14:textId="77777777" w:rsidR="00892A74" w:rsidRDefault="00892A74" w:rsidP="00A873D8">
            <w:pPr>
              <w:rPr>
                <w:rFonts w:ascii="Palatino Linotype" w:hAnsi="Palatino Linotype"/>
                <w:color w:val="000000"/>
                <w:sz w:val="21"/>
                <w:szCs w:val="21"/>
              </w:rPr>
            </w:pPr>
          </w:p>
        </w:tc>
      </w:tr>
      <w:tr w:rsidR="00892A74" w14:paraId="09E4A7E4" w14:textId="77777777" w:rsidTr="00A873D8">
        <w:trPr>
          <w:trHeight w:val="315"/>
        </w:trPr>
        <w:tc>
          <w:tcPr>
            <w:tcW w:w="3780" w:type="dxa"/>
            <w:tcBorders>
              <w:top w:val="nil"/>
              <w:left w:val="nil"/>
              <w:bottom w:val="nil"/>
              <w:right w:val="nil"/>
            </w:tcBorders>
            <w:noWrap/>
            <w:vAlign w:val="bottom"/>
            <w:hideMark/>
          </w:tcPr>
          <w:p w14:paraId="33C242CA" w14:textId="77777777" w:rsidR="00892A74" w:rsidRDefault="00892A74" w:rsidP="00A873D8">
            <w:pPr>
              <w:rPr>
                <w:sz w:val="20"/>
                <w:szCs w:val="20"/>
              </w:rPr>
            </w:pPr>
          </w:p>
        </w:tc>
        <w:tc>
          <w:tcPr>
            <w:tcW w:w="2080" w:type="dxa"/>
            <w:tcBorders>
              <w:top w:val="nil"/>
              <w:left w:val="nil"/>
              <w:bottom w:val="nil"/>
              <w:right w:val="nil"/>
            </w:tcBorders>
            <w:noWrap/>
            <w:vAlign w:val="bottom"/>
            <w:hideMark/>
          </w:tcPr>
          <w:p w14:paraId="3E89065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&lt; 2 cm</w:t>
            </w:r>
          </w:p>
        </w:tc>
        <w:tc>
          <w:tcPr>
            <w:tcW w:w="1300" w:type="dxa"/>
            <w:tcBorders>
              <w:top w:val="nil"/>
              <w:left w:val="nil"/>
              <w:bottom w:val="nil"/>
              <w:right w:val="nil"/>
            </w:tcBorders>
            <w:noWrap/>
            <w:vAlign w:val="bottom"/>
            <w:hideMark/>
          </w:tcPr>
          <w:p w14:paraId="29C511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084F332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616B4E9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 (27.5)</w:t>
            </w:r>
          </w:p>
        </w:tc>
        <w:tc>
          <w:tcPr>
            <w:tcW w:w="1280" w:type="dxa"/>
            <w:tcBorders>
              <w:top w:val="nil"/>
              <w:left w:val="nil"/>
              <w:bottom w:val="nil"/>
              <w:right w:val="nil"/>
            </w:tcBorders>
            <w:noWrap/>
            <w:vAlign w:val="bottom"/>
            <w:hideMark/>
          </w:tcPr>
          <w:p w14:paraId="6CB3D43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261 (40.7)</w:t>
            </w:r>
          </w:p>
        </w:tc>
        <w:tc>
          <w:tcPr>
            <w:tcW w:w="960" w:type="dxa"/>
            <w:tcBorders>
              <w:top w:val="nil"/>
              <w:left w:val="nil"/>
              <w:bottom w:val="nil"/>
              <w:right w:val="nil"/>
            </w:tcBorders>
            <w:noWrap/>
            <w:vAlign w:val="bottom"/>
            <w:hideMark/>
          </w:tcPr>
          <w:p w14:paraId="49E24E5A" w14:textId="77777777" w:rsidR="00892A74" w:rsidRDefault="00892A74" w:rsidP="00A873D8">
            <w:pPr>
              <w:rPr>
                <w:rFonts w:ascii="Palatino Linotype" w:hAnsi="Palatino Linotype"/>
                <w:color w:val="000000"/>
                <w:sz w:val="21"/>
                <w:szCs w:val="21"/>
              </w:rPr>
            </w:pPr>
          </w:p>
        </w:tc>
      </w:tr>
      <w:tr w:rsidR="00892A74" w14:paraId="030133A2" w14:textId="77777777" w:rsidTr="00A873D8">
        <w:trPr>
          <w:trHeight w:val="315"/>
        </w:trPr>
        <w:tc>
          <w:tcPr>
            <w:tcW w:w="3780" w:type="dxa"/>
            <w:tcBorders>
              <w:top w:val="nil"/>
              <w:left w:val="nil"/>
              <w:bottom w:val="nil"/>
              <w:right w:val="nil"/>
            </w:tcBorders>
            <w:noWrap/>
            <w:vAlign w:val="bottom"/>
            <w:hideMark/>
          </w:tcPr>
          <w:p w14:paraId="24099D76" w14:textId="77777777" w:rsidR="00892A74" w:rsidRDefault="00892A74" w:rsidP="00A873D8">
            <w:pPr>
              <w:rPr>
                <w:sz w:val="20"/>
                <w:szCs w:val="20"/>
              </w:rPr>
            </w:pPr>
          </w:p>
        </w:tc>
        <w:tc>
          <w:tcPr>
            <w:tcW w:w="2080" w:type="dxa"/>
            <w:tcBorders>
              <w:top w:val="nil"/>
              <w:left w:val="nil"/>
              <w:bottom w:val="nil"/>
              <w:right w:val="nil"/>
            </w:tcBorders>
            <w:noWrap/>
            <w:vAlign w:val="center"/>
            <w:hideMark/>
          </w:tcPr>
          <w:p w14:paraId="1FEA843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2 - 5 cm</w:t>
            </w:r>
          </w:p>
        </w:tc>
        <w:tc>
          <w:tcPr>
            <w:tcW w:w="1300" w:type="dxa"/>
            <w:tcBorders>
              <w:top w:val="nil"/>
              <w:left w:val="nil"/>
              <w:bottom w:val="nil"/>
              <w:right w:val="nil"/>
            </w:tcBorders>
            <w:noWrap/>
            <w:vAlign w:val="bottom"/>
            <w:hideMark/>
          </w:tcPr>
          <w:p w14:paraId="02DF35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481C20A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(40.0)</w:t>
            </w:r>
          </w:p>
        </w:tc>
        <w:tc>
          <w:tcPr>
            <w:tcW w:w="1340" w:type="dxa"/>
            <w:tcBorders>
              <w:top w:val="nil"/>
              <w:left w:val="nil"/>
              <w:bottom w:val="nil"/>
              <w:right w:val="nil"/>
            </w:tcBorders>
            <w:noWrap/>
            <w:vAlign w:val="bottom"/>
            <w:hideMark/>
          </w:tcPr>
          <w:p w14:paraId="7A1E17A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64 (43.0)</w:t>
            </w:r>
          </w:p>
        </w:tc>
        <w:tc>
          <w:tcPr>
            <w:tcW w:w="1280" w:type="dxa"/>
            <w:tcBorders>
              <w:top w:val="nil"/>
              <w:left w:val="nil"/>
              <w:bottom w:val="nil"/>
              <w:right w:val="nil"/>
            </w:tcBorders>
            <w:noWrap/>
            <w:vAlign w:val="bottom"/>
            <w:hideMark/>
          </w:tcPr>
          <w:p w14:paraId="6F7DBF0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221 (34.4)</w:t>
            </w:r>
          </w:p>
        </w:tc>
        <w:tc>
          <w:tcPr>
            <w:tcW w:w="960" w:type="dxa"/>
            <w:tcBorders>
              <w:top w:val="nil"/>
              <w:left w:val="nil"/>
              <w:bottom w:val="nil"/>
              <w:right w:val="nil"/>
            </w:tcBorders>
            <w:noWrap/>
            <w:vAlign w:val="bottom"/>
            <w:hideMark/>
          </w:tcPr>
          <w:p w14:paraId="461732B5" w14:textId="77777777" w:rsidR="00892A74" w:rsidRDefault="00892A74" w:rsidP="00A873D8">
            <w:pPr>
              <w:rPr>
                <w:rFonts w:ascii="Palatino Linotype" w:hAnsi="Palatino Linotype"/>
                <w:color w:val="000000"/>
                <w:sz w:val="21"/>
                <w:szCs w:val="21"/>
              </w:rPr>
            </w:pPr>
          </w:p>
        </w:tc>
      </w:tr>
      <w:tr w:rsidR="00892A74" w14:paraId="5F253A49" w14:textId="77777777" w:rsidTr="00A873D8">
        <w:trPr>
          <w:trHeight w:val="315"/>
        </w:trPr>
        <w:tc>
          <w:tcPr>
            <w:tcW w:w="3780" w:type="dxa"/>
            <w:tcBorders>
              <w:top w:val="nil"/>
              <w:left w:val="nil"/>
              <w:bottom w:val="single" w:sz="4" w:space="0" w:color="auto"/>
              <w:right w:val="nil"/>
            </w:tcBorders>
            <w:noWrap/>
            <w:vAlign w:val="bottom"/>
            <w:hideMark/>
          </w:tcPr>
          <w:p w14:paraId="6026743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E453BD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Infiltrating, &gt; 5 cm</w:t>
            </w:r>
          </w:p>
        </w:tc>
        <w:tc>
          <w:tcPr>
            <w:tcW w:w="1300" w:type="dxa"/>
            <w:tcBorders>
              <w:top w:val="nil"/>
              <w:left w:val="nil"/>
              <w:bottom w:val="single" w:sz="4" w:space="0" w:color="auto"/>
              <w:right w:val="nil"/>
            </w:tcBorders>
            <w:noWrap/>
            <w:vAlign w:val="bottom"/>
            <w:hideMark/>
          </w:tcPr>
          <w:p w14:paraId="0114CF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(17.6)</w:t>
            </w:r>
          </w:p>
        </w:tc>
        <w:tc>
          <w:tcPr>
            <w:tcW w:w="1340" w:type="dxa"/>
            <w:tcBorders>
              <w:top w:val="nil"/>
              <w:left w:val="nil"/>
              <w:bottom w:val="single" w:sz="4" w:space="0" w:color="auto"/>
              <w:right w:val="nil"/>
            </w:tcBorders>
            <w:noWrap/>
            <w:vAlign w:val="bottom"/>
            <w:hideMark/>
          </w:tcPr>
          <w:p w14:paraId="167B070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 (8.00)</w:t>
            </w:r>
          </w:p>
        </w:tc>
        <w:tc>
          <w:tcPr>
            <w:tcW w:w="1340" w:type="dxa"/>
            <w:tcBorders>
              <w:top w:val="nil"/>
              <w:left w:val="nil"/>
              <w:bottom w:val="single" w:sz="4" w:space="0" w:color="auto"/>
              <w:right w:val="nil"/>
            </w:tcBorders>
            <w:noWrap/>
            <w:vAlign w:val="bottom"/>
            <w:hideMark/>
          </w:tcPr>
          <w:p w14:paraId="08CA732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30 (20.1)</w:t>
            </w:r>
          </w:p>
        </w:tc>
        <w:tc>
          <w:tcPr>
            <w:tcW w:w="1280" w:type="dxa"/>
            <w:tcBorders>
              <w:top w:val="nil"/>
              <w:left w:val="nil"/>
              <w:bottom w:val="single" w:sz="4" w:space="0" w:color="auto"/>
              <w:right w:val="nil"/>
            </w:tcBorders>
            <w:noWrap/>
            <w:vAlign w:val="bottom"/>
            <w:hideMark/>
          </w:tcPr>
          <w:p w14:paraId="59AFDCE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42 (6.50)</w:t>
            </w:r>
          </w:p>
        </w:tc>
        <w:tc>
          <w:tcPr>
            <w:tcW w:w="960" w:type="dxa"/>
            <w:tcBorders>
              <w:top w:val="nil"/>
              <w:left w:val="nil"/>
              <w:bottom w:val="single" w:sz="4" w:space="0" w:color="auto"/>
              <w:right w:val="nil"/>
            </w:tcBorders>
            <w:noWrap/>
            <w:vAlign w:val="bottom"/>
            <w:hideMark/>
          </w:tcPr>
          <w:p w14:paraId="4ABA10D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787D1892" w14:textId="77777777" w:rsidTr="00A873D8">
        <w:trPr>
          <w:trHeight w:val="315"/>
        </w:trPr>
        <w:tc>
          <w:tcPr>
            <w:tcW w:w="3780" w:type="dxa"/>
            <w:tcBorders>
              <w:top w:val="nil"/>
              <w:left w:val="nil"/>
              <w:bottom w:val="nil"/>
              <w:right w:val="nil"/>
            </w:tcBorders>
            <w:noWrap/>
            <w:vAlign w:val="bottom"/>
            <w:hideMark/>
          </w:tcPr>
          <w:p w14:paraId="3239DA1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Histological grade, n (%)</w:t>
            </w:r>
          </w:p>
        </w:tc>
        <w:tc>
          <w:tcPr>
            <w:tcW w:w="2080" w:type="dxa"/>
            <w:tcBorders>
              <w:top w:val="nil"/>
              <w:left w:val="nil"/>
              <w:bottom w:val="nil"/>
              <w:right w:val="nil"/>
            </w:tcBorders>
            <w:noWrap/>
            <w:vAlign w:val="center"/>
            <w:hideMark/>
          </w:tcPr>
          <w:p w14:paraId="70714A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 residual tumor</w:t>
            </w:r>
          </w:p>
        </w:tc>
        <w:tc>
          <w:tcPr>
            <w:tcW w:w="1300" w:type="dxa"/>
            <w:tcBorders>
              <w:top w:val="nil"/>
              <w:left w:val="nil"/>
              <w:bottom w:val="nil"/>
              <w:right w:val="nil"/>
            </w:tcBorders>
            <w:noWrap/>
            <w:vAlign w:val="bottom"/>
            <w:hideMark/>
          </w:tcPr>
          <w:p w14:paraId="4556146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nil"/>
              <w:right w:val="nil"/>
            </w:tcBorders>
            <w:noWrap/>
            <w:vAlign w:val="bottom"/>
            <w:hideMark/>
          </w:tcPr>
          <w:p w14:paraId="1259036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 (4.00)</w:t>
            </w:r>
          </w:p>
        </w:tc>
        <w:tc>
          <w:tcPr>
            <w:tcW w:w="1340" w:type="dxa"/>
            <w:tcBorders>
              <w:top w:val="nil"/>
              <w:left w:val="nil"/>
              <w:bottom w:val="nil"/>
              <w:right w:val="nil"/>
            </w:tcBorders>
            <w:noWrap/>
            <w:vAlign w:val="bottom"/>
            <w:hideMark/>
          </w:tcPr>
          <w:p w14:paraId="7BE3DC9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(7.40)</w:t>
            </w:r>
          </w:p>
        </w:tc>
        <w:tc>
          <w:tcPr>
            <w:tcW w:w="1280" w:type="dxa"/>
            <w:tcBorders>
              <w:top w:val="nil"/>
              <w:left w:val="nil"/>
              <w:bottom w:val="nil"/>
              <w:right w:val="nil"/>
            </w:tcBorders>
            <w:noWrap/>
            <w:vAlign w:val="bottom"/>
            <w:hideMark/>
          </w:tcPr>
          <w:p w14:paraId="6F9318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97 (15.1)</w:t>
            </w:r>
          </w:p>
        </w:tc>
        <w:tc>
          <w:tcPr>
            <w:tcW w:w="960" w:type="dxa"/>
            <w:tcBorders>
              <w:top w:val="nil"/>
              <w:left w:val="nil"/>
              <w:bottom w:val="nil"/>
              <w:right w:val="nil"/>
            </w:tcBorders>
            <w:noWrap/>
            <w:vAlign w:val="bottom"/>
            <w:hideMark/>
          </w:tcPr>
          <w:p w14:paraId="792E18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DFBD6C7" w14:textId="77777777" w:rsidTr="00A873D8">
        <w:trPr>
          <w:trHeight w:val="315"/>
        </w:trPr>
        <w:tc>
          <w:tcPr>
            <w:tcW w:w="3780" w:type="dxa"/>
            <w:tcBorders>
              <w:top w:val="nil"/>
              <w:left w:val="nil"/>
              <w:bottom w:val="nil"/>
              <w:right w:val="nil"/>
            </w:tcBorders>
            <w:noWrap/>
            <w:vAlign w:val="bottom"/>
            <w:hideMark/>
          </w:tcPr>
          <w:p w14:paraId="72249917" w14:textId="77777777" w:rsidR="00892A74" w:rsidRDefault="00892A74" w:rsidP="00A873D8">
            <w:pPr>
              <w:rPr>
                <w:rFonts w:ascii="Palatino Linotype" w:hAnsi="Palatino Linotype"/>
                <w:color w:val="000000"/>
                <w:sz w:val="21"/>
                <w:szCs w:val="21"/>
              </w:rPr>
            </w:pPr>
          </w:p>
        </w:tc>
        <w:tc>
          <w:tcPr>
            <w:tcW w:w="2080" w:type="dxa"/>
            <w:tcBorders>
              <w:top w:val="nil"/>
              <w:left w:val="nil"/>
              <w:bottom w:val="nil"/>
              <w:right w:val="nil"/>
            </w:tcBorders>
            <w:noWrap/>
            <w:vAlign w:val="bottom"/>
            <w:hideMark/>
          </w:tcPr>
          <w:p w14:paraId="0111F18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w:t>
            </w:r>
          </w:p>
        </w:tc>
        <w:tc>
          <w:tcPr>
            <w:tcW w:w="1300" w:type="dxa"/>
            <w:tcBorders>
              <w:top w:val="nil"/>
              <w:left w:val="nil"/>
              <w:bottom w:val="nil"/>
              <w:right w:val="nil"/>
            </w:tcBorders>
            <w:noWrap/>
            <w:vAlign w:val="bottom"/>
            <w:hideMark/>
          </w:tcPr>
          <w:p w14:paraId="286BB0B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 (58.8)</w:t>
            </w:r>
          </w:p>
        </w:tc>
        <w:tc>
          <w:tcPr>
            <w:tcW w:w="1340" w:type="dxa"/>
            <w:tcBorders>
              <w:top w:val="nil"/>
              <w:left w:val="nil"/>
              <w:bottom w:val="nil"/>
              <w:right w:val="nil"/>
            </w:tcBorders>
            <w:noWrap/>
            <w:vAlign w:val="bottom"/>
            <w:hideMark/>
          </w:tcPr>
          <w:p w14:paraId="4667532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(44.0)</w:t>
            </w:r>
          </w:p>
        </w:tc>
        <w:tc>
          <w:tcPr>
            <w:tcW w:w="1340" w:type="dxa"/>
            <w:tcBorders>
              <w:top w:val="nil"/>
              <w:left w:val="nil"/>
              <w:bottom w:val="nil"/>
              <w:right w:val="nil"/>
            </w:tcBorders>
            <w:noWrap/>
            <w:vAlign w:val="bottom"/>
            <w:hideMark/>
          </w:tcPr>
          <w:p w14:paraId="04EE732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76 (51.0)</w:t>
            </w:r>
          </w:p>
        </w:tc>
        <w:tc>
          <w:tcPr>
            <w:tcW w:w="1280" w:type="dxa"/>
            <w:tcBorders>
              <w:top w:val="nil"/>
              <w:left w:val="nil"/>
              <w:bottom w:val="nil"/>
              <w:right w:val="nil"/>
            </w:tcBorders>
            <w:noWrap/>
            <w:vAlign w:val="bottom"/>
            <w:hideMark/>
          </w:tcPr>
          <w:p w14:paraId="4AC5395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401 (62.5)</w:t>
            </w:r>
          </w:p>
        </w:tc>
        <w:tc>
          <w:tcPr>
            <w:tcW w:w="960" w:type="dxa"/>
            <w:tcBorders>
              <w:top w:val="nil"/>
              <w:left w:val="nil"/>
              <w:bottom w:val="nil"/>
              <w:right w:val="nil"/>
            </w:tcBorders>
            <w:noWrap/>
            <w:vAlign w:val="bottom"/>
            <w:hideMark/>
          </w:tcPr>
          <w:p w14:paraId="0B35E76C" w14:textId="77777777" w:rsidR="00892A74" w:rsidRDefault="00892A74" w:rsidP="00A873D8">
            <w:pPr>
              <w:rPr>
                <w:rFonts w:ascii="Palatino Linotype" w:hAnsi="Palatino Linotype"/>
                <w:color w:val="000000"/>
                <w:sz w:val="21"/>
                <w:szCs w:val="21"/>
              </w:rPr>
            </w:pPr>
          </w:p>
        </w:tc>
      </w:tr>
      <w:tr w:rsidR="00892A74" w14:paraId="67C828CA" w14:textId="77777777" w:rsidTr="00A873D8">
        <w:trPr>
          <w:trHeight w:val="315"/>
        </w:trPr>
        <w:tc>
          <w:tcPr>
            <w:tcW w:w="3780" w:type="dxa"/>
            <w:tcBorders>
              <w:top w:val="nil"/>
              <w:left w:val="nil"/>
              <w:bottom w:val="single" w:sz="4" w:space="0" w:color="auto"/>
              <w:right w:val="nil"/>
            </w:tcBorders>
            <w:noWrap/>
            <w:vAlign w:val="bottom"/>
            <w:hideMark/>
          </w:tcPr>
          <w:p w14:paraId="316B612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7F7A7B8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w:t>
            </w:r>
          </w:p>
        </w:tc>
        <w:tc>
          <w:tcPr>
            <w:tcW w:w="1300" w:type="dxa"/>
            <w:tcBorders>
              <w:top w:val="nil"/>
              <w:left w:val="nil"/>
              <w:bottom w:val="single" w:sz="4" w:space="0" w:color="auto"/>
              <w:right w:val="nil"/>
            </w:tcBorders>
            <w:noWrap/>
            <w:vAlign w:val="bottom"/>
            <w:hideMark/>
          </w:tcPr>
          <w:p w14:paraId="18E258B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 (17.6)</w:t>
            </w:r>
          </w:p>
        </w:tc>
        <w:tc>
          <w:tcPr>
            <w:tcW w:w="1340" w:type="dxa"/>
            <w:tcBorders>
              <w:top w:val="nil"/>
              <w:left w:val="nil"/>
              <w:bottom w:val="single" w:sz="4" w:space="0" w:color="auto"/>
              <w:right w:val="nil"/>
            </w:tcBorders>
            <w:noWrap/>
            <w:vAlign w:val="bottom"/>
            <w:hideMark/>
          </w:tcPr>
          <w:p w14:paraId="3E71460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1A978E0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62 (41.6)</w:t>
            </w:r>
          </w:p>
        </w:tc>
        <w:tc>
          <w:tcPr>
            <w:tcW w:w="1280" w:type="dxa"/>
            <w:tcBorders>
              <w:top w:val="nil"/>
              <w:left w:val="nil"/>
              <w:bottom w:val="single" w:sz="4" w:space="0" w:color="auto"/>
              <w:right w:val="nil"/>
            </w:tcBorders>
            <w:noWrap/>
            <w:vAlign w:val="bottom"/>
            <w:hideMark/>
          </w:tcPr>
          <w:p w14:paraId="43313B9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144 (22.4)</w:t>
            </w:r>
          </w:p>
        </w:tc>
        <w:tc>
          <w:tcPr>
            <w:tcW w:w="960" w:type="dxa"/>
            <w:tcBorders>
              <w:top w:val="nil"/>
              <w:left w:val="nil"/>
              <w:bottom w:val="single" w:sz="4" w:space="0" w:color="auto"/>
              <w:right w:val="nil"/>
            </w:tcBorders>
            <w:noWrap/>
            <w:vAlign w:val="bottom"/>
            <w:hideMark/>
          </w:tcPr>
          <w:p w14:paraId="52C8433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21A97C94" w14:textId="77777777" w:rsidTr="00A873D8">
        <w:trPr>
          <w:trHeight w:val="345"/>
        </w:trPr>
        <w:tc>
          <w:tcPr>
            <w:tcW w:w="3780" w:type="dxa"/>
            <w:tcBorders>
              <w:top w:val="nil"/>
              <w:left w:val="nil"/>
              <w:bottom w:val="nil"/>
              <w:right w:val="nil"/>
            </w:tcBorders>
            <w:noWrap/>
            <w:vAlign w:val="bottom"/>
            <w:hideMark/>
          </w:tcPr>
          <w:p w14:paraId="04D1BEFA"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rPr>
              <w:t>Lymphovascular invasion</w:t>
            </w:r>
            <w:r>
              <w:rPr>
                <w:rFonts w:ascii="Palatino Linotype" w:hAnsi="Palatino Linotype"/>
                <w:b/>
                <w:bCs/>
                <w:color w:val="000000"/>
                <w:sz w:val="21"/>
                <w:szCs w:val="21"/>
                <w:vertAlign w:val="superscript"/>
              </w:rPr>
              <w:t>§</w:t>
            </w:r>
            <w:r>
              <w:rPr>
                <w:rFonts w:ascii="Palatino Linotype" w:hAnsi="Palatino Linotype"/>
                <w:b/>
                <w:bCs/>
                <w:color w:val="000000"/>
                <w:sz w:val="21"/>
                <w:szCs w:val="21"/>
              </w:rPr>
              <w:t>, n (%)</w:t>
            </w:r>
          </w:p>
        </w:tc>
        <w:tc>
          <w:tcPr>
            <w:tcW w:w="2080" w:type="dxa"/>
            <w:tcBorders>
              <w:top w:val="nil"/>
              <w:left w:val="nil"/>
              <w:bottom w:val="nil"/>
              <w:right w:val="nil"/>
            </w:tcBorders>
            <w:noWrap/>
            <w:vAlign w:val="bottom"/>
            <w:hideMark/>
          </w:tcPr>
          <w:p w14:paraId="7D983E6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Positive</w:t>
            </w:r>
          </w:p>
        </w:tc>
        <w:tc>
          <w:tcPr>
            <w:tcW w:w="1300" w:type="dxa"/>
            <w:tcBorders>
              <w:top w:val="nil"/>
              <w:left w:val="nil"/>
              <w:bottom w:val="nil"/>
              <w:right w:val="nil"/>
            </w:tcBorders>
            <w:noWrap/>
            <w:vAlign w:val="bottom"/>
            <w:hideMark/>
          </w:tcPr>
          <w:p w14:paraId="549E0C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(38.5)</w:t>
            </w:r>
          </w:p>
        </w:tc>
        <w:tc>
          <w:tcPr>
            <w:tcW w:w="1340" w:type="dxa"/>
            <w:tcBorders>
              <w:top w:val="nil"/>
              <w:left w:val="nil"/>
              <w:bottom w:val="nil"/>
              <w:right w:val="nil"/>
            </w:tcBorders>
            <w:noWrap/>
            <w:vAlign w:val="bottom"/>
            <w:hideMark/>
          </w:tcPr>
          <w:p w14:paraId="4E6457F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(50.0)</w:t>
            </w:r>
          </w:p>
        </w:tc>
        <w:tc>
          <w:tcPr>
            <w:tcW w:w="1340" w:type="dxa"/>
            <w:tcBorders>
              <w:top w:val="nil"/>
              <w:left w:val="nil"/>
              <w:bottom w:val="nil"/>
              <w:right w:val="nil"/>
            </w:tcBorders>
            <w:noWrap/>
            <w:vAlign w:val="bottom"/>
            <w:hideMark/>
          </w:tcPr>
          <w:p w14:paraId="7A90733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43 (45.7)</w:t>
            </w:r>
          </w:p>
        </w:tc>
        <w:tc>
          <w:tcPr>
            <w:tcW w:w="1280" w:type="dxa"/>
            <w:tcBorders>
              <w:top w:val="nil"/>
              <w:left w:val="nil"/>
              <w:bottom w:val="nil"/>
              <w:right w:val="nil"/>
            </w:tcBorders>
            <w:noWrap/>
            <w:vAlign w:val="bottom"/>
            <w:hideMark/>
          </w:tcPr>
          <w:p w14:paraId="12A07A1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126 (28.2)</w:t>
            </w:r>
          </w:p>
        </w:tc>
        <w:tc>
          <w:tcPr>
            <w:tcW w:w="960" w:type="dxa"/>
            <w:tcBorders>
              <w:top w:val="nil"/>
              <w:left w:val="nil"/>
              <w:bottom w:val="nil"/>
              <w:right w:val="nil"/>
            </w:tcBorders>
            <w:noWrap/>
            <w:vAlign w:val="bottom"/>
            <w:hideMark/>
          </w:tcPr>
          <w:p w14:paraId="31799DD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75188930" w14:textId="77777777" w:rsidTr="00A873D8">
        <w:trPr>
          <w:trHeight w:val="315"/>
        </w:trPr>
        <w:tc>
          <w:tcPr>
            <w:tcW w:w="3780" w:type="dxa"/>
            <w:tcBorders>
              <w:top w:val="nil"/>
              <w:left w:val="nil"/>
              <w:bottom w:val="single" w:sz="4" w:space="0" w:color="auto"/>
              <w:right w:val="nil"/>
            </w:tcBorders>
            <w:noWrap/>
            <w:vAlign w:val="bottom"/>
            <w:hideMark/>
          </w:tcPr>
          <w:p w14:paraId="7E1CFF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972566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Negative</w:t>
            </w:r>
          </w:p>
        </w:tc>
        <w:tc>
          <w:tcPr>
            <w:tcW w:w="1300" w:type="dxa"/>
            <w:tcBorders>
              <w:top w:val="nil"/>
              <w:left w:val="nil"/>
              <w:bottom w:val="single" w:sz="4" w:space="0" w:color="auto"/>
              <w:right w:val="nil"/>
            </w:tcBorders>
            <w:noWrap/>
            <w:vAlign w:val="bottom"/>
            <w:hideMark/>
          </w:tcPr>
          <w:p w14:paraId="726A0A87"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(61.5)</w:t>
            </w:r>
          </w:p>
        </w:tc>
        <w:tc>
          <w:tcPr>
            <w:tcW w:w="1340" w:type="dxa"/>
            <w:tcBorders>
              <w:top w:val="nil"/>
              <w:left w:val="nil"/>
              <w:bottom w:val="single" w:sz="4" w:space="0" w:color="auto"/>
              <w:right w:val="nil"/>
            </w:tcBorders>
            <w:noWrap/>
            <w:vAlign w:val="bottom"/>
            <w:hideMark/>
          </w:tcPr>
          <w:p w14:paraId="6922DE11"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7 (50.0)</w:t>
            </w:r>
          </w:p>
        </w:tc>
        <w:tc>
          <w:tcPr>
            <w:tcW w:w="1340" w:type="dxa"/>
            <w:tcBorders>
              <w:top w:val="nil"/>
              <w:left w:val="nil"/>
              <w:bottom w:val="single" w:sz="4" w:space="0" w:color="auto"/>
              <w:right w:val="nil"/>
            </w:tcBorders>
            <w:noWrap/>
            <w:vAlign w:val="bottom"/>
            <w:hideMark/>
          </w:tcPr>
          <w:p w14:paraId="79AE2A2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51 (54.3)</w:t>
            </w:r>
          </w:p>
        </w:tc>
        <w:tc>
          <w:tcPr>
            <w:tcW w:w="1280" w:type="dxa"/>
            <w:tcBorders>
              <w:top w:val="nil"/>
              <w:left w:val="nil"/>
              <w:bottom w:val="single" w:sz="4" w:space="0" w:color="auto"/>
              <w:right w:val="nil"/>
            </w:tcBorders>
            <w:noWrap/>
            <w:vAlign w:val="bottom"/>
            <w:hideMark/>
          </w:tcPr>
          <w:p w14:paraId="29935323"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321 (71.8)</w:t>
            </w:r>
          </w:p>
        </w:tc>
        <w:tc>
          <w:tcPr>
            <w:tcW w:w="960" w:type="dxa"/>
            <w:tcBorders>
              <w:top w:val="nil"/>
              <w:left w:val="nil"/>
              <w:bottom w:val="single" w:sz="4" w:space="0" w:color="auto"/>
              <w:right w:val="nil"/>
            </w:tcBorders>
            <w:noWrap/>
            <w:vAlign w:val="bottom"/>
            <w:hideMark/>
          </w:tcPr>
          <w:p w14:paraId="13E9381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1918DA0" w14:textId="77777777" w:rsidTr="00A873D8">
        <w:trPr>
          <w:trHeight w:val="315"/>
        </w:trPr>
        <w:tc>
          <w:tcPr>
            <w:tcW w:w="3780" w:type="dxa"/>
            <w:tcBorders>
              <w:top w:val="nil"/>
              <w:left w:val="nil"/>
              <w:bottom w:val="nil"/>
              <w:right w:val="nil"/>
            </w:tcBorders>
            <w:noWrap/>
            <w:vAlign w:val="bottom"/>
            <w:hideMark/>
          </w:tcPr>
          <w:p w14:paraId="4953EC4D"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systemic therapy, n (%)</w:t>
            </w:r>
          </w:p>
        </w:tc>
        <w:tc>
          <w:tcPr>
            <w:tcW w:w="2080" w:type="dxa"/>
            <w:tcBorders>
              <w:top w:val="nil"/>
              <w:left w:val="nil"/>
              <w:bottom w:val="nil"/>
              <w:right w:val="nil"/>
            </w:tcBorders>
            <w:noWrap/>
            <w:vAlign w:val="bottom"/>
            <w:hideMark/>
          </w:tcPr>
          <w:p w14:paraId="339D152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2C42129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(35.3)</w:t>
            </w:r>
          </w:p>
        </w:tc>
        <w:tc>
          <w:tcPr>
            <w:tcW w:w="1340" w:type="dxa"/>
            <w:tcBorders>
              <w:top w:val="nil"/>
              <w:left w:val="nil"/>
              <w:bottom w:val="nil"/>
              <w:right w:val="nil"/>
            </w:tcBorders>
            <w:noWrap/>
            <w:vAlign w:val="bottom"/>
            <w:hideMark/>
          </w:tcPr>
          <w:p w14:paraId="7DD05AB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12 (48.0)</w:t>
            </w:r>
          </w:p>
        </w:tc>
        <w:tc>
          <w:tcPr>
            <w:tcW w:w="1340" w:type="dxa"/>
            <w:tcBorders>
              <w:top w:val="nil"/>
              <w:left w:val="nil"/>
              <w:bottom w:val="nil"/>
              <w:right w:val="nil"/>
            </w:tcBorders>
            <w:noWrap/>
            <w:vAlign w:val="bottom"/>
            <w:hideMark/>
          </w:tcPr>
          <w:p w14:paraId="3D34DDD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63 (42.3)</w:t>
            </w:r>
          </w:p>
        </w:tc>
        <w:tc>
          <w:tcPr>
            <w:tcW w:w="1280" w:type="dxa"/>
            <w:tcBorders>
              <w:top w:val="nil"/>
              <w:left w:val="nil"/>
              <w:bottom w:val="nil"/>
              <w:right w:val="nil"/>
            </w:tcBorders>
            <w:noWrap/>
            <w:vAlign w:val="bottom"/>
            <w:hideMark/>
          </w:tcPr>
          <w:p w14:paraId="3030811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274 (42.7)</w:t>
            </w:r>
          </w:p>
        </w:tc>
        <w:tc>
          <w:tcPr>
            <w:tcW w:w="960" w:type="dxa"/>
            <w:tcBorders>
              <w:top w:val="nil"/>
              <w:left w:val="nil"/>
              <w:bottom w:val="nil"/>
              <w:right w:val="nil"/>
            </w:tcBorders>
            <w:noWrap/>
            <w:vAlign w:val="bottom"/>
            <w:hideMark/>
          </w:tcPr>
          <w:p w14:paraId="4FD60BD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0.88</w:t>
            </w:r>
          </w:p>
        </w:tc>
      </w:tr>
      <w:tr w:rsidR="00892A74" w14:paraId="41FCC481" w14:textId="77777777" w:rsidTr="00A873D8">
        <w:trPr>
          <w:trHeight w:val="315"/>
        </w:trPr>
        <w:tc>
          <w:tcPr>
            <w:tcW w:w="3780" w:type="dxa"/>
            <w:tcBorders>
              <w:top w:val="nil"/>
              <w:left w:val="nil"/>
              <w:bottom w:val="single" w:sz="4" w:space="0" w:color="auto"/>
              <w:right w:val="nil"/>
            </w:tcBorders>
            <w:noWrap/>
            <w:vAlign w:val="bottom"/>
            <w:hideMark/>
          </w:tcPr>
          <w:p w14:paraId="27F30E64"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327BCEF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52BEF1B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11 (64.7)</w:t>
            </w:r>
          </w:p>
        </w:tc>
        <w:tc>
          <w:tcPr>
            <w:tcW w:w="1340" w:type="dxa"/>
            <w:tcBorders>
              <w:top w:val="nil"/>
              <w:left w:val="nil"/>
              <w:bottom w:val="single" w:sz="4" w:space="0" w:color="auto"/>
              <w:right w:val="nil"/>
            </w:tcBorders>
            <w:noWrap/>
            <w:vAlign w:val="bottom"/>
            <w:hideMark/>
          </w:tcPr>
          <w:p w14:paraId="024C68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(52.0)</w:t>
            </w:r>
          </w:p>
        </w:tc>
        <w:tc>
          <w:tcPr>
            <w:tcW w:w="1340" w:type="dxa"/>
            <w:tcBorders>
              <w:top w:val="nil"/>
              <w:left w:val="nil"/>
              <w:bottom w:val="single" w:sz="4" w:space="0" w:color="auto"/>
              <w:right w:val="nil"/>
            </w:tcBorders>
            <w:noWrap/>
            <w:vAlign w:val="bottom"/>
            <w:hideMark/>
          </w:tcPr>
          <w:p w14:paraId="4849415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86 (57.7)</w:t>
            </w:r>
          </w:p>
        </w:tc>
        <w:tc>
          <w:tcPr>
            <w:tcW w:w="1280" w:type="dxa"/>
            <w:tcBorders>
              <w:top w:val="nil"/>
              <w:left w:val="nil"/>
              <w:bottom w:val="single" w:sz="4" w:space="0" w:color="auto"/>
              <w:right w:val="nil"/>
            </w:tcBorders>
            <w:noWrap/>
            <w:vAlign w:val="bottom"/>
            <w:hideMark/>
          </w:tcPr>
          <w:p w14:paraId="3D5D50E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368 (57.3)</w:t>
            </w:r>
          </w:p>
        </w:tc>
        <w:tc>
          <w:tcPr>
            <w:tcW w:w="960" w:type="dxa"/>
            <w:tcBorders>
              <w:top w:val="nil"/>
              <w:left w:val="nil"/>
              <w:bottom w:val="single" w:sz="4" w:space="0" w:color="auto"/>
              <w:right w:val="nil"/>
            </w:tcBorders>
            <w:noWrap/>
            <w:vAlign w:val="bottom"/>
            <w:hideMark/>
          </w:tcPr>
          <w:p w14:paraId="3FF5564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17C7A4A2" w14:textId="77777777" w:rsidTr="00A873D8">
        <w:trPr>
          <w:trHeight w:val="315"/>
        </w:trPr>
        <w:tc>
          <w:tcPr>
            <w:tcW w:w="3780" w:type="dxa"/>
            <w:tcBorders>
              <w:top w:val="nil"/>
              <w:left w:val="nil"/>
              <w:bottom w:val="nil"/>
              <w:right w:val="nil"/>
            </w:tcBorders>
            <w:noWrap/>
            <w:vAlign w:val="center"/>
            <w:hideMark/>
          </w:tcPr>
          <w:p w14:paraId="190B5E5C"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endocrine therapy, n (%)</w:t>
            </w:r>
          </w:p>
        </w:tc>
        <w:tc>
          <w:tcPr>
            <w:tcW w:w="2080" w:type="dxa"/>
            <w:tcBorders>
              <w:top w:val="nil"/>
              <w:left w:val="nil"/>
              <w:bottom w:val="nil"/>
              <w:right w:val="nil"/>
            </w:tcBorders>
            <w:noWrap/>
            <w:vAlign w:val="bottom"/>
            <w:hideMark/>
          </w:tcPr>
          <w:p w14:paraId="642FAC9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13FBF28C"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9 (52.9)</w:t>
            </w:r>
          </w:p>
        </w:tc>
        <w:tc>
          <w:tcPr>
            <w:tcW w:w="1340" w:type="dxa"/>
            <w:tcBorders>
              <w:top w:val="nil"/>
              <w:left w:val="nil"/>
              <w:bottom w:val="nil"/>
              <w:right w:val="nil"/>
            </w:tcBorders>
            <w:noWrap/>
            <w:vAlign w:val="bottom"/>
            <w:hideMark/>
          </w:tcPr>
          <w:p w14:paraId="43949D5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20 (80.0)</w:t>
            </w:r>
          </w:p>
        </w:tc>
        <w:tc>
          <w:tcPr>
            <w:tcW w:w="1340" w:type="dxa"/>
            <w:tcBorders>
              <w:top w:val="nil"/>
              <w:left w:val="nil"/>
              <w:bottom w:val="nil"/>
              <w:right w:val="nil"/>
            </w:tcBorders>
            <w:noWrap/>
            <w:vAlign w:val="bottom"/>
            <w:hideMark/>
          </w:tcPr>
          <w:p w14:paraId="3765844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108 (72.5)</w:t>
            </w:r>
          </w:p>
        </w:tc>
        <w:tc>
          <w:tcPr>
            <w:tcW w:w="1280" w:type="dxa"/>
            <w:tcBorders>
              <w:top w:val="nil"/>
              <w:left w:val="nil"/>
              <w:bottom w:val="nil"/>
              <w:right w:val="nil"/>
            </w:tcBorders>
            <w:noWrap/>
            <w:vAlign w:val="bottom"/>
            <w:hideMark/>
          </w:tcPr>
          <w:p w14:paraId="4C8F5D12"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538 (83.8)</w:t>
            </w:r>
          </w:p>
        </w:tc>
        <w:tc>
          <w:tcPr>
            <w:tcW w:w="960" w:type="dxa"/>
            <w:tcBorders>
              <w:top w:val="nil"/>
              <w:left w:val="nil"/>
              <w:bottom w:val="nil"/>
              <w:right w:val="nil"/>
            </w:tcBorders>
            <w:noWrap/>
            <w:vAlign w:val="bottom"/>
            <w:hideMark/>
          </w:tcPr>
          <w:p w14:paraId="32F262D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749A629C" w14:textId="77777777" w:rsidTr="00A873D8">
        <w:trPr>
          <w:trHeight w:val="315"/>
        </w:trPr>
        <w:tc>
          <w:tcPr>
            <w:tcW w:w="3780" w:type="dxa"/>
            <w:tcBorders>
              <w:top w:val="nil"/>
              <w:left w:val="nil"/>
              <w:bottom w:val="single" w:sz="4" w:space="0" w:color="auto"/>
              <w:right w:val="nil"/>
            </w:tcBorders>
            <w:noWrap/>
            <w:vAlign w:val="bottom"/>
            <w:hideMark/>
          </w:tcPr>
          <w:p w14:paraId="6103A75A"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643812FE"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563D784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8 (47.1)</w:t>
            </w:r>
          </w:p>
        </w:tc>
        <w:tc>
          <w:tcPr>
            <w:tcW w:w="1340" w:type="dxa"/>
            <w:tcBorders>
              <w:top w:val="nil"/>
              <w:left w:val="nil"/>
              <w:bottom w:val="single" w:sz="4" w:space="0" w:color="auto"/>
              <w:right w:val="nil"/>
            </w:tcBorders>
            <w:noWrap/>
            <w:vAlign w:val="bottom"/>
            <w:hideMark/>
          </w:tcPr>
          <w:p w14:paraId="0F3D46F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 (20.0)</w:t>
            </w:r>
          </w:p>
        </w:tc>
        <w:tc>
          <w:tcPr>
            <w:tcW w:w="1340" w:type="dxa"/>
            <w:tcBorders>
              <w:top w:val="nil"/>
              <w:left w:val="nil"/>
              <w:bottom w:val="single" w:sz="4" w:space="0" w:color="auto"/>
              <w:right w:val="nil"/>
            </w:tcBorders>
            <w:noWrap/>
            <w:vAlign w:val="bottom"/>
            <w:hideMark/>
          </w:tcPr>
          <w:p w14:paraId="3CD84A8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41 (27.5)</w:t>
            </w:r>
          </w:p>
        </w:tc>
        <w:tc>
          <w:tcPr>
            <w:tcW w:w="1280" w:type="dxa"/>
            <w:tcBorders>
              <w:top w:val="nil"/>
              <w:left w:val="nil"/>
              <w:bottom w:val="single" w:sz="4" w:space="0" w:color="auto"/>
              <w:right w:val="nil"/>
            </w:tcBorders>
            <w:noWrap/>
            <w:vAlign w:val="bottom"/>
            <w:hideMark/>
          </w:tcPr>
          <w:p w14:paraId="50AFB385"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104 (16.2)</w:t>
            </w:r>
          </w:p>
        </w:tc>
        <w:tc>
          <w:tcPr>
            <w:tcW w:w="960" w:type="dxa"/>
            <w:tcBorders>
              <w:top w:val="nil"/>
              <w:left w:val="nil"/>
              <w:bottom w:val="single" w:sz="4" w:space="0" w:color="auto"/>
              <w:right w:val="nil"/>
            </w:tcBorders>
            <w:noWrap/>
            <w:vAlign w:val="bottom"/>
            <w:hideMark/>
          </w:tcPr>
          <w:p w14:paraId="7F86E20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14:paraId="669F716A" w14:textId="77777777" w:rsidTr="00A873D8">
        <w:trPr>
          <w:trHeight w:val="315"/>
        </w:trPr>
        <w:tc>
          <w:tcPr>
            <w:tcW w:w="3780" w:type="dxa"/>
            <w:tcBorders>
              <w:top w:val="nil"/>
              <w:left w:val="nil"/>
              <w:bottom w:val="nil"/>
              <w:right w:val="nil"/>
            </w:tcBorders>
            <w:noWrap/>
            <w:vAlign w:val="bottom"/>
            <w:hideMark/>
          </w:tcPr>
          <w:p w14:paraId="61C5F7BA" w14:textId="77777777" w:rsidR="00892A74" w:rsidRDefault="00892A74" w:rsidP="00A873D8">
            <w:pPr>
              <w:rPr>
                <w:rFonts w:ascii="Palatino Linotype" w:hAnsi="Palatino Linotype"/>
                <w:b/>
                <w:bCs/>
                <w:color w:val="000000"/>
                <w:sz w:val="21"/>
                <w:szCs w:val="21"/>
              </w:rPr>
            </w:pPr>
            <w:r>
              <w:rPr>
                <w:rFonts w:ascii="Palatino Linotype" w:hAnsi="Palatino Linotype"/>
                <w:b/>
                <w:bCs/>
                <w:color w:val="000000"/>
                <w:sz w:val="21"/>
                <w:szCs w:val="21"/>
                <w:lang w:val="es-MX"/>
              </w:rPr>
              <w:t>Adjuvant radiotherapy, n (%)</w:t>
            </w:r>
          </w:p>
        </w:tc>
        <w:tc>
          <w:tcPr>
            <w:tcW w:w="2080" w:type="dxa"/>
            <w:tcBorders>
              <w:top w:val="nil"/>
              <w:left w:val="nil"/>
              <w:bottom w:val="nil"/>
              <w:right w:val="nil"/>
            </w:tcBorders>
            <w:noWrap/>
            <w:vAlign w:val="bottom"/>
            <w:hideMark/>
          </w:tcPr>
          <w:p w14:paraId="02BD7A8F"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Yes</w:t>
            </w:r>
          </w:p>
        </w:tc>
        <w:tc>
          <w:tcPr>
            <w:tcW w:w="1300" w:type="dxa"/>
            <w:tcBorders>
              <w:top w:val="nil"/>
              <w:left w:val="nil"/>
              <w:bottom w:val="nil"/>
              <w:right w:val="nil"/>
            </w:tcBorders>
            <w:noWrap/>
            <w:vAlign w:val="bottom"/>
            <w:hideMark/>
          </w:tcPr>
          <w:p w14:paraId="3A13673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 (76.5)</w:t>
            </w:r>
          </w:p>
        </w:tc>
        <w:tc>
          <w:tcPr>
            <w:tcW w:w="1340" w:type="dxa"/>
            <w:tcBorders>
              <w:top w:val="nil"/>
              <w:left w:val="nil"/>
              <w:bottom w:val="nil"/>
              <w:right w:val="nil"/>
            </w:tcBorders>
            <w:noWrap/>
            <w:vAlign w:val="bottom"/>
            <w:hideMark/>
          </w:tcPr>
          <w:p w14:paraId="156B635B"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19 (76.0)</w:t>
            </w:r>
          </w:p>
        </w:tc>
        <w:tc>
          <w:tcPr>
            <w:tcW w:w="1340" w:type="dxa"/>
            <w:tcBorders>
              <w:top w:val="nil"/>
              <w:left w:val="nil"/>
              <w:bottom w:val="nil"/>
              <w:right w:val="nil"/>
            </w:tcBorders>
            <w:noWrap/>
            <w:vAlign w:val="bottom"/>
            <w:hideMark/>
          </w:tcPr>
          <w:p w14:paraId="53CF514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133 (89.3)</w:t>
            </w:r>
          </w:p>
        </w:tc>
        <w:tc>
          <w:tcPr>
            <w:tcW w:w="1280" w:type="dxa"/>
            <w:tcBorders>
              <w:top w:val="nil"/>
              <w:left w:val="nil"/>
              <w:bottom w:val="nil"/>
              <w:right w:val="nil"/>
            </w:tcBorders>
            <w:noWrap/>
            <w:vAlign w:val="bottom"/>
            <w:hideMark/>
          </w:tcPr>
          <w:p w14:paraId="536E0B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594 (92.5)</w:t>
            </w:r>
          </w:p>
        </w:tc>
        <w:tc>
          <w:tcPr>
            <w:tcW w:w="960" w:type="dxa"/>
            <w:tcBorders>
              <w:top w:val="nil"/>
              <w:left w:val="nil"/>
              <w:bottom w:val="nil"/>
              <w:right w:val="nil"/>
            </w:tcBorders>
            <w:noWrap/>
            <w:vAlign w:val="bottom"/>
            <w:hideMark/>
          </w:tcPr>
          <w:p w14:paraId="3FCE40F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&lt;0.01</w:t>
            </w:r>
          </w:p>
        </w:tc>
      </w:tr>
      <w:tr w:rsidR="00892A74" w14:paraId="2CE20504" w14:textId="77777777" w:rsidTr="00A873D8">
        <w:trPr>
          <w:trHeight w:val="315"/>
        </w:trPr>
        <w:tc>
          <w:tcPr>
            <w:tcW w:w="3780" w:type="dxa"/>
            <w:tcBorders>
              <w:top w:val="nil"/>
              <w:left w:val="nil"/>
              <w:bottom w:val="single" w:sz="4" w:space="0" w:color="auto"/>
              <w:right w:val="nil"/>
            </w:tcBorders>
            <w:noWrap/>
            <w:vAlign w:val="bottom"/>
            <w:hideMark/>
          </w:tcPr>
          <w:p w14:paraId="0DCECB00"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c>
          <w:tcPr>
            <w:tcW w:w="2080" w:type="dxa"/>
            <w:tcBorders>
              <w:top w:val="nil"/>
              <w:left w:val="nil"/>
              <w:bottom w:val="single" w:sz="4" w:space="0" w:color="auto"/>
              <w:right w:val="nil"/>
            </w:tcBorders>
            <w:noWrap/>
            <w:vAlign w:val="bottom"/>
            <w:hideMark/>
          </w:tcPr>
          <w:p w14:paraId="514E6A2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No</w:t>
            </w:r>
          </w:p>
        </w:tc>
        <w:tc>
          <w:tcPr>
            <w:tcW w:w="1300" w:type="dxa"/>
            <w:tcBorders>
              <w:top w:val="nil"/>
              <w:left w:val="nil"/>
              <w:bottom w:val="single" w:sz="4" w:space="0" w:color="auto"/>
              <w:right w:val="nil"/>
            </w:tcBorders>
            <w:noWrap/>
            <w:vAlign w:val="bottom"/>
            <w:hideMark/>
          </w:tcPr>
          <w:p w14:paraId="484B725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 (23.5)</w:t>
            </w:r>
          </w:p>
        </w:tc>
        <w:tc>
          <w:tcPr>
            <w:tcW w:w="1340" w:type="dxa"/>
            <w:tcBorders>
              <w:top w:val="nil"/>
              <w:left w:val="nil"/>
              <w:bottom w:val="single" w:sz="4" w:space="0" w:color="auto"/>
              <w:right w:val="nil"/>
            </w:tcBorders>
            <w:noWrap/>
            <w:vAlign w:val="bottom"/>
            <w:hideMark/>
          </w:tcPr>
          <w:p w14:paraId="116E96CD"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6 (24.0)</w:t>
            </w:r>
          </w:p>
        </w:tc>
        <w:tc>
          <w:tcPr>
            <w:tcW w:w="1340" w:type="dxa"/>
            <w:tcBorders>
              <w:top w:val="nil"/>
              <w:left w:val="nil"/>
              <w:bottom w:val="single" w:sz="4" w:space="0" w:color="auto"/>
              <w:right w:val="nil"/>
            </w:tcBorders>
            <w:noWrap/>
            <w:vAlign w:val="bottom"/>
            <w:hideMark/>
          </w:tcPr>
          <w:p w14:paraId="5A9C0179"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16 (10.7)</w:t>
            </w:r>
          </w:p>
        </w:tc>
        <w:tc>
          <w:tcPr>
            <w:tcW w:w="1280" w:type="dxa"/>
            <w:tcBorders>
              <w:top w:val="nil"/>
              <w:left w:val="nil"/>
              <w:bottom w:val="single" w:sz="4" w:space="0" w:color="auto"/>
              <w:right w:val="nil"/>
            </w:tcBorders>
            <w:noWrap/>
            <w:vAlign w:val="bottom"/>
            <w:hideMark/>
          </w:tcPr>
          <w:p w14:paraId="2DF17858"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48 (7.50)</w:t>
            </w:r>
          </w:p>
        </w:tc>
        <w:tc>
          <w:tcPr>
            <w:tcW w:w="960" w:type="dxa"/>
            <w:tcBorders>
              <w:top w:val="nil"/>
              <w:left w:val="nil"/>
              <w:bottom w:val="single" w:sz="4" w:space="0" w:color="auto"/>
              <w:right w:val="nil"/>
            </w:tcBorders>
            <w:noWrap/>
            <w:vAlign w:val="bottom"/>
            <w:hideMark/>
          </w:tcPr>
          <w:p w14:paraId="23A28556" w14:textId="77777777" w:rsidR="00892A74" w:rsidRDefault="00892A74" w:rsidP="00A873D8">
            <w:pPr>
              <w:rPr>
                <w:rFonts w:ascii="Palatino Linotype" w:hAnsi="Palatino Linotype"/>
                <w:color w:val="000000"/>
                <w:sz w:val="21"/>
                <w:szCs w:val="21"/>
              </w:rPr>
            </w:pPr>
            <w:r>
              <w:rPr>
                <w:rFonts w:ascii="Palatino Linotype" w:hAnsi="Palatino Linotype"/>
                <w:color w:val="000000"/>
                <w:sz w:val="21"/>
                <w:szCs w:val="21"/>
              </w:rPr>
              <w:t> </w:t>
            </w:r>
          </w:p>
        </w:tc>
      </w:tr>
      <w:tr w:rsidR="00892A74" w:rsidRPr="00046216" w14:paraId="5BA67531" w14:textId="77777777" w:rsidTr="00A873D8">
        <w:trPr>
          <w:trHeight w:val="315"/>
        </w:trPr>
        <w:tc>
          <w:tcPr>
            <w:tcW w:w="12080" w:type="dxa"/>
            <w:gridSpan w:val="7"/>
            <w:tcBorders>
              <w:top w:val="nil"/>
              <w:left w:val="nil"/>
              <w:bottom w:val="nil"/>
              <w:right w:val="nil"/>
            </w:tcBorders>
            <w:noWrap/>
            <w:vAlign w:val="bottom"/>
            <w:hideMark/>
          </w:tcPr>
          <w:p w14:paraId="75E73CF2" w14:textId="77777777" w:rsidR="00892A74" w:rsidRPr="00046216" w:rsidRDefault="00892A74" w:rsidP="00A873D8">
            <w:pPr>
              <w:rPr>
                <w:rFonts w:ascii="Palatino Linotype" w:hAnsi="Palatino Linotype"/>
                <w:sz w:val="17"/>
                <w:szCs w:val="17"/>
                <w:lang w:val="en-US"/>
              </w:rPr>
            </w:pPr>
            <w:r w:rsidRPr="00046216">
              <w:rPr>
                <w:rFonts w:ascii="Palatino Linotype" w:hAnsi="Palatino Linotype"/>
                <w:sz w:val="17"/>
                <w:szCs w:val="17"/>
                <w:lang w:val="en-US"/>
              </w:rPr>
              <w:t>†: Fisher-Freeman-Halton asymptotic test; Chi-square test</w:t>
            </w:r>
          </w:p>
          <w:p w14:paraId="431A0F98" w14:textId="77777777" w:rsidR="00892A74" w:rsidRPr="00046216" w:rsidRDefault="00892A74" w:rsidP="00A873D8">
            <w:pPr>
              <w:rPr>
                <w:rFonts w:ascii="Palatino Linotype" w:hAnsi="Palatino Linotype" w:cs="Calibri"/>
                <w:sz w:val="17"/>
                <w:szCs w:val="17"/>
                <w:lang w:val="en-US"/>
              </w:rPr>
            </w:pPr>
            <w:r w:rsidRPr="00046216">
              <w:rPr>
                <w:rFonts w:ascii="Palatino Linotype" w:hAnsi="Palatino Linotype" w:cs="Calibri"/>
                <w:sz w:val="17"/>
                <w:szCs w:val="17"/>
                <w:lang w:val="en-US"/>
              </w:rPr>
              <w:t>§: Missing data in 36.8% of cases (n = 265)</w:t>
            </w:r>
          </w:p>
          <w:p w14:paraId="59D50179" w14:textId="77777777" w:rsidR="00892A74" w:rsidRPr="00046216" w:rsidRDefault="00892A74" w:rsidP="00A873D8">
            <w:pPr>
              <w:rPr>
                <w:sz w:val="20"/>
                <w:szCs w:val="20"/>
                <w:lang w:val="en-US"/>
              </w:rPr>
            </w:pPr>
          </w:p>
        </w:tc>
      </w:tr>
    </w:tbl>
    <w:p w14:paraId="702084C4" w14:textId="78188232" w:rsidR="00F02322" w:rsidRPr="007A1920" w:rsidRDefault="00E73627" w:rsidP="00E73627">
      <w:pPr>
        <w:pStyle w:val="NormalWeb"/>
        <w:rPr>
          <w:rFonts w:ascii="Arial" w:eastAsiaTheme="minorHAnsi" w:hAnsi="Arial" w:cs="Arial"/>
          <w:i/>
          <w:iCs/>
          <w:color w:val="000000"/>
          <w:kern w:val="2"/>
          <w:sz w:val="22"/>
          <w:szCs w:val="22"/>
          <w:shd w:val="clear" w:color="auto" w:fill="FFFFFF"/>
          <w14:ligatures w14:val="standardContextual"/>
        </w:rPr>
      </w:pPr>
      <w:r w:rsidRPr="00E73627">
        <w:rPr>
          <w:rFonts w:ascii="Arial" w:eastAsiaTheme="minorHAnsi" w:hAnsi="Arial" w:cs="Arial"/>
          <w:i/>
          <w:iCs/>
          <w:color w:val="000000"/>
          <w:kern w:val="2"/>
          <w:sz w:val="22"/>
          <w:szCs w:val="22"/>
          <w:shd w:val="clear" w:color="auto" w:fill="FFFFFF"/>
          <w14:ligatures w14:val="standardContextual"/>
        </w:rPr>
        <w:t>3.</w:t>
      </w:r>
      <w:r w:rsidR="00C42EA7">
        <w:rPr>
          <w:rFonts w:ascii="Arial" w:eastAsiaTheme="minorHAnsi" w:hAnsi="Arial" w:cs="Arial"/>
          <w:i/>
          <w:iCs/>
          <w:color w:val="000000"/>
          <w:kern w:val="2"/>
          <w:sz w:val="22"/>
          <w:szCs w:val="22"/>
          <w:shd w:val="clear" w:color="auto" w:fill="FFFFFF"/>
          <w14:ligatures w14:val="standardContextual"/>
        </w:rPr>
        <w:t>7</w:t>
      </w:r>
      <w:r w:rsidRPr="00E73627">
        <w:rPr>
          <w:rFonts w:ascii="Arial" w:eastAsiaTheme="minorHAnsi" w:hAnsi="Arial" w:cs="Arial"/>
          <w:i/>
          <w:iCs/>
          <w:color w:val="000000"/>
          <w:kern w:val="2"/>
          <w:sz w:val="22"/>
          <w:szCs w:val="22"/>
          <w:shd w:val="clear" w:color="auto" w:fill="FFFFFF"/>
          <w14:ligatures w14:val="standardContextual"/>
        </w:rPr>
        <w:t xml:space="preserve"> </w:t>
      </w:r>
      <w:r w:rsidRPr="007A1920">
        <w:rPr>
          <w:rFonts w:ascii="Arial" w:eastAsiaTheme="minorHAnsi" w:hAnsi="Arial" w:cs="Arial"/>
          <w:i/>
          <w:iCs/>
          <w:color w:val="000000"/>
          <w:kern w:val="2"/>
          <w:sz w:val="22"/>
          <w:szCs w:val="22"/>
          <w:shd w:val="clear" w:color="auto" w:fill="FFFFFF"/>
          <w14:ligatures w14:val="standardContextual"/>
        </w:rPr>
        <w:t>Análisis Univariado</w:t>
      </w:r>
    </w:p>
    <w:p w14:paraId="033CF7C4" w14:textId="033FCBD8" w:rsidR="007F6463" w:rsidRPr="007A1920" w:rsidRDefault="00E73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En el análisis univariado (Figura 1-A) mediante regresión logística, se identificaron múltiples factores clínicos, patológicos y terapéuticos asociados de manera significativa con la recaída tumoral en pacientes con cáncer de mama localmente avanzado. Entre las variables con mayor fuerza de asociación se encontraron el estadio clínico avanzado</w:t>
      </w:r>
      <w:r w:rsidR="009C5627" w:rsidRPr="007A1920">
        <w:rPr>
          <w:rFonts w:ascii="Arial" w:eastAsiaTheme="minorHAnsi" w:hAnsi="Arial" w:cs="Arial"/>
          <w:color w:val="000000"/>
          <w:kern w:val="2"/>
          <w:sz w:val="22"/>
          <w:szCs w:val="22"/>
          <w:shd w:val="clear" w:color="auto" w:fill="FFFFFF"/>
          <w14:ligatures w14:val="standardContextual"/>
        </w:rPr>
        <w:t xml:space="preserve"> (p</w:t>
      </w:r>
      <w:r w:rsidR="00B74549" w:rsidRPr="007A1920">
        <w:rPr>
          <w:rFonts w:ascii="Arial" w:eastAsiaTheme="minorHAnsi" w:hAnsi="Arial" w:cs="Arial"/>
          <w:color w:val="000000"/>
          <w:kern w:val="2"/>
          <w:sz w:val="22"/>
          <w:szCs w:val="22"/>
          <w:shd w:val="clear" w:color="auto" w:fill="FFFFFF"/>
          <w14:ligatures w14:val="standardContextual"/>
        </w:rPr>
        <w:t>&lt;0.01</w:t>
      </w:r>
      <w:r w:rsidR="009C5627" w:rsidRPr="007A1920">
        <w:rPr>
          <w:rFonts w:ascii="Arial" w:eastAsiaTheme="minorHAnsi" w:hAnsi="Arial" w:cs="Arial"/>
          <w:color w:val="000000"/>
          <w:kern w:val="2"/>
          <w:sz w:val="22"/>
          <w:szCs w:val="22"/>
          <w:shd w:val="clear" w:color="auto" w:fill="FFFFFF"/>
          <w14:ligatures w14:val="standardContextual"/>
        </w:rPr>
        <w:t>)</w:t>
      </w:r>
      <w:r w:rsidRPr="007A1920">
        <w:rPr>
          <w:rFonts w:ascii="Arial" w:eastAsiaTheme="minorHAnsi" w:hAnsi="Arial" w:cs="Arial"/>
          <w:color w:val="000000"/>
          <w:kern w:val="2"/>
          <w:sz w:val="22"/>
          <w:szCs w:val="22"/>
          <w:shd w:val="clear" w:color="auto" w:fill="FFFFFF"/>
          <w14:ligatures w14:val="standardContextual"/>
        </w:rPr>
        <w:t xml:space="preserve"> el compromiso ganglionar axilar </w:t>
      </w:r>
      <w:r w:rsidR="00B74549"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w:t>
      </w:r>
      <w:r w:rsidR="00B74549" w:rsidRPr="007A1920">
        <w:rPr>
          <w:rFonts w:ascii="Arial" w:eastAsiaTheme="minorHAnsi" w:hAnsi="Arial" w:cs="Arial"/>
          <w:color w:val="000000"/>
          <w:kern w:val="2"/>
          <w:sz w:val="22"/>
          <w:szCs w:val="22"/>
          <w:shd w:val="clear" w:color="auto" w:fill="FFFFFF"/>
          <w14:ligatures w14:val="standardContextual"/>
        </w:rPr>
        <w:t xml:space="preserve">en especial </w:t>
      </w:r>
      <w:r w:rsidRPr="007A1920">
        <w:rPr>
          <w:rFonts w:ascii="Arial" w:eastAsiaTheme="minorHAnsi" w:hAnsi="Arial" w:cs="Arial"/>
          <w:color w:val="000000"/>
          <w:kern w:val="2"/>
          <w:sz w:val="22"/>
          <w:szCs w:val="22"/>
          <w:shd w:val="clear" w:color="auto" w:fill="FFFFFF"/>
          <w14:ligatures w14:val="standardContextual"/>
        </w:rPr>
        <w:t xml:space="preserve">la presencia de más de tres ganglios positivos—, el alto grado histológico y la invasión linfovascular, </w:t>
      </w:r>
      <w:r w:rsidR="00B74549" w:rsidRPr="007A1920">
        <w:rPr>
          <w:rFonts w:ascii="Arial" w:eastAsiaTheme="minorHAnsi" w:hAnsi="Arial" w:cs="Arial"/>
          <w:color w:val="000000"/>
          <w:kern w:val="2"/>
          <w:sz w:val="22"/>
          <w:szCs w:val="22"/>
          <w:shd w:val="clear" w:color="auto" w:fill="FFFFFF"/>
          <w14:ligatures w14:val="standardContextual"/>
        </w:rPr>
        <w:t>(p&lt;0.01)</w:t>
      </w:r>
      <w:r w:rsidR="00C05B95"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Asimismo, los subtipos moleculares de mayor agresividad biológica, particularmente Luminal B</w:t>
      </w:r>
      <w:r w:rsidR="00B74549" w:rsidRPr="007A1920">
        <w:rPr>
          <w:rFonts w:ascii="Arial" w:eastAsiaTheme="minorHAnsi" w:hAnsi="Arial" w:cs="Arial"/>
          <w:color w:val="000000"/>
          <w:kern w:val="2"/>
          <w:sz w:val="22"/>
          <w:szCs w:val="22"/>
          <w:shd w:val="clear" w:color="auto" w:fill="FFFFFF"/>
          <w14:ligatures w14:val="standardContextual"/>
        </w:rPr>
        <w:t xml:space="preserve"> (p&lt;0.01) </w:t>
      </w:r>
      <w:r w:rsidRPr="007A1920">
        <w:rPr>
          <w:rFonts w:ascii="Arial" w:eastAsiaTheme="minorHAnsi" w:hAnsi="Arial" w:cs="Arial"/>
          <w:color w:val="000000"/>
          <w:kern w:val="2"/>
          <w:sz w:val="22"/>
          <w:szCs w:val="22"/>
          <w:shd w:val="clear" w:color="auto" w:fill="FFFFFF"/>
          <w14:ligatures w14:val="standardContextual"/>
        </w:rPr>
        <w:t>y triple negativ</w:t>
      </w:r>
      <w:r w:rsidR="00B74549" w:rsidRPr="007A1920">
        <w:rPr>
          <w:rFonts w:ascii="Arial" w:eastAsiaTheme="minorHAnsi" w:hAnsi="Arial" w:cs="Arial"/>
          <w:color w:val="000000"/>
          <w:kern w:val="2"/>
          <w:sz w:val="22"/>
          <w:szCs w:val="22"/>
          <w:shd w:val="clear" w:color="auto" w:fill="FFFFFF"/>
          <w14:ligatures w14:val="standardContextual"/>
        </w:rPr>
        <w:t>o (p&lt;0.01)</w:t>
      </w:r>
      <w:r w:rsidRPr="007A1920">
        <w:rPr>
          <w:rFonts w:ascii="Arial" w:eastAsiaTheme="minorHAnsi" w:hAnsi="Arial" w:cs="Arial"/>
          <w:color w:val="000000"/>
          <w:kern w:val="2"/>
          <w:sz w:val="22"/>
          <w:szCs w:val="22"/>
          <w:shd w:val="clear" w:color="auto" w:fill="FFFFFF"/>
          <w14:ligatures w14:val="standardContextual"/>
        </w:rPr>
        <w:t xml:space="preserve">, mostraron una asociación significativa con la </w:t>
      </w:r>
      <w:r w:rsidR="00B74549" w:rsidRPr="007A1920">
        <w:rPr>
          <w:rFonts w:ascii="Arial" w:eastAsiaTheme="minorHAnsi" w:hAnsi="Arial" w:cs="Arial"/>
          <w:color w:val="000000"/>
          <w:kern w:val="2"/>
          <w:sz w:val="22"/>
          <w:szCs w:val="22"/>
          <w:shd w:val="clear" w:color="auto" w:fill="FFFFFF"/>
          <w14:ligatures w14:val="standardContextual"/>
        </w:rPr>
        <w:t>recaída</w:t>
      </w:r>
      <w:r w:rsidRPr="007A1920">
        <w:rPr>
          <w:rFonts w:ascii="Arial" w:eastAsiaTheme="minorHAnsi" w:hAnsi="Arial" w:cs="Arial"/>
          <w:color w:val="000000"/>
          <w:kern w:val="2"/>
          <w:sz w:val="22"/>
          <w:szCs w:val="22"/>
          <w:shd w:val="clear" w:color="auto" w:fill="FFFFFF"/>
          <w14:ligatures w14:val="standardContextual"/>
        </w:rPr>
        <w:t xml:space="preserve"> tumoral, en contraste con el subtipo Luminal A, que se comportó como un factor protector.</w:t>
      </w:r>
    </w:p>
    <w:p w14:paraId="4BBFBD30" w14:textId="443514A0" w:rsidR="00E73627" w:rsidRPr="007A1920" w:rsidRDefault="00E73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 xml:space="preserve">Desde el punto de vista terapéutico, </w:t>
      </w:r>
      <w:r w:rsidR="00C05B95" w:rsidRPr="007A1920">
        <w:rPr>
          <w:rFonts w:ascii="Arial" w:eastAsiaTheme="minorHAnsi" w:hAnsi="Arial" w:cs="Arial"/>
          <w:color w:val="000000"/>
          <w:kern w:val="2"/>
          <w:sz w:val="22"/>
          <w:szCs w:val="22"/>
          <w:shd w:val="clear" w:color="auto" w:fill="FFFFFF"/>
          <w14:ligatures w14:val="standardContextual"/>
        </w:rPr>
        <w:t xml:space="preserve">la administracion de </w:t>
      </w:r>
      <w:r w:rsidRPr="007A1920">
        <w:rPr>
          <w:rFonts w:ascii="Arial" w:eastAsiaTheme="minorHAnsi" w:hAnsi="Arial" w:cs="Arial"/>
          <w:color w:val="000000"/>
          <w:kern w:val="2"/>
          <w:sz w:val="22"/>
          <w:szCs w:val="22"/>
          <w:shd w:val="clear" w:color="auto" w:fill="FFFFFF"/>
          <w14:ligatures w14:val="standardContextual"/>
        </w:rPr>
        <w:t>quimioterapia neoadyuvante</w:t>
      </w:r>
      <w:r w:rsidR="007A1920">
        <w:rPr>
          <w:rFonts w:ascii="Arial" w:eastAsiaTheme="minorHAnsi" w:hAnsi="Arial" w:cs="Arial"/>
          <w:color w:val="000000"/>
          <w:kern w:val="2"/>
          <w:sz w:val="22"/>
          <w:szCs w:val="22"/>
          <w:shd w:val="clear" w:color="auto" w:fill="FFFFFF"/>
          <w14:ligatures w14:val="standardContextual"/>
        </w:rPr>
        <w:t xml:space="preserve">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00C05B95" w:rsidRPr="007A1920">
        <w:rPr>
          <w:rFonts w:ascii="Arial" w:eastAsiaTheme="minorHAnsi" w:hAnsi="Arial" w:cs="Arial"/>
          <w:color w:val="000000"/>
          <w:kern w:val="2"/>
          <w:sz w:val="22"/>
          <w:szCs w:val="22"/>
          <w:shd w:val="clear" w:color="auto" w:fill="FFFFFF"/>
          <w14:ligatures w14:val="standardContextual"/>
        </w:rPr>
        <w:t xml:space="preserve"> y la cirugia radical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se asociaron con mayor probabilidad de recaída, reflejando una mayor carga tumoral inicial</w:t>
      </w:r>
      <w:r w:rsidR="00B74549" w:rsidRPr="007A1920">
        <w:rPr>
          <w:rFonts w:ascii="Arial" w:eastAsiaTheme="minorHAnsi" w:hAnsi="Arial" w:cs="Arial"/>
          <w:color w:val="000000"/>
          <w:kern w:val="2"/>
          <w:sz w:val="22"/>
          <w:szCs w:val="22"/>
          <w:shd w:val="clear" w:color="auto" w:fill="FFFFFF"/>
          <w14:ligatures w14:val="standardContextual"/>
        </w:rPr>
        <w:t xml:space="preserve"> y el estadio avanzado.</w:t>
      </w:r>
      <w:r w:rsidRPr="007A1920">
        <w:rPr>
          <w:rFonts w:ascii="Arial" w:eastAsiaTheme="minorHAnsi" w:hAnsi="Arial" w:cs="Arial"/>
          <w:color w:val="000000"/>
          <w:kern w:val="2"/>
          <w:sz w:val="22"/>
          <w:szCs w:val="22"/>
          <w:shd w:val="clear" w:color="auto" w:fill="FFFFFF"/>
          <w14:ligatures w14:val="standardContextual"/>
        </w:rPr>
        <w:t xml:space="preserve"> Por el contrario, la administración de terapia endocrina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 xml:space="preserve">y radioterapia adyuvante </w:t>
      </w:r>
      <w:r w:rsidR="007A1920" w:rsidRPr="007A1920">
        <w:rPr>
          <w:rFonts w:ascii="Arial" w:eastAsiaTheme="minorHAnsi" w:hAnsi="Arial" w:cs="Arial"/>
          <w:color w:val="000000"/>
          <w:kern w:val="2"/>
          <w:sz w:val="22"/>
          <w:szCs w:val="22"/>
          <w:shd w:val="clear" w:color="auto" w:fill="FFFFFF"/>
          <w14:ligatures w14:val="standardContextual"/>
        </w:rPr>
        <w:t xml:space="preserve">(p&lt;0.01) </w:t>
      </w:r>
      <w:r w:rsidRPr="007A1920">
        <w:rPr>
          <w:rFonts w:ascii="Arial" w:eastAsiaTheme="minorHAnsi" w:hAnsi="Arial" w:cs="Arial"/>
          <w:color w:val="000000"/>
          <w:kern w:val="2"/>
          <w:sz w:val="22"/>
          <w:szCs w:val="22"/>
          <w:shd w:val="clear" w:color="auto" w:fill="FFFFFF"/>
          <w14:ligatures w14:val="standardContextual"/>
        </w:rPr>
        <w:t xml:space="preserve">se asociaron con una reducción significativa del riesgo de recaída. En conjunto, estos hallazgos confirman que los factores clásicos de agresividad tumoral y extensión de la enfermedad mantienen un impacto pronóstico significativo en el análisis univariado, respaldando su inclusión en modelos multivariados para la identificación de predictores independientes de recaída. </w:t>
      </w:r>
    </w:p>
    <w:p w14:paraId="7CAA9E5D" w14:textId="7DFBAB54" w:rsidR="00622066" w:rsidRPr="007A1920" w:rsidRDefault="009C5627" w:rsidP="00622066">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Por otro lado, la invasión linfovascular solo se reportó en el 73,2% (n=</w:t>
      </w:r>
      <w:r w:rsidR="00797A38" w:rsidRPr="007A1920">
        <w:rPr>
          <w:rFonts w:ascii="Arial" w:eastAsiaTheme="minorHAnsi" w:hAnsi="Arial" w:cs="Arial"/>
          <w:color w:val="000000"/>
          <w:kern w:val="2"/>
          <w:sz w:val="22"/>
          <w:szCs w:val="22"/>
          <w:shd w:val="clear" w:color="auto" w:fill="FFFFFF"/>
          <w14:ligatures w14:val="standardContextual"/>
        </w:rPr>
        <w:t>609</w:t>
      </w:r>
      <w:r w:rsidRPr="007A1920">
        <w:rPr>
          <w:rFonts w:ascii="Arial" w:eastAsiaTheme="minorHAnsi" w:hAnsi="Arial" w:cs="Arial"/>
          <w:color w:val="000000"/>
          <w:kern w:val="2"/>
          <w:sz w:val="22"/>
          <w:szCs w:val="22"/>
          <w:shd w:val="clear" w:color="auto" w:fill="FFFFFF"/>
          <w14:ligatures w14:val="standardContextual"/>
        </w:rPr>
        <w:t xml:space="preserve">) de los casos incluídos.  </w:t>
      </w:r>
      <w:r w:rsidR="00622066" w:rsidRPr="007A1920">
        <w:rPr>
          <w:rFonts w:ascii="Arial" w:eastAsiaTheme="minorHAnsi" w:hAnsi="Arial" w:cs="Arial"/>
          <w:color w:val="000000"/>
          <w:kern w:val="2"/>
          <w:sz w:val="22"/>
          <w:szCs w:val="22"/>
          <w:shd w:val="clear" w:color="auto" w:fill="FFFFFF"/>
          <w14:ligatures w14:val="standardContextual"/>
        </w:rPr>
        <w:t>Aunque no fue posible realizar un análisis ajustado debido a la alta proporción de datos ausentes, el análisis univariado mostró que la presencia de invasión linfovascular se asocia de manera estadísticamente significativa con un mayor riesgo de recaída (OR = 2.12, IC 95%: [1.40; 3.21], p-valor &lt; 0.01).</w:t>
      </w:r>
    </w:p>
    <w:p w14:paraId="11DD96F4" w14:textId="3030DF98" w:rsidR="007F6463" w:rsidRPr="007A1920" w:rsidRDefault="00C05B95"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lastRenderedPageBreak/>
        <w:t xml:space="preserve">No se logro realizar analisis univariado del RCB porque en el </w:t>
      </w:r>
      <w:r w:rsidR="007F6463" w:rsidRPr="007A1920">
        <w:rPr>
          <w:rFonts w:ascii="Arial" w:eastAsiaTheme="minorHAnsi" w:hAnsi="Arial" w:cs="Arial"/>
          <w:color w:val="000000"/>
          <w:kern w:val="2"/>
          <w:sz w:val="22"/>
          <w:szCs w:val="22"/>
          <w:shd w:val="clear" w:color="auto" w:fill="FFFFFF"/>
          <w14:ligatures w14:val="standardContextual"/>
        </w:rPr>
        <w:t>42.4% (n=203)</w:t>
      </w:r>
      <w:r w:rsidRPr="007A1920">
        <w:rPr>
          <w:rFonts w:ascii="Arial" w:eastAsiaTheme="minorHAnsi" w:hAnsi="Arial" w:cs="Arial"/>
          <w:color w:val="000000"/>
          <w:kern w:val="2"/>
          <w:sz w:val="22"/>
          <w:szCs w:val="22"/>
          <w:shd w:val="clear" w:color="auto" w:fill="FFFFFF"/>
          <w14:ligatures w14:val="standardContextual"/>
        </w:rPr>
        <w:t xml:space="preserve"> de las pacientes no estaba reportado para el tiempo del estudio.</w:t>
      </w:r>
      <w:r w:rsidR="007F6463"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 </w:t>
      </w:r>
      <w:r w:rsidR="009C5627" w:rsidRPr="007A1920">
        <w:rPr>
          <w:rFonts w:ascii="Arial" w:eastAsiaTheme="minorHAnsi" w:hAnsi="Arial" w:cs="Arial"/>
          <w:color w:val="000000"/>
          <w:kern w:val="2"/>
          <w:sz w:val="22"/>
          <w:szCs w:val="22"/>
          <w:shd w:val="clear" w:color="auto" w:fill="FFFFFF"/>
          <w14:ligatures w14:val="standardContextual"/>
        </w:rPr>
        <w:t>E</w:t>
      </w:r>
      <w:r w:rsidR="007F6463" w:rsidRPr="007A1920">
        <w:rPr>
          <w:rFonts w:ascii="Arial" w:eastAsiaTheme="minorHAnsi" w:hAnsi="Arial" w:cs="Arial"/>
          <w:color w:val="000000"/>
          <w:kern w:val="2"/>
          <w:sz w:val="22"/>
          <w:szCs w:val="22"/>
          <w:shd w:val="clear" w:color="auto" w:fill="FFFFFF"/>
          <w14:ligatures w14:val="standardContextual"/>
        </w:rPr>
        <w:t xml:space="preserve">l análisis descriptivo mostró que entre las pacientes con respuesta patológica completa (pCR, n=95), el 9.47% (n=9) presentó recaída (2 locales y 6 a distancia). En las pacientes con enfermedad residual mínima (RCB I, n=15), el 33.3% (n=5) tuvo recaída (3 a distancia, 1 regional y 1 mixta). Para las pacientes con enfermedad residual moderada (RCB II, n=93), el 22.6% (n=21) presentó recaída (17 a distancia y 4 mixtas). Finalmente, en las pacientes con enfermedad residual extensa (RCB III, n=72), el 45.8% (n=33) </w:t>
      </w:r>
      <w:r w:rsidRPr="007A1920">
        <w:rPr>
          <w:rFonts w:ascii="Arial" w:eastAsiaTheme="minorHAnsi" w:hAnsi="Arial" w:cs="Arial"/>
          <w:color w:val="000000"/>
          <w:kern w:val="2"/>
          <w:sz w:val="22"/>
          <w:szCs w:val="22"/>
          <w:shd w:val="clear" w:color="auto" w:fill="FFFFFF"/>
          <w14:ligatures w14:val="standardContextual"/>
        </w:rPr>
        <w:t xml:space="preserve">presento </w:t>
      </w:r>
      <w:r w:rsidR="007F6463" w:rsidRPr="007A1920">
        <w:rPr>
          <w:rFonts w:ascii="Arial" w:eastAsiaTheme="minorHAnsi" w:hAnsi="Arial" w:cs="Arial"/>
          <w:color w:val="000000"/>
          <w:kern w:val="2"/>
          <w:sz w:val="22"/>
          <w:szCs w:val="22"/>
          <w:shd w:val="clear" w:color="auto" w:fill="FFFFFF"/>
          <w14:ligatures w14:val="standardContextual"/>
        </w:rPr>
        <w:t xml:space="preserve"> recaída (4 locales, 1 regional, 18 a distancia y 10 mixtas).</w:t>
      </w:r>
      <w:r w:rsidRPr="007A1920">
        <w:rPr>
          <w:rFonts w:ascii="Arial" w:eastAsiaTheme="minorHAnsi" w:hAnsi="Arial" w:cs="Arial"/>
          <w:color w:val="000000"/>
          <w:kern w:val="2"/>
          <w:sz w:val="22"/>
          <w:szCs w:val="22"/>
          <w:shd w:val="clear" w:color="auto" w:fill="FFFFFF"/>
          <w14:ligatures w14:val="standardContextual"/>
        </w:rPr>
        <w:t xml:space="preserve"> El</w:t>
      </w:r>
      <w:r w:rsidR="007F6463" w:rsidRPr="007A1920">
        <w:rPr>
          <w:rFonts w:ascii="Arial" w:eastAsiaTheme="minorHAnsi" w:hAnsi="Arial" w:cs="Arial"/>
          <w:color w:val="000000"/>
          <w:kern w:val="2"/>
          <w:sz w:val="22"/>
          <w:szCs w:val="22"/>
          <w:shd w:val="clear" w:color="auto" w:fill="FFFFFF"/>
          <w14:ligatures w14:val="standardContextual"/>
        </w:rPr>
        <w:t xml:space="preserve"> riesgo de recaída se incrementa aproximadamente 4.77 veces en pacientes con enfermedad residual mínima frente a quienes no presentan enfermedad residual (OR = 4.70, IC 95%: [1.27; 17.0], p = 0.01), 2.78 veces en pacientes con enfermedad residual moderada (OR = 2.78, IC 95%: [1.23; 6.76], p = 0.02) y 8.08 veces en pacientes con enfermedad residual extensa (OR = 8.08, IC 95%: [3.66; 19.5], p &lt; 0.01).</w:t>
      </w:r>
    </w:p>
    <w:p w14:paraId="089ED14F" w14:textId="77777777" w:rsidR="007F6463" w:rsidRPr="007A1920" w:rsidRDefault="007F6463"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p>
    <w:p w14:paraId="27ED512F" w14:textId="5AC6DEEF" w:rsidR="007F6463" w:rsidRPr="007A1920" w:rsidRDefault="007F6463" w:rsidP="007F6463">
      <w:pPr>
        <w:jc w:val="both"/>
        <w:rPr>
          <w:rFonts w:ascii="Arial" w:eastAsia="Times New Roman" w:hAnsi="Arial" w:cs="Arial"/>
          <w:i/>
          <w:iCs/>
          <w:color w:val="000000" w:themeColor="text1"/>
          <w:kern w:val="0"/>
          <w:sz w:val="22"/>
          <w:szCs w:val="22"/>
          <w14:ligatures w14:val="none"/>
        </w:rPr>
      </w:pPr>
      <w:r w:rsidRPr="007A1920">
        <w:rPr>
          <w:rFonts w:ascii="Arial" w:eastAsia="Times New Roman" w:hAnsi="Arial" w:cs="Arial"/>
          <w:i/>
          <w:iCs/>
          <w:color w:val="000000" w:themeColor="text1"/>
          <w:kern w:val="0"/>
          <w:sz w:val="22"/>
          <w:szCs w:val="22"/>
          <w14:ligatures w14:val="none"/>
        </w:rPr>
        <w:t>3.</w:t>
      </w:r>
      <w:r w:rsidR="00C42EA7" w:rsidRPr="007A1920">
        <w:rPr>
          <w:rFonts w:ascii="Arial" w:eastAsia="Times New Roman" w:hAnsi="Arial" w:cs="Arial"/>
          <w:i/>
          <w:iCs/>
          <w:color w:val="000000" w:themeColor="text1"/>
          <w:kern w:val="0"/>
          <w:sz w:val="22"/>
          <w:szCs w:val="22"/>
          <w14:ligatures w14:val="none"/>
        </w:rPr>
        <w:t>8</w:t>
      </w:r>
      <w:r w:rsidRPr="007A1920">
        <w:rPr>
          <w:rFonts w:ascii="Arial" w:eastAsia="Times New Roman" w:hAnsi="Arial" w:cs="Arial"/>
          <w:i/>
          <w:iCs/>
          <w:color w:val="000000" w:themeColor="text1"/>
          <w:kern w:val="0"/>
          <w:sz w:val="22"/>
          <w:szCs w:val="22"/>
          <w14:ligatures w14:val="none"/>
        </w:rPr>
        <w:t xml:space="preserve"> Análisis multivariado</w:t>
      </w:r>
    </w:p>
    <w:p w14:paraId="7480A423" w14:textId="5DFE9572" w:rsidR="00797A38" w:rsidRPr="007A1920" w:rsidRDefault="007F6463" w:rsidP="00797A38">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En el análisis multivariado (Figura 1-B) mediante regresión logística, utilizando selección de variables por el método LASSO (Least Absolute Shrinkage and Selection Operator)</w:t>
      </w:r>
      <w:r w:rsidR="00797A38" w:rsidRPr="007A1920">
        <w:rPr>
          <w:rFonts w:ascii="Arial" w:eastAsiaTheme="minorHAnsi" w:hAnsi="Arial" w:cs="Arial"/>
          <w:color w:val="000000"/>
          <w:kern w:val="2"/>
          <w:sz w:val="22"/>
          <w:szCs w:val="22"/>
          <w:shd w:val="clear" w:color="auto" w:fill="FFFFFF"/>
          <w14:ligatures w14:val="standardContextual"/>
        </w:rPr>
        <w:t xml:space="preserve">. </w:t>
      </w:r>
    </w:p>
    <w:p w14:paraId="56503AC2" w14:textId="01543EAD" w:rsidR="007F6463" w:rsidRPr="007A1920" w:rsidRDefault="00797A38" w:rsidP="007F6463">
      <w:pPr>
        <w:pStyle w:val="NormalWeb"/>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Se</w:t>
      </w:r>
      <w:r w:rsidR="007F6463" w:rsidRPr="007A1920">
        <w:rPr>
          <w:rFonts w:ascii="Arial" w:eastAsiaTheme="minorHAnsi" w:hAnsi="Arial" w:cs="Arial"/>
          <w:color w:val="000000"/>
          <w:kern w:val="2"/>
          <w:sz w:val="22"/>
          <w:szCs w:val="22"/>
          <w:shd w:val="clear" w:color="auto" w:fill="FFFFFF"/>
          <w14:ligatures w14:val="standardContextual"/>
        </w:rPr>
        <w:t xml:space="preserve"> identificaron factores independientes asociados a recaída tumoral en pacientes con cáncer de mama localmente avanzado</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(p&lt;0.01)</w:t>
      </w:r>
      <w:r w:rsidR="007F6463" w:rsidRPr="007A1920">
        <w:rPr>
          <w:rFonts w:ascii="Arial" w:eastAsiaTheme="minorHAnsi" w:hAnsi="Arial" w:cs="Arial"/>
          <w:color w:val="000000"/>
          <w:kern w:val="2"/>
          <w:sz w:val="22"/>
          <w:szCs w:val="22"/>
          <w:shd w:val="clear" w:color="auto" w:fill="FFFFFF"/>
          <w14:ligatures w14:val="standardContextual"/>
        </w:rPr>
        <w:t>. Tras el ajuste simultáneo de las variables clínico-patológicas y terapéuticas, persistieron como predictores significativos de recaída los marcadores de mayor agresividad tumoral, incluyendo el estadio clínico avanzado,</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 xml:space="preserve">(p&lt;0.01) </w:t>
      </w:r>
      <w:r w:rsidR="007F6463" w:rsidRPr="007A1920">
        <w:rPr>
          <w:rFonts w:ascii="Arial" w:eastAsiaTheme="minorHAnsi" w:hAnsi="Arial" w:cs="Arial"/>
          <w:color w:val="000000"/>
          <w:kern w:val="2"/>
          <w:sz w:val="22"/>
          <w:szCs w:val="22"/>
          <w:shd w:val="clear" w:color="auto" w:fill="FFFFFF"/>
          <w14:ligatures w14:val="standardContextual"/>
        </w:rPr>
        <w:t>el compromiso ganglionar axilar extenso y la presencia de invasión linfovascular</w:t>
      </w:r>
      <w:r w:rsidR="00A02A68" w:rsidRPr="007A1920">
        <w:rPr>
          <w:rFonts w:ascii="Arial" w:eastAsiaTheme="minorHAnsi" w:hAnsi="Arial" w:cs="Arial"/>
          <w:color w:val="000000"/>
          <w:kern w:val="2"/>
          <w:sz w:val="22"/>
          <w:szCs w:val="22"/>
          <w:shd w:val="clear" w:color="auto" w:fill="FFFFFF"/>
          <w14:ligatures w14:val="standardContextual"/>
        </w:rPr>
        <w:t xml:space="preserve"> </w:t>
      </w:r>
      <w:r w:rsidRPr="007A1920">
        <w:rPr>
          <w:rFonts w:ascii="Arial" w:eastAsiaTheme="minorHAnsi" w:hAnsi="Arial" w:cs="Arial"/>
          <w:color w:val="000000"/>
          <w:kern w:val="2"/>
          <w:sz w:val="22"/>
          <w:szCs w:val="22"/>
          <w:shd w:val="clear" w:color="auto" w:fill="FFFFFF"/>
          <w14:ligatures w14:val="standardContextual"/>
        </w:rPr>
        <w:t>(p&lt;0.01)</w:t>
      </w:r>
      <w:r w:rsidR="007F6463" w:rsidRPr="007A1920">
        <w:rPr>
          <w:rFonts w:ascii="Arial" w:eastAsiaTheme="minorHAnsi" w:hAnsi="Arial" w:cs="Arial"/>
          <w:color w:val="000000"/>
          <w:kern w:val="2"/>
          <w:sz w:val="22"/>
          <w:szCs w:val="22"/>
          <w:shd w:val="clear" w:color="auto" w:fill="FFFFFF"/>
          <w14:ligatures w14:val="standardContextual"/>
        </w:rPr>
        <w:t>, confirmando su impacto pronóstico</w:t>
      </w:r>
      <w:r w:rsidRPr="007A1920">
        <w:rPr>
          <w:rFonts w:ascii="Arial" w:eastAsiaTheme="minorHAnsi" w:hAnsi="Arial" w:cs="Arial"/>
          <w:color w:val="000000"/>
          <w:kern w:val="2"/>
          <w:sz w:val="22"/>
          <w:szCs w:val="22"/>
          <w:shd w:val="clear" w:color="auto" w:fill="FFFFFF"/>
          <w14:ligatures w14:val="standardContextual"/>
        </w:rPr>
        <w:t xml:space="preserve">. </w:t>
      </w:r>
    </w:p>
    <w:p w14:paraId="5EEB17A4" w14:textId="338127AE"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kern w:val="2"/>
          <w:sz w:val="22"/>
          <w:szCs w:val="22"/>
          <w:shd w:val="clear" w:color="auto" w:fill="FFFFFF"/>
          <w14:ligatures w14:val="standardContextual"/>
        </w:rPr>
        <w:t>Desde el punto de vista biológico y terapéutico, los subtipos moleculares de mayor</w:t>
      </w:r>
      <w:r w:rsidRPr="0046240C">
        <w:rPr>
          <w:rFonts w:ascii="Arial" w:eastAsiaTheme="minorHAnsi" w:hAnsi="Arial" w:cs="Arial"/>
          <w:color w:val="000000"/>
          <w:kern w:val="2"/>
          <w:sz w:val="22"/>
          <w:szCs w:val="22"/>
          <w:shd w:val="clear" w:color="auto" w:fill="FFFFFF"/>
          <w14:ligatures w14:val="standardContextual"/>
        </w:rPr>
        <w:t xml:space="preserve"> agresividad mantuvieron su asociación con el riesgo de recaída, mientras que la administración de tratamientos adyuvantes, particularmente la terapia endocrina y la radioterapia, se comportaron como factores protectore</w:t>
      </w:r>
      <w:r w:rsidR="00797A38">
        <w:rPr>
          <w:rFonts w:ascii="Arial" w:eastAsiaTheme="minorHAnsi" w:hAnsi="Arial" w:cs="Arial"/>
          <w:color w:val="000000"/>
          <w:kern w:val="2"/>
          <w:sz w:val="22"/>
          <w:szCs w:val="22"/>
          <w:shd w:val="clear" w:color="auto" w:fill="FFFFFF"/>
          <w14:ligatures w14:val="standardContextual"/>
        </w:rPr>
        <w:t>s.</w:t>
      </w:r>
    </w:p>
    <w:p w14:paraId="7BF6CF62" w14:textId="77777777"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p>
    <w:p w14:paraId="467ED684" w14:textId="77777777" w:rsidR="007F6463" w:rsidRDefault="007F6463" w:rsidP="007F6463">
      <w:pPr>
        <w:pStyle w:val="NormalWeb"/>
        <w:spacing w:before="0" w:beforeAutospacing="0" w:after="0" w:afterAutospacing="0"/>
        <w:jc w:val="both"/>
        <w:rPr>
          <w:rFonts w:ascii="Arial" w:eastAsiaTheme="minorHAnsi" w:hAnsi="Arial" w:cs="Arial"/>
          <w:color w:val="000000"/>
          <w:kern w:val="2"/>
          <w:sz w:val="22"/>
          <w:szCs w:val="22"/>
          <w:shd w:val="clear" w:color="auto" w:fill="FFFFFF"/>
          <w14:ligatures w14:val="standardContextual"/>
        </w:rPr>
      </w:pPr>
      <w:r w:rsidRPr="0046240C">
        <w:rPr>
          <w:rFonts w:ascii="Arial" w:eastAsiaTheme="minorHAnsi" w:hAnsi="Arial" w:cs="Arial"/>
          <w:color w:val="000000"/>
          <w:kern w:val="2"/>
          <w:sz w:val="22"/>
          <w:szCs w:val="22"/>
          <w:shd w:val="clear" w:color="auto" w:fill="FFFFFF"/>
          <w14:ligatures w14:val="standardContextual"/>
        </w:rPr>
        <w:t>En conjunto, estos hallazgos confirman que la recaída tumoral en cáncer de mama localmente avanzado está determinada por una interacción compleja entre carga tumoral inicial, biología tumoral</w:t>
      </w:r>
      <w:r>
        <w:rPr>
          <w:rFonts w:ascii="Arial" w:eastAsiaTheme="minorHAnsi" w:hAnsi="Arial" w:cs="Arial"/>
          <w:color w:val="000000"/>
          <w:kern w:val="2"/>
          <w:sz w:val="22"/>
          <w:szCs w:val="22"/>
          <w:shd w:val="clear" w:color="auto" w:fill="FFFFFF"/>
          <w14:ligatures w14:val="standardContextual"/>
        </w:rPr>
        <w:t>,</w:t>
      </w:r>
      <w:r w:rsidRPr="0046240C">
        <w:rPr>
          <w:rFonts w:ascii="Arial" w:eastAsiaTheme="minorHAnsi" w:hAnsi="Arial" w:cs="Arial"/>
          <w:color w:val="000000"/>
          <w:kern w:val="2"/>
          <w:sz w:val="22"/>
          <w:szCs w:val="22"/>
          <w:shd w:val="clear" w:color="auto" w:fill="FFFFFF"/>
          <w14:ligatures w14:val="standardContextual"/>
        </w:rPr>
        <w:t xml:space="preserve"> estrategias terapéuticas</w:t>
      </w:r>
      <w:r>
        <w:rPr>
          <w:rFonts w:ascii="Arial" w:eastAsiaTheme="minorHAnsi" w:hAnsi="Arial" w:cs="Arial"/>
          <w:color w:val="000000"/>
          <w:kern w:val="2"/>
          <w:sz w:val="22"/>
          <w:szCs w:val="22"/>
          <w:shd w:val="clear" w:color="auto" w:fill="FFFFFF"/>
          <w14:ligatures w14:val="standardContextual"/>
        </w:rPr>
        <w:t xml:space="preserve"> y la respuesta patológica, </w:t>
      </w:r>
      <w:r w:rsidRPr="0046240C">
        <w:rPr>
          <w:rFonts w:ascii="Arial" w:eastAsiaTheme="minorHAnsi" w:hAnsi="Arial" w:cs="Arial"/>
          <w:color w:val="000000"/>
          <w:kern w:val="2"/>
          <w:sz w:val="22"/>
          <w:szCs w:val="22"/>
          <w:shd w:val="clear" w:color="auto" w:fill="FFFFFF"/>
          <w14:ligatures w14:val="standardContextual"/>
        </w:rPr>
        <w:t>con implicaciones directas para la estratificación pronóstica y la toma de decisiones clínicas.</w:t>
      </w:r>
    </w:p>
    <w:p w14:paraId="0D6CF485" w14:textId="77777777" w:rsidR="007F6463" w:rsidRPr="00622066" w:rsidRDefault="007F6463" w:rsidP="007F6463">
      <w:pPr>
        <w:pStyle w:val="NormalWeb"/>
        <w:shd w:val="clear" w:color="auto" w:fill="FFFFFF"/>
        <w:spacing w:before="0" w:beforeAutospacing="0" w:after="0" w:afterAutospacing="0"/>
        <w:jc w:val="both"/>
        <w:textAlignment w:val="baseline"/>
        <w:rPr>
          <w:rFonts w:ascii="Arial" w:eastAsiaTheme="minorHAnsi" w:hAnsi="Arial" w:cs="Arial"/>
          <w:color w:val="000000"/>
          <w:kern w:val="2"/>
          <w:sz w:val="22"/>
          <w:szCs w:val="22"/>
          <w:shd w:val="clear" w:color="auto" w:fill="FFFFFF"/>
          <w14:ligatures w14:val="standardContextua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4"/>
        <w:gridCol w:w="4486"/>
      </w:tblGrid>
      <w:tr w:rsidR="007F6463" w:rsidRPr="003078F2" w14:paraId="340EC9DB" w14:textId="77777777" w:rsidTr="00A873D8">
        <w:trPr>
          <w:trHeight w:val="1275"/>
        </w:trPr>
        <w:tc>
          <w:tcPr>
            <w:tcW w:w="6696" w:type="dxa"/>
            <w:tcBorders>
              <w:right w:val="dotted" w:sz="4" w:space="0" w:color="auto"/>
            </w:tcBorders>
          </w:tcPr>
          <w:p w14:paraId="003D8886" w14:textId="77777777" w:rsidR="00E73627" w:rsidRPr="007F6463" w:rsidRDefault="00E73627" w:rsidP="00A873D8">
            <w:pPr>
              <w:rPr>
                <w:rFonts w:ascii="Arial" w:hAnsi="Arial" w:cs="Arial"/>
                <w:b/>
                <w:bCs/>
              </w:rPr>
            </w:pPr>
            <w:r w:rsidRPr="007F6463">
              <w:rPr>
                <w:rFonts w:ascii="Arial" w:hAnsi="Arial" w:cs="Arial"/>
                <w:b/>
                <w:bCs/>
              </w:rPr>
              <w:t xml:space="preserve">A. </w:t>
            </w:r>
            <w:proofErr w:type="spellStart"/>
            <w:r w:rsidRPr="007F6463">
              <w:rPr>
                <w:rFonts w:ascii="Arial" w:hAnsi="Arial" w:cs="Arial"/>
                <w:b/>
                <w:bCs/>
              </w:rPr>
              <w:t>Univariate</w:t>
            </w:r>
            <w:proofErr w:type="spellEnd"/>
            <w:r w:rsidRPr="007F6463">
              <w:rPr>
                <w:rFonts w:ascii="Arial" w:hAnsi="Arial" w:cs="Arial"/>
                <w:b/>
                <w:bCs/>
              </w:rPr>
              <w:t xml:space="preserve"> </w:t>
            </w:r>
            <w:proofErr w:type="spellStart"/>
            <w:r w:rsidRPr="007F6463">
              <w:rPr>
                <w:rFonts w:ascii="Arial" w:hAnsi="Arial" w:cs="Arial"/>
                <w:b/>
                <w:bCs/>
              </w:rPr>
              <w:t>analysis</w:t>
            </w:r>
            <w:proofErr w:type="spellEnd"/>
          </w:p>
          <w:p w14:paraId="53AB3866" w14:textId="77777777" w:rsidR="00E73627" w:rsidRPr="003078F2" w:rsidRDefault="00E73627" w:rsidP="00A873D8">
            <w:pPr>
              <w:rPr>
                <w:rFonts w:ascii="Palatino Linotype" w:hAnsi="Palatino Linotype"/>
                <w:b/>
                <w:bCs/>
              </w:rPr>
            </w:pPr>
            <w:r w:rsidRPr="003078F2">
              <w:rPr>
                <w:rFonts w:ascii="Palatino Linotype" w:hAnsi="Palatino Linotype"/>
                <w:b/>
                <w:bCs/>
                <w:noProof/>
              </w:rPr>
              <w:lastRenderedPageBreak/>
              <w:drawing>
                <wp:inline distT="0" distB="0" distL="0" distR="0" wp14:anchorId="0291E7AF" wp14:editId="5CAE3F80">
                  <wp:extent cx="4105275" cy="5200650"/>
                  <wp:effectExtent l="0" t="0" r="9525" b="0"/>
                  <wp:docPr id="75744092" name="Imagen 3" descr="Calendari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44092" name="Imagen 3" descr="Calendario&#10;&#10;El contenido generado por IA puede ser incorrect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105275" cy="5200650"/>
                          </a:xfrm>
                          <a:prstGeom prst="rect">
                            <a:avLst/>
                          </a:prstGeom>
                        </pic:spPr>
                      </pic:pic>
                    </a:graphicData>
                  </a:graphic>
                </wp:inline>
              </w:drawing>
            </w:r>
          </w:p>
        </w:tc>
        <w:tc>
          <w:tcPr>
            <w:tcW w:w="6308" w:type="dxa"/>
            <w:tcBorders>
              <w:left w:val="dotted" w:sz="4" w:space="0" w:color="auto"/>
            </w:tcBorders>
          </w:tcPr>
          <w:p w14:paraId="6A9F71FA" w14:textId="77777777" w:rsidR="00E73627" w:rsidRPr="003078F2" w:rsidRDefault="00E73627" w:rsidP="00A873D8">
            <w:pPr>
              <w:rPr>
                <w:rFonts w:ascii="Palatino Linotype" w:hAnsi="Palatino Linotype"/>
                <w:b/>
                <w:bCs/>
              </w:rPr>
            </w:pPr>
            <w:r w:rsidRPr="007F6463">
              <w:rPr>
                <w:rFonts w:ascii="Arial" w:hAnsi="Arial" w:cs="Arial"/>
                <w:b/>
                <w:bCs/>
              </w:rPr>
              <w:lastRenderedPageBreak/>
              <w:t>B</w:t>
            </w:r>
            <w:r w:rsidRPr="007F6463">
              <w:rPr>
                <w:rFonts w:ascii="Arial" w:hAnsi="Arial" w:cs="Arial"/>
                <w:b/>
                <w:bCs/>
                <w:color w:val="000000"/>
                <w:shd w:val="clear" w:color="auto" w:fill="FFFFFF"/>
                <w:lang w:val="en-CO"/>
              </w:rPr>
              <w:t>. Multivariate analysis</w:t>
            </w:r>
          </w:p>
          <w:p w14:paraId="01E472A5" w14:textId="77777777" w:rsidR="00E73627" w:rsidRPr="003078F2" w:rsidRDefault="00E73627" w:rsidP="00A873D8">
            <w:pPr>
              <w:rPr>
                <w:rFonts w:ascii="Palatino Linotype" w:hAnsi="Palatino Linotype"/>
                <w:b/>
                <w:bCs/>
              </w:rPr>
            </w:pPr>
            <w:r w:rsidRPr="003078F2">
              <w:rPr>
                <w:rFonts w:ascii="Palatino Linotype" w:hAnsi="Palatino Linotype"/>
                <w:b/>
                <w:bCs/>
                <w:noProof/>
              </w:rPr>
              <w:lastRenderedPageBreak/>
              <w:drawing>
                <wp:inline distT="0" distB="0" distL="0" distR="0" wp14:anchorId="52B6F0B3" wp14:editId="7C0845CA">
                  <wp:extent cx="3771900" cy="5153025"/>
                  <wp:effectExtent l="0" t="0" r="0" b="9525"/>
                  <wp:docPr id="751887554" name="Imagen 4" descr="Imagen que contiene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887554" name="Imagen 4" descr="Imagen que contiene Tabla&#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771900" cy="5153025"/>
                          </a:xfrm>
                          <a:prstGeom prst="rect">
                            <a:avLst/>
                          </a:prstGeom>
                        </pic:spPr>
                      </pic:pic>
                    </a:graphicData>
                  </a:graphic>
                </wp:inline>
              </w:drawing>
            </w:r>
          </w:p>
        </w:tc>
      </w:tr>
    </w:tbl>
    <w:p w14:paraId="3662ACF4" w14:textId="013B671E" w:rsidR="00E73627" w:rsidRPr="007F6463" w:rsidRDefault="00E73627" w:rsidP="007F6463">
      <w:pPr>
        <w:spacing w:after="0" w:line="240" w:lineRule="auto"/>
        <w:jc w:val="center"/>
        <w:rPr>
          <w:rFonts w:ascii="Arial" w:hAnsi="Arial" w:cs="Arial"/>
          <w:sz w:val="20"/>
          <w:szCs w:val="20"/>
        </w:rPr>
      </w:pPr>
      <w:r w:rsidRPr="007F6463">
        <w:rPr>
          <w:rFonts w:ascii="Arial" w:hAnsi="Arial" w:cs="Arial"/>
          <w:b/>
          <w:bCs/>
          <w:sz w:val="20"/>
          <w:szCs w:val="20"/>
        </w:rPr>
        <w:lastRenderedPageBreak/>
        <w:t>Figur</w:t>
      </w:r>
      <w:r w:rsidR="0046240C" w:rsidRPr="007F6463">
        <w:rPr>
          <w:rFonts w:ascii="Arial" w:hAnsi="Arial" w:cs="Arial"/>
          <w:b/>
          <w:bCs/>
          <w:sz w:val="20"/>
          <w:szCs w:val="20"/>
        </w:rPr>
        <w:t>a 1</w:t>
      </w:r>
      <w:r w:rsidRPr="007F6463">
        <w:rPr>
          <w:rFonts w:ascii="Arial" w:hAnsi="Arial" w:cs="Arial"/>
          <w:sz w:val="20"/>
          <w:szCs w:val="20"/>
        </w:rPr>
        <w:t>. Análisis de factores asociados a recaída tumoral en cáncer de mama localmente avanzado. A) Regresión logística univariada. B) Regresión logística multivariada utilizando selección de variables mediante LASSO (Least Absolute Shrinkage and Selection Operator)</w:t>
      </w:r>
    </w:p>
    <w:p w14:paraId="52732C03" w14:textId="77777777" w:rsidR="009E591C" w:rsidRPr="0046240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343524C" w14:textId="7657A632" w:rsidR="0046240C" w:rsidRDefault="0046240C" w:rsidP="0029401A">
      <w:pPr>
        <w:pStyle w:val="ListParagraph"/>
        <w:numPr>
          <w:ilvl w:val="0"/>
          <w:numId w:val="17"/>
        </w:numPr>
        <w:spacing w:after="0"/>
        <w:rPr>
          <w:rFonts w:ascii="Arial" w:hAnsi="Arial" w:cs="Arial"/>
          <w:b/>
          <w:bCs/>
          <w:color w:val="000000"/>
          <w:sz w:val="22"/>
          <w:szCs w:val="22"/>
          <w:u w:val="single"/>
          <w:shd w:val="clear" w:color="auto" w:fill="FFFFFF"/>
        </w:rPr>
      </w:pPr>
      <w:r w:rsidRPr="0046240C">
        <w:rPr>
          <w:rFonts w:ascii="Arial" w:hAnsi="Arial" w:cs="Arial"/>
          <w:b/>
          <w:bCs/>
          <w:color w:val="000000"/>
          <w:sz w:val="22"/>
          <w:szCs w:val="22"/>
          <w:u w:val="single"/>
          <w:shd w:val="clear" w:color="auto" w:fill="FFFFFF"/>
        </w:rPr>
        <w:t>DISCUSIÓN</w:t>
      </w:r>
    </w:p>
    <w:p w14:paraId="7270A77E" w14:textId="77777777" w:rsidR="002774F8" w:rsidRPr="007A1920" w:rsidRDefault="002774F8" w:rsidP="002774F8">
      <w:pPr>
        <w:spacing w:after="0"/>
        <w:rPr>
          <w:rFonts w:ascii="Arial" w:hAnsi="Arial" w:cs="Arial"/>
          <w:b/>
          <w:bCs/>
          <w:color w:val="000000" w:themeColor="text1"/>
          <w:sz w:val="22"/>
          <w:szCs w:val="22"/>
          <w:u w:val="single"/>
          <w:shd w:val="clear" w:color="auto" w:fill="FFFFFF"/>
        </w:rPr>
      </w:pPr>
    </w:p>
    <w:p w14:paraId="3DE9EBE7" w14:textId="5BA8A940"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A pesar de los  avances en el tratamiento oncológico para el cáncer de mama, esta enfermedad continúa siendo un problema de salud que afecta </w:t>
      </w:r>
      <w:r w:rsidR="002A31E4" w:rsidRPr="007A1920">
        <w:rPr>
          <w:rFonts w:ascii="Arial" w:hAnsi="Arial" w:cs="Arial"/>
          <w:color w:val="000000" w:themeColor="text1"/>
          <w:sz w:val="22"/>
          <w:szCs w:val="22"/>
          <w:shd w:val="clear" w:color="auto" w:fill="FFFFFF"/>
        </w:rPr>
        <w:t xml:space="preserve"> a </w:t>
      </w:r>
      <w:r w:rsidRPr="002774F8">
        <w:rPr>
          <w:rFonts w:ascii="Arial" w:hAnsi="Arial" w:cs="Arial"/>
          <w:color w:val="000000" w:themeColor="text1"/>
          <w:sz w:val="22"/>
          <w:szCs w:val="22"/>
          <w:shd w:val="clear" w:color="auto" w:fill="FFFFFF"/>
        </w:rPr>
        <w:t xml:space="preserve">millones de mujeres alrededor del mundo </w:t>
      </w:r>
      <w:r w:rsidR="00F14373" w:rsidRPr="007A1920">
        <w:rPr>
          <w:rFonts w:ascii="Arial" w:hAnsi="Arial" w:cs="Arial"/>
          <w:color w:val="000000" w:themeColor="text1"/>
          <w:sz w:val="22"/>
          <w:szCs w:val="22"/>
          <w:shd w:val="clear" w:color="auto" w:fill="FFFFFF"/>
        </w:rPr>
        <w:t>[</w:t>
      </w:r>
      <w:r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3]</w:t>
      </w:r>
      <w:r w:rsidRPr="002774F8">
        <w:rPr>
          <w:rFonts w:ascii="Arial" w:hAnsi="Arial" w:cs="Arial"/>
          <w:color w:val="000000" w:themeColor="text1"/>
          <w:sz w:val="22"/>
          <w:szCs w:val="22"/>
          <w:shd w:val="clear" w:color="auto" w:fill="FFFFFF"/>
        </w:rPr>
        <w:t xml:space="preserve">, con una probabilidad de recaída del  30%  para las pacientes que se encuentran libres de enfermedad  posterior al manejo médico-quirúrgico inicial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4]</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Aunque se conoce que el momento de la recurrencia puede variar de forma significativa, y que esta variación se encuentra influenciada por los factores pronósticos clásicos del cáncer de mama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3]</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el estado del receptor de estrógeno (RE) y las estrategias de tratamiento (neo)adyuvante, juegan un papel fundamental en esta temporalidad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5]</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Es así como en pacientes con tumores RE positivo el riesgo de recaída a 5 años es menor que en aquellas con tumores RE negativo; sin embargo, más allá del año 5, las pacientes con cáncer de mama RE positivo tienen  mayor riesgo a 10 y 15 años, independientemente del compromiso ganglionar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6].</w:t>
      </w:r>
    </w:p>
    <w:p w14:paraId="520BE179"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CD5AFA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lastRenderedPageBreak/>
        <w:t>Ahora bien, en el análisis de la recurrencia del cáncer de mama, no sólo es importante entender el momento (temporalidad) en el que puede ocurrir este fenómeno, sino los patrones de recaída (local, regional, mixta o a distancia) y los factores o variables clínico-patológicas que se asocian con cada uno de estos patrones, ya que se conoce mucho menos sobre este desenlace y la mayoría de la evidencia existente proviene de estudios observacionales en población no latinoamericana.</w:t>
      </w:r>
    </w:p>
    <w:p w14:paraId="1CC08B9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1B6CA63" w14:textId="03822236"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En esta cohorte, el 22.9% de las pacientes presentaron recaída</w:t>
      </w:r>
      <w:r w:rsidR="00460A68" w:rsidRPr="007A1920">
        <w:rPr>
          <w:rFonts w:ascii="Arial" w:hAnsi="Arial" w:cs="Arial"/>
          <w:color w:val="000000" w:themeColor="text1"/>
          <w:sz w:val="22"/>
          <w:szCs w:val="22"/>
          <w:shd w:val="clear" w:color="auto" w:fill="FFFFFF"/>
        </w:rPr>
        <w:t xml:space="preserve"> tumoral, </w:t>
      </w:r>
      <w:r w:rsidRPr="002774F8">
        <w:rPr>
          <w:rFonts w:ascii="Arial" w:hAnsi="Arial" w:cs="Arial"/>
          <w:color w:val="000000" w:themeColor="text1"/>
          <w:sz w:val="22"/>
          <w:szCs w:val="22"/>
          <w:shd w:val="clear" w:color="auto" w:fill="FFFFFF"/>
        </w:rPr>
        <w:t xml:space="preserve"> porcentaje similar a lo reportado en la literatura </w:t>
      </w:r>
      <w:r w:rsidR="0096315B" w:rsidRPr="007A1920">
        <w:rPr>
          <w:rFonts w:ascii="Arial" w:hAnsi="Arial" w:cs="Arial"/>
          <w:color w:val="000000" w:themeColor="text1"/>
          <w:sz w:val="22"/>
          <w:szCs w:val="22"/>
          <w:shd w:val="clear" w:color="auto" w:fill="FFFFFF"/>
        </w:rPr>
        <w:t>[14],</w:t>
      </w:r>
      <w:r w:rsidR="0096315B"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con una mayor proporción de pacientes con tumores luminal B/HER2 negativo (</w:t>
      </w:r>
      <w:r w:rsidR="0096315B" w:rsidRPr="007A1920">
        <w:rPr>
          <w:rFonts w:ascii="Arial" w:hAnsi="Arial" w:cs="Arial"/>
          <w:color w:val="000000" w:themeColor="text1"/>
          <w:sz w:val="22"/>
          <w:szCs w:val="22"/>
          <w:shd w:val="clear" w:color="auto" w:fill="FFFFFF"/>
        </w:rPr>
        <w:t>40.8%</w:t>
      </w:r>
      <w:r w:rsidRPr="002774F8">
        <w:rPr>
          <w:rFonts w:ascii="Arial" w:hAnsi="Arial" w:cs="Arial"/>
          <w:color w:val="000000" w:themeColor="text1"/>
          <w:sz w:val="22"/>
          <w:szCs w:val="22"/>
          <w:shd w:val="clear" w:color="auto" w:fill="FFFFFF"/>
        </w:rPr>
        <w:t>) o triple negativo (</w:t>
      </w:r>
      <w:r w:rsidR="0096315B" w:rsidRPr="007A1920">
        <w:rPr>
          <w:rFonts w:ascii="Arial" w:hAnsi="Arial" w:cs="Arial"/>
          <w:color w:val="000000" w:themeColor="text1"/>
          <w:sz w:val="22"/>
          <w:szCs w:val="22"/>
          <w:shd w:val="clear" w:color="auto" w:fill="FFFFFF"/>
        </w:rPr>
        <w:t>17.3%</w:t>
      </w:r>
      <w:r w:rsidRPr="002774F8">
        <w:rPr>
          <w:rFonts w:ascii="Arial" w:hAnsi="Arial" w:cs="Arial"/>
          <w:color w:val="000000" w:themeColor="text1"/>
          <w:sz w:val="22"/>
          <w:szCs w:val="22"/>
          <w:shd w:val="clear" w:color="auto" w:fill="FFFFFF"/>
        </w:rPr>
        <w:t>), y tumores localmente avanzados: estadios III (</w:t>
      </w:r>
      <w:r w:rsidR="0096315B" w:rsidRPr="007A1920">
        <w:rPr>
          <w:rFonts w:ascii="Arial" w:hAnsi="Arial" w:cs="Arial"/>
          <w:color w:val="000000" w:themeColor="text1"/>
          <w:sz w:val="22"/>
          <w:szCs w:val="22"/>
          <w:shd w:val="clear" w:color="auto" w:fill="FFFFFF"/>
        </w:rPr>
        <w:t>63.4%</w:t>
      </w:r>
      <w:r w:rsidRPr="002774F8">
        <w:rPr>
          <w:rFonts w:ascii="Arial" w:hAnsi="Arial" w:cs="Arial"/>
          <w:color w:val="000000" w:themeColor="text1"/>
          <w:sz w:val="22"/>
          <w:szCs w:val="22"/>
          <w:shd w:val="clear" w:color="auto" w:fill="FFFFFF"/>
        </w:rPr>
        <w:t xml:space="preserve">), o </w:t>
      </w:r>
      <w:r w:rsidR="00460A68" w:rsidRPr="007A1920">
        <w:rPr>
          <w:rFonts w:ascii="Arial" w:hAnsi="Arial" w:cs="Arial"/>
          <w:color w:val="000000" w:themeColor="text1"/>
          <w:sz w:val="22"/>
          <w:szCs w:val="22"/>
          <w:shd w:val="clear" w:color="auto" w:fill="FFFFFF"/>
        </w:rPr>
        <w:t xml:space="preserve">con </w:t>
      </w:r>
      <w:r w:rsidRPr="002774F8">
        <w:rPr>
          <w:rFonts w:ascii="Arial" w:hAnsi="Arial" w:cs="Arial"/>
          <w:color w:val="000000" w:themeColor="text1"/>
          <w:sz w:val="22"/>
          <w:szCs w:val="22"/>
          <w:shd w:val="clear" w:color="auto" w:fill="FFFFFF"/>
        </w:rPr>
        <w:t>ganglios positivos (</w:t>
      </w:r>
      <w:r w:rsidR="0096315B" w:rsidRPr="007A1920">
        <w:rPr>
          <w:rFonts w:ascii="Arial" w:hAnsi="Arial" w:cs="Arial"/>
          <w:color w:val="000000" w:themeColor="text1"/>
          <w:sz w:val="22"/>
          <w:szCs w:val="22"/>
          <w:shd w:val="clear" w:color="auto" w:fill="FFFFFF"/>
        </w:rPr>
        <w:t>64.9%</w:t>
      </w:r>
      <w:r w:rsidRPr="002774F8">
        <w:rPr>
          <w:rFonts w:ascii="Arial" w:hAnsi="Arial" w:cs="Arial"/>
          <w:color w:val="000000" w:themeColor="text1"/>
          <w:sz w:val="22"/>
          <w:szCs w:val="22"/>
          <w:shd w:val="clear" w:color="auto" w:fill="FFFFFF"/>
        </w:rPr>
        <w:t>), en particular, cuando más 3 ganglios comprometidos</w:t>
      </w:r>
      <w:r w:rsidR="00460A68" w:rsidRPr="007A1920">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 </w:t>
      </w:r>
      <w:r w:rsidR="00460A68" w:rsidRPr="007A1920">
        <w:rPr>
          <w:rFonts w:ascii="Arial" w:hAnsi="Arial" w:cs="Arial"/>
          <w:color w:val="000000" w:themeColor="text1"/>
          <w:sz w:val="22"/>
          <w:szCs w:val="22"/>
          <w:shd w:val="clear" w:color="auto" w:fill="FFFFFF"/>
        </w:rPr>
        <w:t>h</w:t>
      </w:r>
      <w:r w:rsidRPr="002774F8">
        <w:rPr>
          <w:rFonts w:ascii="Arial" w:hAnsi="Arial" w:cs="Arial"/>
          <w:color w:val="000000" w:themeColor="text1"/>
          <w:sz w:val="22"/>
          <w:szCs w:val="22"/>
          <w:shd w:val="clear" w:color="auto" w:fill="FFFFFF"/>
        </w:rPr>
        <w:t>allazgos similares fueron descritos en un estudio rumano en donde las pacientes con estadio III mostraron recurrencia</w:t>
      </w:r>
      <w:r w:rsidR="00460A68" w:rsidRPr="007A1920">
        <w:rPr>
          <w:rFonts w:ascii="Arial" w:hAnsi="Arial" w:cs="Arial"/>
          <w:color w:val="000000" w:themeColor="text1"/>
          <w:sz w:val="22"/>
          <w:szCs w:val="22"/>
          <w:shd w:val="clear" w:color="auto" w:fill="FFFFFF"/>
        </w:rPr>
        <w:t>s</w:t>
      </w:r>
      <w:r w:rsidRPr="002774F8">
        <w:rPr>
          <w:rFonts w:ascii="Arial" w:hAnsi="Arial" w:cs="Arial"/>
          <w:color w:val="000000" w:themeColor="text1"/>
          <w:sz w:val="22"/>
          <w:szCs w:val="22"/>
          <w:shd w:val="clear" w:color="auto" w:fill="FFFFFF"/>
        </w:rPr>
        <w:t xml:space="preserve"> más altas: 17,7%, 24,6% y 8,5%, para estadios IIIA, IIIB y IIIC, respectivamente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7].</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Igualmente, en este mismo estudio la mayoría de las recurrencias ocurrieron en pacientes con cáncer de mama subtipo luminal B (48,4%) </w:t>
      </w:r>
      <w:r w:rsidR="00F14373" w:rsidRPr="007A1920">
        <w:rPr>
          <w:rFonts w:ascii="Arial" w:hAnsi="Arial" w:cs="Arial"/>
          <w:color w:val="000000" w:themeColor="text1"/>
          <w:sz w:val="22"/>
          <w:szCs w:val="22"/>
          <w:shd w:val="clear" w:color="auto" w:fill="FFFFFF"/>
        </w:rPr>
        <w:t>[</w:t>
      </w:r>
      <w:r w:rsidR="00F14373" w:rsidRPr="002774F8">
        <w:rPr>
          <w:rFonts w:ascii="Arial" w:hAnsi="Arial" w:cs="Arial"/>
          <w:color w:val="000000" w:themeColor="text1"/>
          <w:sz w:val="22"/>
          <w:szCs w:val="22"/>
          <w:shd w:val="clear" w:color="auto" w:fill="FFFFFF"/>
        </w:rPr>
        <w:t>1</w:t>
      </w:r>
      <w:r w:rsidR="00F14373" w:rsidRPr="007A1920">
        <w:rPr>
          <w:rFonts w:ascii="Arial" w:hAnsi="Arial" w:cs="Arial"/>
          <w:color w:val="000000" w:themeColor="text1"/>
          <w:sz w:val="22"/>
          <w:szCs w:val="22"/>
          <w:shd w:val="clear" w:color="auto" w:fill="FFFFFF"/>
        </w:rPr>
        <w:t>7].</w:t>
      </w:r>
      <w:r w:rsidR="00F14373"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Otro estudio señala que, aunque existe una mayor probabilidad de experimentar una recaída local o regional con un tumor HER2 puro (7,5% y 3,4%, respectivamente) o triple negativo (7,6% y 3,3%, respectivamente), hay una mayor frecuencia de metástasis a distancia ​​en pacientes con tumores luminal B/HER2+ (7,4%), HER2 puro (7,7%) y triple negativo (7,2%), en comparación con los tumores luminal A (1,4%) o luminal B (4%) </w:t>
      </w:r>
      <w:r w:rsidR="005C1139" w:rsidRPr="007A1920">
        <w:rPr>
          <w:rFonts w:ascii="Arial" w:hAnsi="Arial" w:cs="Arial"/>
          <w:color w:val="000000" w:themeColor="text1"/>
          <w:sz w:val="22"/>
          <w:szCs w:val="22"/>
          <w:shd w:val="clear" w:color="auto" w:fill="FFFFFF"/>
        </w:rPr>
        <w:t>[</w:t>
      </w:r>
      <w:r w:rsidR="005C1139" w:rsidRPr="002774F8">
        <w:rPr>
          <w:rFonts w:ascii="Arial" w:hAnsi="Arial" w:cs="Arial"/>
          <w:color w:val="000000" w:themeColor="text1"/>
          <w:sz w:val="22"/>
          <w:szCs w:val="22"/>
          <w:shd w:val="clear" w:color="auto" w:fill="FFFFFF"/>
        </w:rPr>
        <w:t>1</w:t>
      </w:r>
      <w:r w:rsidR="005C1139" w:rsidRPr="007A1920">
        <w:rPr>
          <w:rFonts w:ascii="Arial" w:hAnsi="Arial" w:cs="Arial"/>
          <w:color w:val="000000" w:themeColor="text1"/>
          <w:sz w:val="22"/>
          <w:szCs w:val="22"/>
          <w:shd w:val="clear" w:color="auto" w:fill="FFFFFF"/>
        </w:rPr>
        <w:t>8].</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En cuanto al compromiso ganglionar, está demostrado que es un factor pronóstico crítico en cáncer de mama </w:t>
      </w:r>
      <w:r w:rsidR="005C1139" w:rsidRPr="007A1920">
        <w:rPr>
          <w:rFonts w:ascii="Arial" w:hAnsi="Arial" w:cs="Arial"/>
          <w:color w:val="000000" w:themeColor="text1"/>
          <w:sz w:val="22"/>
          <w:szCs w:val="22"/>
          <w:shd w:val="clear" w:color="auto" w:fill="FFFFFF"/>
        </w:rPr>
        <w:t>[</w:t>
      </w:r>
      <w:r w:rsidR="005C1139" w:rsidRPr="002774F8">
        <w:rPr>
          <w:rFonts w:ascii="Arial" w:hAnsi="Arial" w:cs="Arial"/>
          <w:color w:val="000000" w:themeColor="text1"/>
          <w:sz w:val="22"/>
          <w:szCs w:val="22"/>
          <w:shd w:val="clear" w:color="auto" w:fill="FFFFFF"/>
        </w:rPr>
        <w:t>1</w:t>
      </w:r>
      <w:r w:rsidR="005C1139" w:rsidRPr="007A1920">
        <w:rPr>
          <w:rFonts w:ascii="Arial" w:hAnsi="Arial" w:cs="Arial"/>
          <w:color w:val="000000" w:themeColor="text1"/>
          <w:sz w:val="22"/>
          <w:szCs w:val="22"/>
          <w:shd w:val="clear" w:color="auto" w:fill="FFFFFF"/>
        </w:rPr>
        <w:t>9].</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Pan y colaboradores informaron mayo</w:t>
      </w:r>
      <w:r w:rsidR="00460A68" w:rsidRPr="007A1920">
        <w:rPr>
          <w:rFonts w:ascii="Arial" w:hAnsi="Arial" w:cs="Arial"/>
          <w:color w:val="000000" w:themeColor="text1"/>
          <w:sz w:val="22"/>
          <w:szCs w:val="22"/>
          <w:shd w:val="clear" w:color="auto" w:fill="FFFFFF"/>
        </w:rPr>
        <w:t>r</w:t>
      </w:r>
      <w:r w:rsidRPr="002774F8">
        <w:rPr>
          <w:rFonts w:ascii="Arial" w:hAnsi="Arial" w:cs="Arial"/>
          <w:color w:val="000000" w:themeColor="text1"/>
          <w:sz w:val="22"/>
          <w:szCs w:val="22"/>
          <w:shd w:val="clear" w:color="auto" w:fill="FFFFFF"/>
        </w:rPr>
        <w:t xml:space="preserve"> riesg</w:t>
      </w:r>
      <w:r w:rsidR="00460A68" w:rsidRPr="007A1920">
        <w:rPr>
          <w:rFonts w:ascii="Arial" w:hAnsi="Arial" w:cs="Arial"/>
          <w:color w:val="000000" w:themeColor="text1"/>
          <w:sz w:val="22"/>
          <w:szCs w:val="22"/>
          <w:shd w:val="clear" w:color="auto" w:fill="FFFFFF"/>
        </w:rPr>
        <w:t>o</w:t>
      </w:r>
      <w:r w:rsidRPr="002774F8">
        <w:rPr>
          <w:rFonts w:ascii="Arial" w:hAnsi="Arial" w:cs="Arial"/>
          <w:color w:val="000000" w:themeColor="text1"/>
          <w:sz w:val="22"/>
          <w:szCs w:val="22"/>
          <w:shd w:val="clear" w:color="auto" w:fill="FFFFFF"/>
        </w:rPr>
        <w:t xml:space="preserve"> de recurrencia para pacientes con tumores N1/N2 que para aquellas con tumores N0, a lo largo de 5 a 20 años, así: en pacientes con tumores T1: 13%, 20% y 34% para N0, N1 y N2, respectivamente; y en pacientes con tumores T2: 19%,  26% y 41%, para N0, N1 y N2, respectivamente </w:t>
      </w:r>
      <w:r w:rsidR="005C1139" w:rsidRPr="007A1920">
        <w:rPr>
          <w:rFonts w:ascii="Arial" w:hAnsi="Arial" w:cs="Arial"/>
          <w:color w:val="000000" w:themeColor="text1"/>
          <w:sz w:val="22"/>
          <w:szCs w:val="22"/>
          <w:shd w:val="clear" w:color="auto" w:fill="FFFFFF"/>
        </w:rPr>
        <w:t>[20,21].</w:t>
      </w:r>
    </w:p>
    <w:p w14:paraId="7C7EFED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F039E3B" w14:textId="139E2E29"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Con respecto a otras variables histopatológicas como el grado histológico y la ILV, que en esta cohorte se asociaron significativamente con un mayor riesgo de recaída (</w:t>
      </w:r>
      <w:r w:rsidR="00FD6E9D" w:rsidRPr="007A1920">
        <w:rPr>
          <w:rFonts w:ascii="Arial" w:hAnsi="Arial" w:cs="Arial"/>
          <w:color w:val="000000" w:themeColor="text1"/>
          <w:sz w:val="22"/>
          <w:szCs w:val="22"/>
          <w:shd w:val="clear" w:color="auto" w:fill="FFFFFF"/>
        </w:rPr>
        <w:t>p&lt;0.01 y p&lt;0.01</w:t>
      </w:r>
      <w:r w:rsidRPr="002774F8">
        <w:rPr>
          <w:rFonts w:ascii="Arial" w:hAnsi="Arial" w:cs="Arial"/>
          <w:color w:val="000000" w:themeColor="text1"/>
          <w:sz w:val="22"/>
          <w:szCs w:val="22"/>
          <w:shd w:val="clear" w:color="auto" w:fill="FFFFFF"/>
        </w:rPr>
        <w:t xml:space="preserve">), la literatura señala un tiempo a la recurrencia significativamente más corto en pacientes con tumores grado 3 (40,0 ± 33,4 meses) en comparación con aquellas con tumores grado 1 (111,3 ± 60,3 meses) y grado 2 (46,9 ± 33,6 meses) </w:t>
      </w:r>
      <w:r w:rsidR="005C1139" w:rsidRPr="007A1920">
        <w:rPr>
          <w:rFonts w:ascii="Arial" w:hAnsi="Arial" w:cs="Arial"/>
          <w:color w:val="000000" w:themeColor="text1"/>
          <w:sz w:val="22"/>
          <w:szCs w:val="22"/>
          <w:shd w:val="clear" w:color="auto" w:fill="FFFFFF"/>
        </w:rPr>
        <w:t>[22].</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Otro estudio, que tuvo como objetivo comparar la influencia de la invasión linfática (IL) y la invasión vascular (IV) en la supervivencia y recurrencia del cáncer de mama,  encontró que tanto la IL positiva como la IV positiva mostraron una SG y una SLE inferiores en comparación con la IL e IV negativas (p&lt;0,001), con tasas significativamente más altas de recurrencia local, regional y a distancia, en caso de IL e IV positivas </w:t>
      </w:r>
      <w:r w:rsidR="005C1139" w:rsidRPr="007A1920">
        <w:rPr>
          <w:rFonts w:ascii="Arial" w:hAnsi="Arial" w:cs="Arial"/>
          <w:color w:val="000000" w:themeColor="text1"/>
          <w:sz w:val="22"/>
          <w:szCs w:val="22"/>
          <w:shd w:val="clear" w:color="auto" w:fill="FFFFFF"/>
        </w:rPr>
        <w:t>[23]</w:t>
      </w:r>
      <w:r w:rsidR="005C1139" w:rsidRPr="002774F8">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Más recientemente, un análisis retrospectivo de la patología de 8,837 pacientes con cáncer de mama tratadas con intención curativa, demostró una diferencia estadísticamente significativa en términos de recurrencia locorregional en el análisis de regresión univariable (HR 1,4; IC95%, 1,03-1,89; P=0,029) y multivariable (HR 1,62; IC95%, 1,15-2,27; P=0,005) en pacientes con ILV extensa (ILE), en comparación con aquellas con ILV habitual, sugiriendo que las pacientes con ILE y por lo tanto mayor riesgo de recaída locorregional, podrían beneficiarse de radioterapia regional nodal o radioterapia posmastectomía, incluso cuando la indicación del tratamiento sea limítrofe, jugando así un papel determinante a favor del tratamiento intensificado </w:t>
      </w:r>
      <w:r w:rsidR="005C1139" w:rsidRPr="007A1920">
        <w:rPr>
          <w:rFonts w:ascii="Arial" w:hAnsi="Arial" w:cs="Arial"/>
          <w:color w:val="000000" w:themeColor="text1"/>
          <w:sz w:val="22"/>
          <w:szCs w:val="22"/>
          <w:shd w:val="clear" w:color="auto" w:fill="FFFFFF"/>
        </w:rPr>
        <w:t>[24].</w:t>
      </w:r>
    </w:p>
    <w:p w14:paraId="38D9F75B"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1CF32132" w14:textId="50498F9A"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En la presente cohorte, la ausencia de respuesta patológica completa se asoció con un aumento significativo en el riesgo de recaída, en particular en pacientes con tumores con RCB-III. Similar a los  datos de 562 mujeres brasileras con cáncer de mama, que  encontró </w:t>
      </w:r>
      <w:r w:rsidRPr="002774F8">
        <w:rPr>
          <w:rFonts w:ascii="Arial" w:hAnsi="Arial" w:cs="Arial"/>
          <w:color w:val="000000"/>
          <w:sz w:val="22"/>
          <w:szCs w:val="22"/>
          <w:shd w:val="clear" w:color="auto" w:fill="FFFFFF"/>
        </w:rPr>
        <w:t xml:space="preserve">que las curvas de supervivencia en las pacientes con enfermedad mínima residual (RCB-I) presentaron un pronóstico similar (a 5 años) a quienes alcanzan una respuesta patológica completa (RCB-0); por el </w:t>
      </w:r>
      <w:r w:rsidRPr="002774F8">
        <w:rPr>
          <w:rFonts w:ascii="Arial" w:hAnsi="Arial" w:cs="Arial"/>
          <w:color w:val="000000" w:themeColor="text1"/>
          <w:sz w:val="22"/>
          <w:szCs w:val="22"/>
          <w:shd w:val="clear" w:color="auto" w:fill="FFFFFF"/>
        </w:rPr>
        <w:t xml:space="preserve">contrario, cuando existe enfermedad residual extensa (RCB-III) el pronóstico es </w:t>
      </w:r>
      <w:r w:rsidRPr="002774F8">
        <w:rPr>
          <w:rFonts w:ascii="Arial" w:hAnsi="Arial" w:cs="Arial"/>
          <w:color w:val="000000" w:themeColor="text1"/>
          <w:sz w:val="22"/>
          <w:szCs w:val="22"/>
          <w:shd w:val="clear" w:color="auto" w:fill="FFFFFF"/>
        </w:rPr>
        <w:lastRenderedPageBreak/>
        <w:t xml:space="preserve">desfavorable. Según este estudio, las asociaciones en términos de recurrencia, progresión y muerte fueron estadísticamente significativas únicamente en pacientes con tumores luminal B y triple negativo; en pacientes con tumores luminal A y HER2 sobreexpresado hubo convergencia de datos. </w:t>
      </w:r>
      <w:r w:rsidR="006D66A4" w:rsidRPr="007A1920">
        <w:rPr>
          <w:rFonts w:ascii="Arial" w:hAnsi="Arial" w:cs="Arial"/>
          <w:color w:val="000000" w:themeColor="text1"/>
          <w:sz w:val="22"/>
          <w:szCs w:val="22"/>
          <w:shd w:val="clear" w:color="auto" w:fill="FFFFFF"/>
        </w:rPr>
        <w:t>S</w:t>
      </w:r>
      <w:r w:rsidRPr="002774F8">
        <w:rPr>
          <w:rFonts w:ascii="Arial" w:hAnsi="Arial" w:cs="Arial"/>
          <w:color w:val="000000" w:themeColor="text1"/>
          <w:sz w:val="22"/>
          <w:szCs w:val="22"/>
          <w:shd w:val="clear" w:color="auto" w:fill="FFFFFF"/>
        </w:rPr>
        <w:t xml:space="preserve">egún los autores, las pacientes con tumores luminal B y triple negativo mostraron  diferencias de supervivencia significativas cuando se estratifican por clase de RCB, siendo este índice una variable continua pronóstica de recurrencia a distancia, progresión y muerte </w:t>
      </w:r>
      <w:r w:rsidR="005C1139" w:rsidRPr="007A1920">
        <w:rPr>
          <w:rFonts w:ascii="Arial" w:hAnsi="Arial" w:cs="Arial"/>
          <w:color w:val="000000" w:themeColor="text1"/>
          <w:sz w:val="22"/>
          <w:szCs w:val="22"/>
          <w:shd w:val="clear" w:color="auto" w:fill="FFFFFF"/>
        </w:rPr>
        <w:t>[25].</w:t>
      </w:r>
    </w:p>
    <w:p w14:paraId="364D4B6A"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E52E997" w14:textId="32B6F078"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Con relación al tratamiento, en este estudio la administración de terapia endocrina y radioterapia adyuvantes se asoció con una reducción significativa del riesgo de recaída (</w:t>
      </w:r>
      <w:r w:rsidR="00CF4C3E" w:rsidRPr="007A1920">
        <w:rPr>
          <w:rFonts w:ascii="Arial" w:hAnsi="Arial" w:cs="Arial"/>
          <w:color w:val="000000" w:themeColor="text1"/>
          <w:sz w:val="22"/>
          <w:szCs w:val="22"/>
          <w:shd w:val="clear" w:color="auto" w:fill="FFFFFF"/>
        </w:rPr>
        <w:t xml:space="preserve">p&lt;0.01 </w:t>
      </w:r>
      <w:r w:rsidRPr="002774F8">
        <w:rPr>
          <w:rFonts w:ascii="Arial" w:hAnsi="Arial" w:cs="Arial"/>
          <w:color w:val="000000" w:themeColor="text1"/>
          <w:sz w:val="22"/>
          <w:szCs w:val="22"/>
          <w:shd w:val="clear" w:color="auto" w:fill="FFFFFF"/>
        </w:rPr>
        <w:t xml:space="preserve">y </w:t>
      </w:r>
      <w:r w:rsidR="00CF4C3E" w:rsidRPr="007A1920">
        <w:rPr>
          <w:rFonts w:ascii="Arial" w:hAnsi="Arial" w:cs="Arial"/>
          <w:color w:val="000000" w:themeColor="text1"/>
          <w:sz w:val="22"/>
          <w:szCs w:val="22"/>
          <w:shd w:val="clear" w:color="auto" w:fill="FFFFFF"/>
        </w:rPr>
        <w:t>p&lt;0.01)</w:t>
      </w:r>
      <w:r w:rsidRPr="002774F8">
        <w:rPr>
          <w:rFonts w:ascii="Arial" w:hAnsi="Arial" w:cs="Arial"/>
          <w:color w:val="000000" w:themeColor="text1"/>
          <w:sz w:val="22"/>
          <w:szCs w:val="22"/>
          <w:shd w:val="clear" w:color="auto" w:fill="FFFFFF"/>
        </w:rPr>
        <w:t xml:space="preserve">, respectivamente). Lo anterior está claramente establecido en la literatura desde hace varias décadas; un metaanálisis actualizado para el año 2011, del Early Breast Cancer Trialists’ Collaborative Group (EBCTCG, por sus siglas en inglés), demostró que 5 años de tamoxifeno reduce ​​en un 39% la recurrencia del cáncer de mama, y en aproximadamente 1/3 la mortalidad </w:t>
      </w:r>
      <w:r w:rsidR="005C1139" w:rsidRPr="007A1920">
        <w:rPr>
          <w:rFonts w:ascii="Arial" w:hAnsi="Arial" w:cs="Arial"/>
          <w:color w:val="000000" w:themeColor="text1"/>
          <w:sz w:val="22"/>
          <w:szCs w:val="22"/>
          <w:shd w:val="clear" w:color="auto" w:fill="FFFFFF"/>
        </w:rPr>
        <w:t>[26].</w:t>
      </w:r>
      <w:r w:rsidRPr="002774F8">
        <w:rPr>
          <w:rFonts w:ascii="Arial" w:hAnsi="Arial" w:cs="Arial"/>
          <w:color w:val="000000" w:themeColor="text1"/>
          <w:sz w:val="22"/>
          <w:szCs w:val="22"/>
          <w:shd w:val="clear" w:color="auto" w:fill="FFFFFF"/>
        </w:rPr>
        <w:t xml:space="preserve">con diferencias absolutas que son ligeramente mejores (3% y 2% para recurrencia y mortalidad, respectivamente) a favor de los inhibidores de la aromatasa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[27].</w:t>
      </w:r>
      <w:r w:rsidR="00BE6E8D" w:rsidRPr="007A1920">
        <w:rPr>
          <w:rFonts w:ascii="Arial" w:hAnsi="Arial" w:cs="Arial"/>
          <w:color w:val="000000" w:themeColor="text1"/>
          <w:sz w:val="22"/>
          <w:szCs w:val="22"/>
          <w:shd w:val="clear" w:color="auto" w:fill="FFFFFF"/>
        </w:rPr>
        <w:t xml:space="preserve"> </w:t>
      </w:r>
      <w:r w:rsidRPr="002774F8">
        <w:rPr>
          <w:rFonts w:ascii="Arial" w:hAnsi="Arial" w:cs="Arial"/>
          <w:color w:val="000000" w:themeColor="text1"/>
          <w:sz w:val="22"/>
          <w:szCs w:val="22"/>
          <w:shd w:val="clear" w:color="auto" w:fill="FFFFFF"/>
        </w:rPr>
        <w:t xml:space="preserve">Ahora bien, si el tratamiento hormonal se extiende más allá del año 5 (por 7 o 10 años), los beneficios en los desenlaces oncológicos son aún mayores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[28,29].</w:t>
      </w:r>
      <w:r w:rsidRPr="002774F8">
        <w:rPr>
          <w:rFonts w:ascii="Arial" w:hAnsi="Arial" w:cs="Arial"/>
          <w:color w:val="000000" w:themeColor="text1"/>
          <w:sz w:val="22"/>
          <w:szCs w:val="22"/>
          <w:shd w:val="clear" w:color="auto" w:fill="FFFFFF"/>
        </w:rPr>
        <w:t xml:space="preserve">En esta cohorte no se pudo evaluar el impacto del tipo y duración de la hormonoterapia en la recurrencia de la enfermedad debido a que </w:t>
      </w:r>
      <w:r w:rsidR="005769A4" w:rsidRPr="007A1920">
        <w:rPr>
          <w:rFonts w:ascii="Arial" w:hAnsi="Arial" w:cs="Arial"/>
          <w:color w:val="000000" w:themeColor="text1"/>
          <w:sz w:val="22"/>
          <w:szCs w:val="22"/>
          <w:shd w:val="clear" w:color="auto" w:fill="FFFFFF"/>
        </w:rPr>
        <w:t xml:space="preserve">solo se incluyeron pacientes que hubieran recibido al menos 5 años de tratamiento adyuvante con hormonoterapia y no se estandarizó por los diferentes tipos de esquemas. </w:t>
      </w:r>
      <w:r w:rsidRPr="002774F8">
        <w:rPr>
          <w:rFonts w:ascii="Arial" w:hAnsi="Arial" w:cs="Arial"/>
          <w:color w:val="000000" w:themeColor="text1"/>
          <w:sz w:val="22"/>
          <w:szCs w:val="22"/>
          <w:shd w:val="clear" w:color="auto" w:fill="FFFFFF"/>
        </w:rPr>
        <w:t>.</w:t>
      </w:r>
    </w:p>
    <w:p w14:paraId="5DD815A7"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5C392AA" w14:textId="3E361F58"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 xml:space="preserve">Con respecto a la radioterapia,  dos metaanálisis del EBCTCG han puntualizado que el beneficio en recurrencia y mortalidad se observa tanto en pacientes sometidas a cirugía conservadora como a mastectomía; así, en cirugía conservadora la reducción absoluta en el riesgo de cualquier primera recurrencia, locorregional o a distancia, es del 15,7%, y la reducción absoluta de la mortalidad es del 3,8%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 xml:space="preserve">[30]; </w:t>
      </w:r>
      <w:r w:rsidRPr="002774F8">
        <w:rPr>
          <w:rFonts w:ascii="Arial" w:hAnsi="Arial" w:cs="Arial"/>
          <w:color w:val="000000" w:themeColor="text1"/>
          <w:sz w:val="22"/>
          <w:szCs w:val="22"/>
          <w:shd w:val="clear" w:color="auto" w:fill="FFFFFF"/>
        </w:rPr>
        <w:t xml:space="preserve">y en pacientes llevadas a cirugía radical con 1 a 3 ganglios positivos, la disminución en el riesgo de global de recaída es del 32% y en el riesgo de morir por cáncer de mama de 20%, aun cuando de administra tratamiento sistémico. En pacientes con 4 o más ganglios positivos, la radioterapia reduce la recurrencia, local o a distancia, en un 21%, y la mortalidad por cáncer de mama en un 13% </w:t>
      </w:r>
      <w:r w:rsidR="005C1139" w:rsidRPr="002774F8">
        <w:rPr>
          <w:rFonts w:ascii="Arial" w:hAnsi="Arial" w:cs="Arial"/>
          <w:color w:val="000000" w:themeColor="text1"/>
          <w:sz w:val="22"/>
          <w:szCs w:val="22"/>
          <w:shd w:val="clear" w:color="auto" w:fill="FFFFFF"/>
        </w:rPr>
        <w:t xml:space="preserve"> </w:t>
      </w:r>
      <w:r w:rsidR="005C1139" w:rsidRPr="007A1920">
        <w:rPr>
          <w:rFonts w:ascii="Arial" w:hAnsi="Arial" w:cs="Arial"/>
          <w:color w:val="000000" w:themeColor="text1"/>
          <w:sz w:val="22"/>
          <w:szCs w:val="22"/>
          <w:shd w:val="clear" w:color="auto" w:fill="FFFFFF"/>
        </w:rPr>
        <w:t>[31].</w:t>
      </w:r>
    </w:p>
    <w:p w14:paraId="7ADE6C48"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1ECEEE8" w14:textId="73A828B3" w:rsidR="002774F8" w:rsidRPr="002774F8" w:rsidRDefault="00987E5C" w:rsidP="002774F8">
      <w:pPr>
        <w:spacing w:after="0" w:line="240" w:lineRule="auto"/>
        <w:jc w:val="both"/>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En este estudio, la mayoría de las recaídas ocurrieron a distancia (78%; n=149), y dentro del  análisis de los patrones de recaída por biología tumoral, se pudo determinar que las pacientes con tumores luminal A presentaron enfermedad recurrente predominantemente a hueso, las pacientes con tumores luminal B/HER2 negativo  y positivo a hueso y pulmón, HER2 puro en pulmón e hígado y triple negativo en pulmón y sistema nervioso central. Lo anterior es consistente con la literatura; el estudio de Ignatov y colaboradores m</w:t>
      </w:r>
      <w:r w:rsidR="006D66A4" w:rsidRPr="007A1920">
        <w:rPr>
          <w:rFonts w:ascii="Arial" w:hAnsi="Arial" w:cs="Arial"/>
          <w:color w:val="000000" w:themeColor="text1"/>
          <w:sz w:val="22"/>
          <w:szCs w:val="22"/>
          <w:shd w:val="clear" w:color="auto" w:fill="FFFFFF"/>
        </w:rPr>
        <w:t>ostro</w:t>
      </w:r>
      <w:r w:rsidRPr="007A1920">
        <w:rPr>
          <w:rFonts w:ascii="Arial" w:hAnsi="Arial" w:cs="Arial"/>
          <w:color w:val="000000" w:themeColor="text1"/>
          <w:sz w:val="22"/>
          <w:szCs w:val="22"/>
          <w:shd w:val="clear" w:color="auto" w:fill="FFFFFF"/>
        </w:rPr>
        <w:t xml:space="preserve"> una mayor probabilidad de recaída a nivel óseo en pacientes con tumores luminal A (2,1%) y luminal B (5,7%), en sistema nervioso central (5,9%) e hígado (5,4%) en pacientes con tumores HER2 puro, y pulmonar (7%), cerebro (4,9%) y hepático (3,4%) en aquellas con enfermedad triple negativa </w:t>
      </w:r>
      <w:r w:rsidR="002774F8" w:rsidRPr="002774F8">
        <w:rPr>
          <w:rFonts w:ascii="Arial" w:hAnsi="Arial" w:cs="Arial"/>
          <w:color w:val="000000" w:themeColor="text1"/>
          <w:sz w:val="22"/>
          <w:szCs w:val="22"/>
          <w:shd w:val="clear" w:color="auto" w:fill="FFFFFF"/>
        </w:rPr>
        <w:t xml:space="preserve">(6). Similares patrones de recaída son descritos por otros autores </w:t>
      </w:r>
      <w:r w:rsidR="005C1139" w:rsidRPr="007A1920">
        <w:rPr>
          <w:rFonts w:ascii="Arial" w:hAnsi="Arial" w:cs="Arial"/>
          <w:color w:val="000000" w:themeColor="text1"/>
          <w:sz w:val="22"/>
          <w:szCs w:val="22"/>
          <w:shd w:val="clear" w:color="auto" w:fill="FFFFFF"/>
        </w:rPr>
        <w:t>[32,33,34].</w:t>
      </w:r>
    </w:p>
    <w:p w14:paraId="39961193"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D2CFF55" w14:textId="666ED837" w:rsidR="002774F8" w:rsidRPr="002774F8" w:rsidRDefault="006D66A4" w:rsidP="002774F8">
      <w:pPr>
        <w:spacing w:after="0" w:line="240" w:lineRule="auto"/>
        <w:jc w:val="both"/>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 xml:space="preserve">Conocer </w:t>
      </w:r>
      <w:r w:rsidR="002774F8" w:rsidRPr="002774F8">
        <w:rPr>
          <w:rFonts w:ascii="Arial" w:hAnsi="Arial" w:cs="Arial"/>
          <w:color w:val="000000" w:themeColor="text1"/>
          <w:sz w:val="22"/>
          <w:szCs w:val="22"/>
          <w:shd w:val="clear" w:color="auto" w:fill="FFFFFF"/>
        </w:rPr>
        <w:t>los patrones de recurrencia del cáncer de mam</w:t>
      </w:r>
      <w:r w:rsidRPr="007A1920">
        <w:rPr>
          <w:rFonts w:ascii="Arial" w:hAnsi="Arial" w:cs="Arial"/>
          <w:color w:val="000000" w:themeColor="text1"/>
          <w:sz w:val="22"/>
          <w:szCs w:val="22"/>
          <w:shd w:val="clear" w:color="auto" w:fill="FFFFFF"/>
        </w:rPr>
        <w:t xml:space="preserve">a en relacion a la localizacion de la recaida </w:t>
      </w:r>
      <w:r w:rsidR="002774F8" w:rsidRPr="002774F8">
        <w:rPr>
          <w:rFonts w:ascii="Arial" w:hAnsi="Arial" w:cs="Arial"/>
          <w:color w:val="000000" w:themeColor="text1"/>
          <w:sz w:val="22"/>
          <w:szCs w:val="22"/>
          <w:shd w:val="clear" w:color="auto" w:fill="FFFFFF"/>
        </w:rPr>
        <w:t xml:space="preserve">(ganglionar, ósea, visceral, piel, tejidos blandos, etc.) </w:t>
      </w:r>
      <w:r w:rsidRPr="007A1920">
        <w:rPr>
          <w:rFonts w:ascii="Arial" w:hAnsi="Arial" w:cs="Arial"/>
          <w:color w:val="000000" w:themeColor="text1"/>
          <w:sz w:val="22"/>
          <w:szCs w:val="22"/>
          <w:shd w:val="clear" w:color="auto" w:fill="FFFFFF"/>
        </w:rPr>
        <w:t xml:space="preserve"> y su relacion con los </w:t>
      </w:r>
      <w:r w:rsidR="002774F8" w:rsidRPr="002774F8">
        <w:rPr>
          <w:rFonts w:ascii="Arial" w:hAnsi="Arial" w:cs="Arial"/>
          <w:color w:val="000000" w:themeColor="text1"/>
          <w:sz w:val="22"/>
          <w:szCs w:val="22"/>
          <w:shd w:val="clear" w:color="auto" w:fill="FFFFFF"/>
        </w:rPr>
        <w:t>subtipo</w:t>
      </w:r>
      <w:r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biológico</w:t>
      </w:r>
      <w:r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y el estadio clínico, podría</w:t>
      </w:r>
      <w:r w:rsidRPr="007A1920">
        <w:rPr>
          <w:rFonts w:ascii="Arial" w:hAnsi="Arial" w:cs="Arial"/>
          <w:color w:val="000000" w:themeColor="text1"/>
          <w:sz w:val="22"/>
          <w:szCs w:val="22"/>
          <w:shd w:val="clear" w:color="auto" w:fill="FFFFFF"/>
        </w:rPr>
        <w:t>n</w:t>
      </w:r>
      <w:r w:rsidR="002774F8" w:rsidRPr="002774F8">
        <w:rPr>
          <w:rFonts w:ascii="Arial" w:hAnsi="Arial" w:cs="Arial"/>
          <w:color w:val="000000" w:themeColor="text1"/>
          <w:sz w:val="22"/>
          <w:szCs w:val="22"/>
          <w:shd w:val="clear" w:color="auto" w:fill="FFFFFF"/>
        </w:rPr>
        <w:t xml:space="preserve"> ser importante</w:t>
      </w:r>
      <w:r w:rsidR="001E16C6" w:rsidRPr="007A1920">
        <w:rPr>
          <w:rFonts w:ascii="Arial" w:hAnsi="Arial" w:cs="Arial"/>
          <w:color w:val="000000" w:themeColor="text1"/>
          <w:sz w:val="22"/>
          <w:szCs w:val="22"/>
          <w:shd w:val="clear" w:color="auto" w:fill="FFFFFF"/>
        </w:rPr>
        <w:t>s</w:t>
      </w:r>
      <w:r w:rsidR="002774F8" w:rsidRPr="002774F8">
        <w:rPr>
          <w:rFonts w:ascii="Arial" w:hAnsi="Arial" w:cs="Arial"/>
          <w:color w:val="000000" w:themeColor="text1"/>
          <w:sz w:val="22"/>
          <w:szCs w:val="22"/>
          <w:shd w:val="clear" w:color="auto" w:fill="FFFFFF"/>
        </w:rPr>
        <w:t xml:space="preserve"> para definir estrategias diferenciadas de seguimiento. </w:t>
      </w:r>
      <w:r w:rsidR="001E16C6" w:rsidRPr="007A1920">
        <w:rPr>
          <w:rFonts w:ascii="Arial" w:hAnsi="Arial" w:cs="Arial"/>
          <w:color w:val="000000" w:themeColor="text1"/>
          <w:sz w:val="22"/>
          <w:szCs w:val="22"/>
          <w:shd w:val="clear" w:color="auto" w:fill="FFFFFF"/>
        </w:rPr>
        <w:t xml:space="preserve"> </w:t>
      </w:r>
      <w:r w:rsidR="002774F8" w:rsidRPr="002774F8">
        <w:rPr>
          <w:rFonts w:ascii="Arial" w:hAnsi="Arial" w:cs="Arial"/>
          <w:color w:val="000000" w:themeColor="text1"/>
          <w:sz w:val="22"/>
          <w:szCs w:val="22"/>
          <w:shd w:val="clear" w:color="auto" w:fill="FFFFFF"/>
        </w:rPr>
        <w:t xml:space="preserve">Es así como, </w:t>
      </w:r>
      <w:r w:rsidR="001E16C6" w:rsidRPr="007A1920">
        <w:rPr>
          <w:rFonts w:ascii="Arial" w:hAnsi="Arial" w:cs="Arial"/>
          <w:color w:val="000000" w:themeColor="text1"/>
          <w:sz w:val="22"/>
          <w:szCs w:val="22"/>
          <w:shd w:val="clear" w:color="auto" w:fill="FFFFFF"/>
        </w:rPr>
        <w:t xml:space="preserve">como los </w:t>
      </w:r>
      <w:r w:rsidR="002774F8" w:rsidRPr="002774F8">
        <w:rPr>
          <w:rFonts w:ascii="Arial" w:hAnsi="Arial" w:cs="Arial"/>
          <w:color w:val="000000" w:themeColor="text1"/>
          <w:sz w:val="22"/>
          <w:szCs w:val="22"/>
          <w:shd w:val="clear" w:color="auto" w:fill="FFFFFF"/>
        </w:rPr>
        <w:t xml:space="preserve">pacientes con tumores luminales, </w:t>
      </w:r>
      <w:r w:rsidR="001E16C6" w:rsidRPr="007A1920">
        <w:rPr>
          <w:rFonts w:ascii="Arial" w:hAnsi="Arial" w:cs="Arial"/>
          <w:color w:val="000000" w:themeColor="text1"/>
          <w:sz w:val="22"/>
          <w:szCs w:val="22"/>
          <w:shd w:val="clear" w:color="auto" w:fill="FFFFFF"/>
        </w:rPr>
        <w:t>tienen</w:t>
      </w:r>
      <w:r w:rsidR="002774F8" w:rsidRPr="002774F8">
        <w:rPr>
          <w:rFonts w:ascii="Arial" w:hAnsi="Arial" w:cs="Arial"/>
          <w:color w:val="000000" w:themeColor="text1"/>
          <w:sz w:val="22"/>
          <w:szCs w:val="22"/>
          <w:shd w:val="clear" w:color="auto" w:fill="FFFFFF"/>
        </w:rPr>
        <w:t xml:space="preserve"> mayor riesgo de recaída a distancia </w:t>
      </w:r>
      <w:r w:rsidR="001E16C6" w:rsidRPr="007A1920">
        <w:rPr>
          <w:rFonts w:ascii="Arial" w:hAnsi="Arial" w:cs="Arial"/>
          <w:color w:val="000000" w:themeColor="text1"/>
          <w:sz w:val="22"/>
          <w:szCs w:val="22"/>
          <w:shd w:val="clear" w:color="auto" w:fill="FFFFFF"/>
        </w:rPr>
        <w:t>a</w:t>
      </w:r>
      <w:r w:rsidR="002774F8" w:rsidRPr="002774F8">
        <w:rPr>
          <w:rFonts w:ascii="Arial" w:hAnsi="Arial" w:cs="Arial"/>
          <w:color w:val="000000" w:themeColor="text1"/>
          <w:sz w:val="22"/>
          <w:szCs w:val="22"/>
          <w:shd w:val="clear" w:color="auto" w:fill="FFFFFF"/>
        </w:rPr>
        <w:t xml:space="preserve"> hueso, eventualmente podría plantearse un seguimiento adicional con gammagrafía ósea;</w:t>
      </w:r>
      <w:r w:rsidR="001E16C6" w:rsidRPr="007A1920">
        <w:rPr>
          <w:rFonts w:ascii="Arial" w:hAnsi="Arial" w:cs="Arial"/>
          <w:color w:val="000000" w:themeColor="text1"/>
          <w:sz w:val="22"/>
          <w:szCs w:val="22"/>
          <w:shd w:val="clear" w:color="auto" w:fill="FFFFFF"/>
        </w:rPr>
        <w:t xml:space="preserve"> mientras, que</w:t>
      </w:r>
      <w:r w:rsidR="002774F8" w:rsidRPr="002774F8">
        <w:rPr>
          <w:rFonts w:ascii="Arial" w:hAnsi="Arial" w:cs="Arial"/>
          <w:color w:val="000000" w:themeColor="text1"/>
          <w:sz w:val="22"/>
          <w:szCs w:val="22"/>
          <w:shd w:val="clear" w:color="auto" w:fill="FFFFFF"/>
        </w:rPr>
        <w:t xml:space="preserve"> en pacientes con tumores HER2 puro o triple negativo</w:t>
      </w:r>
      <w:r w:rsidR="001E16C6" w:rsidRPr="007A1920">
        <w:rPr>
          <w:rFonts w:ascii="Arial" w:hAnsi="Arial" w:cs="Arial"/>
          <w:color w:val="000000" w:themeColor="text1"/>
          <w:sz w:val="22"/>
          <w:szCs w:val="22"/>
          <w:shd w:val="clear" w:color="auto" w:fill="FFFFFF"/>
        </w:rPr>
        <w:t xml:space="preserve">, la </w:t>
      </w:r>
      <w:r w:rsidR="002774F8" w:rsidRPr="002774F8">
        <w:rPr>
          <w:rFonts w:ascii="Arial" w:hAnsi="Arial" w:cs="Arial"/>
          <w:color w:val="000000" w:themeColor="text1"/>
          <w:sz w:val="22"/>
          <w:szCs w:val="22"/>
          <w:shd w:val="clear" w:color="auto" w:fill="FFFFFF"/>
        </w:rPr>
        <w:t xml:space="preserve">mayor </w:t>
      </w:r>
      <w:r w:rsidR="001E16C6" w:rsidRPr="007A1920">
        <w:rPr>
          <w:rFonts w:ascii="Arial" w:hAnsi="Arial" w:cs="Arial"/>
          <w:color w:val="000000" w:themeColor="text1"/>
          <w:sz w:val="22"/>
          <w:szCs w:val="22"/>
          <w:shd w:val="clear" w:color="auto" w:fill="FFFFFF"/>
        </w:rPr>
        <w:t xml:space="preserve"> probabilidad </w:t>
      </w:r>
      <w:r w:rsidR="002774F8" w:rsidRPr="002774F8">
        <w:rPr>
          <w:rFonts w:ascii="Arial" w:hAnsi="Arial" w:cs="Arial"/>
          <w:color w:val="000000" w:themeColor="text1"/>
          <w:sz w:val="22"/>
          <w:szCs w:val="22"/>
          <w:shd w:val="clear" w:color="auto" w:fill="FFFFFF"/>
        </w:rPr>
        <w:t xml:space="preserve">de recaída </w:t>
      </w:r>
      <w:r w:rsidR="001E16C6" w:rsidRPr="007A1920">
        <w:rPr>
          <w:rFonts w:ascii="Arial" w:hAnsi="Arial" w:cs="Arial"/>
          <w:color w:val="000000" w:themeColor="text1"/>
          <w:sz w:val="22"/>
          <w:szCs w:val="22"/>
          <w:shd w:val="clear" w:color="auto" w:fill="FFFFFF"/>
        </w:rPr>
        <w:t xml:space="preserve"> es </w:t>
      </w:r>
      <w:r w:rsidR="002774F8" w:rsidRPr="002774F8">
        <w:rPr>
          <w:rFonts w:ascii="Arial" w:hAnsi="Arial" w:cs="Arial"/>
          <w:color w:val="000000" w:themeColor="text1"/>
          <w:sz w:val="22"/>
          <w:szCs w:val="22"/>
          <w:shd w:val="clear" w:color="auto" w:fill="FFFFFF"/>
        </w:rPr>
        <w:t xml:space="preserve">a distancia en pulmón/pleura y SNC, </w:t>
      </w:r>
      <w:r w:rsidR="001E16C6" w:rsidRPr="007A1920">
        <w:rPr>
          <w:rFonts w:ascii="Arial" w:hAnsi="Arial" w:cs="Arial"/>
          <w:color w:val="000000" w:themeColor="text1"/>
          <w:sz w:val="22"/>
          <w:szCs w:val="22"/>
          <w:shd w:val="clear" w:color="auto" w:fill="FFFFFF"/>
        </w:rPr>
        <w:t xml:space="preserve">podria incluirse </w:t>
      </w:r>
      <w:r w:rsidR="002774F8" w:rsidRPr="002774F8">
        <w:rPr>
          <w:rFonts w:ascii="Arial" w:hAnsi="Arial" w:cs="Arial"/>
          <w:color w:val="000000" w:themeColor="text1"/>
          <w:sz w:val="22"/>
          <w:szCs w:val="22"/>
          <w:shd w:val="clear" w:color="auto" w:fill="FFFFFF"/>
        </w:rPr>
        <w:t xml:space="preserve"> TAC de tórax y resonancia de cerebro. De manera similar ocurriría con pacientes con tumores localmente </w:t>
      </w:r>
      <w:r w:rsidR="002774F8" w:rsidRPr="002774F8">
        <w:rPr>
          <w:rFonts w:ascii="Arial" w:hAnsi="Arial" w:cs="Arial"/>
          <w:color w:val="000000" w:themeColor="text1"/>
          <w:sz w:val="22"/>
          <w:szCs w:val="22"/>
          <w:shd w:val="clear" w:color="auto" w:fill="FFFFFF"/>
        </w:rPr>
        <w:lastRenderedPageBreak/>
        <w:t xml:space="preserve">avanzados (vs en estadios tempranos), quienes también tienen un mayor riesgo de recaída y en quienes se podría plantear igualmente un seguimiento clínico e imagenológico más estricto, guiado además según la biología tumoral. Lo anterior cobra mucha más relevancia si se tiene en cuenta que ya hay literatura que sugiere que la detección de recurrencia mediante imágenes en supervivientes asintomáticas, en comparación con aquellas con signos y síntomas, se asocia con un menor riesgo de muerte en pacientes con tumores triple negativo y HER2 positivo, pero no en tumores RH positivo y HER2 negativo </w:t>
      </w:r>
      <w:r w:rsidR="005C1139" w:rsidRPr="007A1920">
        <w:rPr>
          <w:rFonts w:ascii="Arial" w:hAnsi="Arial" w:cs="Arial"/>
          <w:color w:val="000000" w:themeColor="text1"/>
          <w:sz w:val="22"/>
          <w:szCs w:val="22"/>
          <w:shd w:val="clear" w:color="auto" w:fill="FFFFFF"/>
        </w:rPr>
        <w:t>[35].</w:t>
      </w:r>
    </w:p>
    <w:p w14:paraId="524C2BEE"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4F3E315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Por el número de eventos y el tiempo de seguimiento de este estudio, no fue posible caracterizar con certeza los sitios de recaída por biología tumoral, con el objetivo de establecer estrategias de seguimiento diferenciadas y acordes con cada subtipo biológico de cáncer de mama.</w:t>
      </w:r>
    </w:p>
    <w:p w14:paraId="1FF69A76"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529076E2" w14:textId="0CEF8A99"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r w:rsidRPr="002774F8">
        <w:rPr>
          <w:rFonts w:ascii="Arial" w:hAnsi="Arial" w:cs="Arial"/>
          <w:color w:val="000000" w:themeColor="text1"/>
          <w:sz w:val="22"/>
          <w:szCs w:val="22"/>
          <w:shd w:val="clear" w:color="auto" w:fill="FFFFFF"/>
        </w:rPr>
        <w:t>Finalmente, es importante mencionar que por el momento en que se diseñó el estudio y las fechas de aprobación de las terapias antineoplásicas por las autoridades regulatorias en Colombia (INVIMA), no es posible evaluar el impacto de los más recientes tratamientos oncológicos, que hoy en día son estándar, como la inmunoterapia y el bloqueo dual anti HER2 en el escenario neoadyuvante, para el cáncer de mama triple negativo y HER2 positivo, respectivamente, ni el uso de iCDK4/6 en el escenario adyuvante para tumores luminales, así como tampoco el uso de TDM1, capecitabina u olaparib en la enfermedad residual para tumores HER2, triple negativo, o en pacientes BRCA mutadas</w:t>
      </w:r>
      <w:r w:rsidR="001E16C6" w:rsidRPr="007A1920">
        <w:rPr>
          <w:rFonts w:ascii="Arial" w:hAnsi="Arial" w:cs="Arial"/>
          <w:color w:val="000000" w:themeColor="text1"/>
          <w:sz w:val="22"/>
          <w:szCs w:val="22"/>
          <w:shd w:val="clear" w:color="auto" w:fill="FFFFFF"/>
        </w:rPr>
        <w:t>.</w:t>
      </w:r>
    </w:p>
    <w:p w14:paraId="71E06D90" w14:textId="77777777" w:rsidR="002774F8" w:rsidRPr="002774F8" w:rsidRDefault="002774F8" w:rsidP="002774F8">
      <w:pPr>
        <w:spacing w:after="0" w:line="240" w:lineRule="auto"/>
        <w:jc w:val="both"/>
        <w:rPr>
          <w:rFonts w:ascii="Arial" w:hAnsi="Arial" w:cs="Arial"/>
          <w:color w:val="000000" w:themeColor="text1"/>
          <w:sz w:val="22"/>
          <w:szCs w:val="22"/>
          <w:shd w:val="clear" w:color="auto" w:fill="FFFFFF"/>
        </w:rPr>
      </w:pPr>
    </w:p>
    <w:p w14:paraId="21469747" w14:textId="77777777" w:rsidR="0046240C" w:rsidRPr="007A1920" w:rsidRDefault="0046240C" w:rsidP="002774F8">
      <w:pPr>
        <w:spacing w:after="0"/>
        <w:rPr>
          <w:rFonts w:ascii="Arial" w:hAnsi="Arial" w:cs="Arial"/>
          <w:b/>
          <w:bCs/>
          <w:color w:val="000000" w:themeColor="text1"/>
          <w:sz w:val="22"/>
          <w:szCs w:val="22"/>
          <w:u w:val="single"/>
          <w:shd w:val="clear" w:color="auto" w:fill="FFFFFF"/>
        </w:rPr>
      </w:pPr>
    </w:p>
    <w:p w14:paraId="472AC686" w14:textId="6EBB609C" w:rsidR="003A690A" w:rsidRPr="007A1920" w:rsidRDefault="0046240C" w:rsidP="0029401A">
      <w:pPr>
        <w:pStyle w:val="ListParagraph"/>
        <w:numPr>
          <w:ilvl w:val="0"/>
          <w:numId w:val="17"/>
        </w:numPr>
        <w:spacing w:after="0"/>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CONCLUSIONES</w:t>
      </w:r>
    </w:p>
    <w:p w14:paraId="5A9AE43D" w14:textId="0F624F02" w:rsidR="003A690A" w:rsidRPr="007A1920" w:rsidRDefault="003A690A" w:rsidP="003A690A">
      <w:pPr>
        <w:pStyle w:val="NormalWeb"/>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 xml:space="preserve">En esta cohorte de pacientes con cáncer de mama en estadios I–III, aproximadamente una cuarta parte desarrolló recaída tumoral durante el seguimiento, siendo la recaída a distancia el patrón predominante. La recurrencia se asoció de manera consistente con </w:t>
      </w:r>
      <w:r w:rsidR="001E16C6" w:rsidRPr="007A1920">
        <w:rPr>
          <w:rFonts w:ascii="Arial" w:eastAsiaTheme="minorHAnsi" w:hAnsi="Arial" w:cs="Arial"/>
          <w:color w:val="000000" w:themeColor="text1"/>
          <w:kern w:val="2"/>
          <w:sz w:val="22"/>
          <w:szCs w:val="22"/>
          <w:shd w:val="clear" w:color="auto" w:fill="FFFFFF"/>
          <w14:ligatures w14:val="standardContextual"/>
        </w:rPr>
        <w:t xml:space="preserve">el </w:t>
      </w:r>
      <w:r w:rsidRPr="007A1920">
        <w:rPr>
          <w:rFonts w:ascii="Arial" w:eastAsiaTheme="minorHAnsi" w:hAnsi="Arial" w:cs="Arial"/>
          <w:color w:val="000000" w:themeColor="text1"/>
          <w:kern w:val="2"/>
          <w:sz w:val="22"/>
          <w:szCs w:val="22"/>
          <w:shd w:val="clear" w:color="auto" w:fill="FFFFFF"/>
          <w14:ligatures w14:val="standardContextual"/>
        </w:rPr>
        <w:t>estadio clínico avanzado, subtipos moleculares de mayor agresividad, compromiso ganglionar extenso, invasión linfovascular, alto grado histológico y mayor carga tumoral residual, lo que confirma la influencia combinada de la biología tumoral y la extensión inicial de la enfermedad sobre el pronóstico oncológico.</w:t>
      </w:r>
    </w:p>
    <w:p w14:paraId="72986541" w14:textId="774F1AD9" w:rsidR="0046240C" w:rsidRPr="007A1920" w:rsidRDefault="003A690A" w:rsidP="003A690A">
      <w:pPr>
        <w:pStyle w:val="NormalWeb"/>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En el análisis multivariado, estos factores mantuvieron su impacto pronóstico independiente, mientras que la terapia endocrina y la radioterapia adyuvante se asociaron con una reducción significativa del riesgo de recaída. Desde una perspectiva clínica, la identificación temprana de pacientes con alto riesgo de recaída permite individualizar el seguimiento, con el potencial de mejorar de manera significativa los desenlaces oncológicos.</w:t>
      </w:r>
    </w:p>
    <w:p w14:paraId="5852912E" w14:textId="58AE6769" w:rsidR="0046240C" w:rsidRPr="007A1920" w:rsidRDefault="003A690A" w:rsidP="003A690A">
      <w:pPr>
        <w:spacing w:after="0"/>
        <w:jc w:val="both"/>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Contribución de los autores</w:t>
      </w:r>
    </w:p>
    <w:p w14:paraId="40CCEB8F" w14:textId="264C2002" w:rsidR="0046240C" w:rsidRPr="007A1920" w:rsidRDefault="0046240C" w:rsidP="003A690A">
      <w:pPr>
        <w:pStyle w:val="NormalWeb"/>
        <w:spacing w:before="0" w:beforeAutospacing="0" w:after="0" w:afterAutospacing="0"/>
        <w:jc w:val="both"/>
        <w:rPr>
          <w:rFonts w:ascii="Arial" w:eastAsiaTheme="minorHAnsi" w:hAnsi="Arial" w:cs="Arial"/>
          <w:color w:val="000000" w:themeColor="text1"/>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Conceptualización: Ximena Briceño, Sandra Díaz-Casa. Metodología, Software, validacióny análisis formal: Marcela Nuñez-Lemus. Investigación: Natalia Lasprilla y Erika Benito. Recolección de datos: Natalia Lasprilla y Erika Benito. Redacción y preparación de borrador original: Natalia Lasprilla</w:t>
      </w:r>
      <w:r w:rsidR="009E591C" w:rsidRPr="007A1920">
        <w:rPr>
          <w:rFonts w:ascii="Arial" w:eastAsiaTheme="minorHAnsi" w:hAnsi="Arial" w:cs="Arial"/>
          <w:color w:val="000000" w:themeColor="text1"/>
          <w:kern w:val="2"/>
          <w:sz w:val="22"/>
          <w:szCs w:val="22"/>
          <w:shd w:val="clear" w:color="auto" w:fill="FFFFFF"/>
          <w14:ligatures w14:val="standardContextual"/>
        </w:rPr>
        <w:t xml:space="preserve">, </w:t>
      </w:r>
      <w:r w:rsidRPr="007A1920">
        <w:rPr>
          <w:rFonts w:ascii="Arial" w:eastAsiaTheme="minorHAnsi" w:hAnsi="Arial" w:cs="Arial"/>
          <w:color w:val="000000" w:themeColor="text1"/>
          <w:kern w:val="2"/>
          <w:sz w:val="22"/>
          <w:szCs w:val="22"/>
          <w:shd w:val="clear" w:color="auto" w:fill="FFFFFF"/>
          <w14:ligatures w14:val="standardContextual"/>
        </w:rPr>
        <w:t>Erika Benito</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 R</w:t>
      </w:r>
      <w:r w:rsidRPr="007A1920">
        <w:rPr>
          <w:rFonts w:ascii="Arial" w:eastAsiaTheme="minorHAnsi" w:hAnsi="Arial" w:cs="Arial"/>
          <w:color w:val="000000" w:themeColor="text1"/>
          <w:kern w:val="2"/>
          <w:sz w:val="22"/>
          <w:szCs w:val="22"/>
          <w:shd w:val="clear" w:color="auto" w:fill="FFFFFF"/>
          <w14:ligatures w14:val="standardContextual"/>
        </w:rPr>
        <w:t>evisión y edición</w:t>
      </w:r>
      <w:r w:rsidR="009E591C" w:rsidRPr="007A1920">
        <w:rPr>
          <w:rFonts w:ascii="Arial" w:eastAsiaTheme="minorHAnsi" w:hAnsi="Arial" w:cs="Arial"/>
          <w:color w:val="000000" w:themeColor="text1"/>
          <w:kern w:val="2"/>
          <w:sz w:val="22"/>
          <w:szCs w:val="22"/>
          <w:shd w:val="clear" w:color="auto" w:fill="FFFFFF"/>
          <w14:ligatures w14:val="standardContextual"/>
        </w:rPr>
        <w:t>: Sandra Díaz-Casas. Ad</w:t>
      </w:r>
      <w:r w:rsidRPr="007A1920">
        <w:rPr>
          <w:rFonts w:ascii="Arial" w:eastAsiaTheme="minorHAnsi" w:hAnsi="Arial" w:cs="Arial"/>
          <w:color w:val="000000" w:themeColor="text1"/>
          <w:kern w:val="2"/>
          <w:sz w:val="22"/>
          <w:szCs w:val="22"/>
          <w:shd w:val="clear" w:color="auto" w:fill="FFFFFF"/>
          <w14:ligatures w14:val="standardContextual"/>
        </w:rPr>
        <w:t>ministración del proyecto</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 A</w:t>
      </w:r>
      <w:r w:rsidRPr="007A1920">
        <w:rPr>
          <w:rFonts w:ascii="Arial" w:eastAsiaTheme="minorHAnsi" w:hAnsi="Arial" w:cs="Arial"/>
          <w:color w:val="000000" w:themeColor="text1"/>
          <w:kern w:val="2"/>
          <w:sz w:val="22"/>
          <w:szCs w:val="22"/>
          <w:shd w:val="clear" w:color="auto" w:fill="FFFFFF"/>
          <w14:ligatures w14:val="standardContextual"/>
        </w:rPr>
        <w:t>dquisición de financiación</w:t>
      </w:r>
      <w:r w:rsidR="009E591C" w:rsidRPr="007A1920">
        <w:rPr>
          <w:rFonts w:ascii="Arial" w:eastAsiaTheme="minorHAnsi" w:hAnsi="Arial" w:cs="Arial"/>
          <w:color w:val="000000" w:themeColor="text1"/>
          <w:kern w:val="2"/>
          <w:sz w:val="22"/>
          <w:szCs w:val="22"/>
          <w:shd w:val="clear" w:color="auto" w:fill="FFFFFF"/>
          <w14:ligatures w14:val="standardContextual"/>
        </w:rPr>
        <w:t>: Ximena Briceño</w:t>
      </w:r>
      <w:r w:rsidRPr="007A1920">
        <w:rPr>
          <w:rFonts w:ascii="Arial" w:eastAsiaTheme="minorHAnsi" w:hAnsi="Arial" w:cs="Arial"/>
          <w:color w:val="000000" w:themeColor="text1"/>
          <w:kern w:val="2"/>
          <w:sz w:val="22"/>
          <w:szCs w:val="22"/>
          <w:shd w:val="clear" w:color="auto" w:fill="FFFFFF"/>
          <w14:ligatures w14:val="standardContextual"/>
        </w:rPr>
        <w:t>. Todos los autores han leído y aceptado la versión publicada del manuscrito.</w:t>
      </w:r>
    </w:p>
    <w:p w14:paraId="40A292F0" w14:textId="77777777" w:rsidR="009E591C" w:rsidRPr="007A1920" w:rsidRDefault="009E591C" w:rsidP="009E591C">
      <w:pPr>
        <w:spacing w:after="0"/>
        <w:rPr>
          <w:rFonts w:ascii="Arial" w:hAnsi="Arial" w:cs="Arial"/>
          <w:b/>
          <w:bCs/>
          <w:color w:val="000000" w:themeColor="text1"/>
          <w:sz w:val="22"/>
          <w:szCs w:val="22"/>
          <w:u w:val="single"/>
          <w:shd w:val="clear" w:color="auto" w:fill="FFFFFF"/>
        </w:rPr>
      </w:pPr>
    </w:p>
    <w:p w14:paraId="03AF2656" w14:textId="0B459929" w:rsidR="009E591C" w:rsidRPr="007A1920" w:rsidRDefault="009E591C" w:rsidP="009E591C">
      <w:pPr>
        <w:spacing w:after="0"/>
        <w:rPr>
          <w:rFonts w:ascii="Arial" w:hAnsi="Arial" w:cs="Arial"/>
          <w:b/>
          <w:bCs/>
          <w:color w:val="000000" w:themeColor="text1"/>
          <w:sz w:val="22"/>
          <w:szCs w:val="22"/>
          <w:u w:val="single"/>
          <w:shd w:val="clear" w:color="auto" w:fill="FFFFFF"/>
        </w:rPr>
      </w:pPr>
      <w:r w:rsidRPr="007A1920">
        <w:rPr>
          <w:rFonts w:ascii="Arial" w:hAnsi="Arial" w:cs="Arial"/>
          <w:b/>
          <w:bCs/>
          <w:color w:val="000000" w:themeColor="text1"/>
          <w:sz w:val="22"/>
          <w:szCs w:val="22"/>
          <w:u w:val="single"/>
          <w:shd w:val="clear" w:color="auto" w:fill="FFFFFF"/>
        </w:rPr>
        <w:t>Financiación</w:t>
      </w:r>
    </w:p>
    <w:p w14:paraId="04C91205" w14:textId="58201318" w:rsidR="009E591C" w:rsidRPr="007A1920" w:rsidRDefault="009E591C" w:rsidP="009E591C">
      <w:pPr>
        <w:spacing w:after="0"/>
        <w:rPr>
          <w:rFonts w:ascii="Arial" w:hAnsi="Arial" w:cs="Arial"/>
          <w:color w:val="000000" w:themeColor="text1"/>
          <w:sz w:val="22"/>
          <w:szCs w:val="22"/>
          <w:shd w:val="clear" w:color="auto" w:fill="FFFFFF"/>
        </w:rPr>
      </w:pPr>
      <w:r w:rsidRPr="007A1920">
        <w:rPr>
          <w:rFonts w:ascii="Arial" w:hAnsi="Arial" w:cs="Arial"/>
          <w:color w:val="000000" w:themeColor="text1"/>
          <w:sz w:val="22"/>
          <w:szCs w:val="22"/>
          <w:shd w:val="clear" w:color="auto" w:fill="FFFFFF"/>
        </w:rPr>
        <w:t>Este estudio fue financiado con recursos del Instituto Nacional de Cancerología, Bogotá, Colombia.</w:t>
      </w:r>
    </w:p>
    <w:p w14:paraId="6D9F5039" w14:textId="77777777" w:rsidR="009E591C" w:rsidRPr="007A1920" w:rsidRDefault="009E591C" w:rsidP="009E591C">
      <w:pPr>
        <w:spacing w:after="0"/>
        <w:rPr>
          <w:rFonts w:ascii="Arial" w:hAnsi="Arial" w:cs="Arial"/>
          <w:color w:val="000000" w:themeColor="text1"/>
          <w:sz w:val="22"/>
          <w:szCs w:val="22"/>
          <w:shd w:val="clear" w:color="auto" w:fill="FFFFFF"/>
        </w:rPr>
      </w:pPr>
    </w:p>
    <w:p w14:paraId="14FE0B2F" w14:textId="77777777" w:rsidR="009E591C" w:rsidRPr="007A1920" w:rsidRDefault="009E591C" w:rsidP="009E591C">
      <w:pPr>
        <w:pStyle w:val="NormalWeb"/>
        <w:spacing w:before="0" w:beforeAutospacing="0" w:after="0" w:afterAutospacing="0"/>
        <w:rPr>
          <w:rFonts w:ascii="Arial" w:eastAsiaTheme="minorHAnsi" w:hAnsi="Arial" w:cs="Arial"/>
          <w:b/>
          <w:bCs/>
          <w:color w:val="000000" w:themeColor="text1"/>
          <w:kern w:val="2"/>
          <w:sz w:val="22"/>
          <w:szCs w:val="22"/>
          <w:u w:val="single"/>
          <w:shd w:val="clear" w:color="auto" w:fill="FFFFFF"/>
          <w14:ligatures w14:val="standardContextual"/>
        </w:rPr>
      </w:pPr>
      <w:r w:rsidRPr="007A1920">
        <w:rPr>
          <w:rFonts w:ascii="Arial" w:eastAsiaTheme="minorHAnsi" w:hAnsi="Arial" w:cs="Arial"/>
          <w:b/>
          <w:bCs/>
          <w:color w:val="000000" w:themeColor="text1"/>
          <w:kern w:val="2"/>
          <w:sz w:val="22"/>
          <w:szCs w:val="22"/>
          <w:u w:val="single"/>
          <w:shd w:val="clear" w:color="auto" w:fill="FFFFFF"/>
          <w14:ligatures w14:val="standardContextual"/>
        </w:rPr>
        <w:t>Declaración del Comité de Ética Institucional</w:t>
      </w:r>
    </w:p>
    <w:p w14:paraId="1E1A7BC4" w14:textId="096DE3DA" w:rsidR="009E591C" w:rsidRP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r w:rsidRPr="007A1920">
        <w:rPr>
          <w:rFonts w:ascii="Arial" w:eastAsiaTheme="minorHAnsi" w:hAnsi="Arial" w:cs="Arial"/>
          <w:color w:val="000000" w:themeColor="text1"/>
          <w:kern w:val="2"/>
          <w:sz w:val="22"/>
          <w:szCs w:val="22"/>
          <w:shd w:val="clear" w:color="auto" w:fill="FFFFFF"/>
          <w14:ligatures w14:val="standardContextual"/>
        </w:rPr>
        <w:t xml:space="preserve">La calidad y la fidelidad de la información fueron revisadas por un asistente de investigación asignado a la División de Investigación del INC. El estudio fue aprobado por </w:t>
      </w:r>
      <w:r w:rsidRPr="009E591C">
        <w:rPr>
          <w:rFonts w:ascii="Arial" w:eastAsiaTheme="minorHAnsi" w:hAnsi="Arial" w:cs="Arial"/>
          <w:color w:val="000000"/>
          <w:kern w:val="2"/>
          <w:sz w:val="22"/>
          <w:szCs w:val="22"/>
          <w:shd w:val="clear" w:color="auto" w:fill="FFFFFF"/>
          <w14:ligatures w14:val="standardContextual"/>
        </w:rPr>
        <w:t>el Comité de Ética del INC según el Acta N° R00521-25 de febrero</w:t>
      </w:r>
      <w:r>
        <w:rPr>
          <w:rFonts w:ascii="Arial" w:eastAsiaTheme="minorHAnsi" w:hAnsi="Arial" w:cs="Arial"/>
          <w:color w:val="000000"/>
          <w:kern w:val="2"/>
          <w:sz w:val="22"/>
          <w:szCs w:val="22"/>
          <w:shd w:val="clear" w:color="auto" w:fill="FFFFFF"/>
          <w14:ligatures w14:val="standardContextual"/>
        </w:rPr>
        <w:t xml:space="preserve"> de 2025</w:t>
      </w:r>
      <w:r w:rsidRPr="009E591C">
        <w:rPr>
          <w:rFonts w:ascii="Arial" w:eastAsiaTheme="minorHAnsi" w:hAnsi="Arial" w:cs="Arial"/>
          <w:color w:val="000000"/>
          <w:kern w:val="2"/>
          <w:sz w:val="22"/>
          <w:szCs w:val="22"/>
          <w:shd w:val="clear" w:color="auto" w:fill="FFFFFF"/>
          <w14:ligatures w14:val="standardContextual"/>
        </w:rPr>
        <w:t xml:space="preserve"> de acuerdo con los estándares establecidos en la Declaración de Helsinki (Fortaleza, Brasil, 2013) y la Conferencia Mundial sobre Armonización de Buenas Prácticas Clínicas (ICH-GCP E6, 1996) [</w:t>
      </w:r>
      <w:r>
        <w:rPr>
          <w:rFonts w:ascii="Arial" w:eastAsiaTheme="minorHAnsi" w:hAnsi="Arial" w:cs="Arial"/>
          <w:color w:val="000000"/>
          <w:kern w:val="2"/>
          <w:sz w:val="22"/>
          <w:szCs w:val="22"/>
          <w:shd w:val="clear" w:color="auto" w:fill="FFFFFF"/>
          <w14:ligatures w14:val="standardContextual"/>
        </w:rPr>
        <w:t>11</w:t>
      </w:r>
      <w:r w:rsidRPr="009E591C">
        <w:rPr>
          <w:rFonts w:ascii="Arial" w:eastAsiaTheme="minorHAnsi" w:hAnsi="Arial" w:cs="Arial"/>
          <w:color w:val="000000"/>
          <w:kern w:val="2"/>
          <w:sz w:val="22"/>
          <w:szCs w:val="22"/>
          <w:shd w:val="clear" w:color="auto" w:fill="FFFFFF"/>
          <w14:ligatures w14:val="standardContextual"/>
        </w:rPr>
        <w:t>].</w:t>
      </w:r>
    </w:p>
    <w:p w14:paraId="00D35A5E" w14:textId="77777777" w:rsidR="009E591C" w:rsidRP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72D879BC" w14:textId="77777777" w:rsidR="009E591C" w:rsidRPr="009E591C" w:rsidRDefault="009E591C" w:rsidP="009E591C">
      <w:pPr>
        <w:spacing w:after="0"/>
        <w:rPr>
          <w:rFonts w:ascii="Arial" w:hAnsi="Arial" w:cs="Arial"/>
          <w:b/>
          <w:bCs/>
          <w:color w:val="000000"/>
          <w:sz w:val="22"/>
          <w:szCs w:val="22"/>
          <w:u w:val="single"/>
          <w:shd w:val="clear" w:color="auto" w:fill="FFFFFF"/>
        </w:rPr>
      </w:pPr>
      <w:r w:rsidRPr="009E591C">
        <w:rPr>
          <w:rFonts w:ascii="Arial" w:hAnsi="Arial" w:cs="Arial"/>
          <w:b/>
          <w:bCs/>
          <w:color w:val="000000"/>
          <w:sz w:val="22"/>
          <w:szCs w:val="22"/>
          <w:u w:val="single"/>
          <w:shd w:val="clear" w:color="auto" w:fill="FFFFFF"/>
        </w:rPr>
        <w:t>Declaración de Consentimiento Informado</w:t>
      </w:r>
    </w:p>
    <w:p w14:paraId="592B45C8" w14:textId="42A1DC8D" w:rsidR="009E591C" w:rsidRPr="009E591C" w:rsidRDefault="009E591C" w:rsidP="009E591C">
      <w:pPr>
        <w:spacing w:after="0"/>
        <w:rPr>
          <w:rFonts w:ascii="Arial" w:hAnsi="Arial" w:cs="Arial"/>
          <w:color w:val="000000"/>
          <w:sz w:val="22"/>
          <w:szCs w:val="22"/>
          <w:shd w:val="clear" w:color="auto" w:fill="FFFFFF"/>
        </w:rPr>
      </w:pPr>
      <w:r w:rsidRPr="009E591C">
        <w:rPr>
          <w:rFonts w:ascii="Arial" w:hAnsi="Arial" w:cs="Arial"/>
          <w:color w:val="000000"/>
          <w:sz w:val="22"/>
          <w:szCs w:val="22"/>
          <w:shd w:val="clear" w:color="auto" w:fill="FFFFFF"/>
        </w:rPr>
        <w:t>No aplicable. Dado que se trata de un estudio retrospectivo sin intervenciones adicionales a los protocolos de tratamiento del cáncer de mama seguidos por la UF</w:t>
      </w:r>
      <w:r>
        <w:rPr>
          <w:rFonts w:ascii="Arial" w:hAnsi="Arial" w:cs="Arial"/>
          <w:color w:val="000000"/>
          <w:sz w:val="22"/>
          <w:szCs w:val="22"/>
          <w:shd w:val="clear" w:color="auto" w:fill="FFFFFF"/>
        </w:rPr>
        <w:t>STB</w:t>
      </w:r>
      <w:r w:rsidRPr="009E591C">
        <w:rPr>
          <w:rFonts w:ascii="Arial" w:hAnsi="Arial" w:cs="Arial"/>
          <w:color w:val="000000"/>
          <w:sz w:val="22"/>
          <w:szCs w:val="22"/>
          <w:shd w:val="clear" w:color="auto" w:fill="FFFFFF"/>
        </w:rPr>
        <w:t>-INC, no se requirió la firma del consentimiento informado.</w:t>
      </w:r>
    </w:p>
    <w:p w14:paraId="19F2CA7D" w14:textId="77777777"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4EFDBFC7" w14:textId="77777777" w:rsidR="009E591C" w:rsidRDefault="009E591C" w:rsidP="009E591C">
      <w:pPr>
        <w:pStyle w:val="NormalWeb"/>
        <w:spacing w:before="0" w:beforeAutospacing="0" w:after="0" w:afterAutospacing="0"/>
        <w:rPr>
          <w:rFonts w:ascii="Arial" w:eastAsiaTheme="minorHAnsi" w:hAnsi="Arial" w:cs="Arial"/>
          <w:b/>
          <w:bCs/>
          <w:color w:val="000000"/>
          <w:kern w:val="2"/>
          <w:sz w:val="22"/>
          <w:szCs w:val="22"/>
          <w:u w:val="single"/>
          <w:shd w:val="clear" w:color="auto" w:fill="FFFFFF"/>
          <w14:ligatures w14:val="standardContextual"/>
        </w:rPr>
      </w:pPr>
      <w:r w:rsidRPr="009E591C">
        <w:rPr>
          <w:rFonts w:ascii="Arial" w:eastAsiaTheme="minorHAnsi" w:hAnsi="Arial" w:cs="Arial"/>
          <w:b/>
          <w:bCs/>
          <w:color w:val="000000"/>
          <w:kern w:val="2"/>
          <w:sz w:val="22"/>
          <w:szCs w:val="22"/>
          <w:u w:val="single"/>
          <w:shd w:val="clear" w:color="auto" w:fill="FFFFFF"/>
          <w14:ligatures w14:val="standardContextual"/>
        </w:rPr>
        <w:t>Agradecimientos</w:t>
      </w:r>
    </w:p>
    <w:p w14:paraId="6A8E9B4F" w14:textId="466C9786"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r w:rsidRPr="009E591C">
        <w:rPr>
          <w:rFonts w:ascii="Arial" w:eastAsiaTheme="minorHAnsi" w:hAnsi="Arial" w:cs="Arial"/>
          <w:color w:val="000000"/>
          <w:kern w:val="2"/>
          <w:sz w:val="22"/>
          <w:szCs w:val="22"/>
          <w:shd w:val="clear" w:color="auto" w:fill="FFFFFF"/>
          <w14:ligatures w14:val="standardContextual"/>
        </w:rPr>
        <w:t>Durante la preparación de este manuscrito, el/los autor(es) utilizaron ChatGPT (GPT-5, OpenAI) para perfeccionar el lenguaje, editar el texto y mejorar su claridad. Los autores han revisado y editado exhaustivamente el resultado y asumen plena responsabilidad por el contenido de esta publicación.</w:t>
      </w:r>
    </w:p>
    <w:p w14:paraId="2C583184" w14:textId="77777777" w:rsidR="009E591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70E87DE5" w14:textId="77777777" w:rsidR="009E591C" w:rsidRPr="009E591C" w:rsidRDefault="009E591C" w:rsidP="009E591C">
      <w:pPr>
        <w:spacing w:after="0"/>
        <w:rPr>
          <w:rFonts w:ascii="Arial" w:hAnsi="Arial" w:cs="Arial"/>
          <w:b/>
          <w:bCs/>
          <w:color w:val="000000"/>
          <w:sz w:val="22"/>
          <w:szCs w:val="22"/>
          <w:u w:val="single"/>
          <w:shd w:val="clear" w:color="auto" w:fill="FFFFFF"/>
        </w:rPr>
      </w:pPr>
      <w:r w:rsidRPr="009E591C">
        <w:rPr>
          <w:rFonts w:ascii="Arial" w:hAnsi="Arial" w:cs="Arial"/>
          <w:b/>
          <w:bCs/>
          <w:color w:val="000000"/>
          <w:sz w:val="22"/>
          <w:szCs w:val="22"/>
          <w:u w:val="single"/>
          <w:shd w:val="clear" w:color="auto" w:fill="FFFFFF"/>
        </w:rPr>
        <w:t>Conflictos de intereses</w:t>
      </w:r>
    </w:p>
    <w:p w14:paraId="62F3C285" w14:textId="194F18F9" w:rsidR="009E591C" w:rsidRPr="00622066" w:rsidRDefault="009E591C" w:rsidP="003A690A">
      <w:pPr>
        <w:spacing w:after="0"/>
        <w:rPr>
          <w:rFonts w:ascii="Arial" w:hAnsi="Arial" w:cs="Arial"/>
          <w:color w:val="000000"/>
          <w:sz w:val="22"/>
          <w:szCs w:val="22"/>
          <w:shd w:val="clear" w:color="auto" w:fill="FFFFFF"/>
          <w:lang w:val="es-ES"/>
        </w:rPr>
      </w:pPr>
      <w:r w:rsidRPr="009E591C">
        <w:rPr>
          <w:rFonts w:ascii="Arial" w:hAnsi="Arial" w:cs="Arial"/>
          <w:color w:val="000000"/>
          <w:sz w:val="22"/>
          <w:szCs w:val="22"/>
          <w:shd w:val="clear" w:color="auto" w:fill="FFFFFF"/>
        </w:rPr>
        <w:t>Ninguno de los autores tiene conflictos de intereses.</w:t>
      </w:r>
    </w:p>
    <w:p w14:paraId="74B2936C" w14:textId="77777777" w:rsidR="009E591C" w:rsidRPr="0046240C" w:rsidRDefault="009E591C"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FAB1B58" w14:textId="77777777" w:rsidR="00F02322" w:rsidRPr="009E591C" w:rsidRDefault="00F02322" w:rsidP="009E591C">
      <w:pPr>
        <w:pStyle w:val="NormalWeb"/>
        <w:spacing w:before="0" w:beforeAutospacing="0" w:after="0" w:afterAutospacing="0"/>
        <w:rPr>
          <w:rFonts w:ascii="Arial" w:eastAsiaTheme="minorHAnsi" w:hAnsi="Arial" w:cs="Arial"/>
          <w:color w:val="000000"/>
          <w:kern w:val="2"/>
          <w:sz w:val="22"/>
          <w:szCs w:val="22"/>
          <w:shd w:val="clear" w:color="auto" w:fill="FFFFFF"/>
          <w14:ligatures w14:val="standardContextual"/>
        </w:rPr>
      </w:pPr>
    </w:p>
    <w:p w14:paraId="36EE69EC" w14:textId="1A6F0FDA" w:rsidR="009C6591" w:rsidRPr="009E591C" w:rsidRDefault="009C6591" w:rsidP="0029401A">
      <w:pPr>
        <w:pStyle w:val="ListParagraph"/>
        <w:numPr>
          <w:ilvl w:val="0"/>
          <w:numId w:val="17"/>
        </w:numPr>
        <w:rPr>
          <w:b/>
          <w:bCs/>
          <w:color w:val="000000" w:themeColor="text1"/>
          <w:u w:val="single"/>
        </w:rPr>
      </w:pPr>
      <w:r w:rsidRPr="009E591C">
        <w:rPr>
          <w:b/>
          <w:bCs/>
          <w:color w:val="000000" w:themeColor="text1"/>
          <w:u w:val="single"/>
        </w:rPr>
        <w:t>REFERENCIAS</w:t>
      </w:r>
    </w:p>
    <w:p w14:paraId="7362566D"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Senkus E, Kyriakides S, Ohno S, et al. Primary breast cancer: ESMO Clinical Practice Guidelines for diagnosis, treatment and follow-up. Ann Oncol. 2015;26 Suppl 5:v8-v30. doi:10.1093/annonc/mdv298.</w:t>
      </w:r>
    </w:p>
    <w:p w14:paraId="1E9A8FAE"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Vasconcelos I, Hussainzada A, Berger S, et al. The St. Gallen surrogate classification for breast cancer subtypes successfully predicts tumor presenting features, nodal involvement, recurrence patterns and disease free survival. Breast. 2016;29:181-185. doi:10.1016/j.breast.2016.07.016.</w:t>
      </w:r>
    </w:p>
    <w:p w14:paraId="3E650B1C"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Thomas A, Parsons HA, Smith KL. Late Recurrence Following Early Breast Cancer. J Clin Oncol. 2022;40(13):1400-1406. doi:10.1200/JCO.22.00167.</w:t>
      </w:r>
    </w:p>
    <w:p w14:paraId="4568101B" w14:textId="77777777" w:rsidR="009C6591" w:rsidRPr="00F14373" w:rsidRDefault="009C6591"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O’Shaughnessy J, Gradishar W, O’Regan R, Gadi V. Risk of Recurrence in Patients With HER2+ Early-Stage Breast Cancer: Literature Analysis of Patient and Disease Characteristics. Clin Breast Cancer. 2023;23(4):350-362. doi:10.1016/j.clbc.2023.03.007.</w:t>
      </w:r>
    </w:p>
    <w:p w14:paraId="4D346D03" w14:textId="20B82456"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Pan H, Gray R, Braybrooke J, et al. 20-Year Risks of Breast-Cancer Recurrence after Stopping Endocrine Therapy at 5 Years. N Engl J Med. 2017;377:1836-1846. doi:10.1056/NEJMoa1701830.</w:t>
      </w:r>
    </w:p>
    <w:p w14:paraId="396BCED7" w14:textId="19053191"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Toledo GA, Barrón Reyes JE, Rivera Rojas JA, Álvarez Villaseñor AS. Factors associated with breast cancer recurrence in patients with conservative surgery. Ginecol Obstet Mex. 2023;91(11):805-813.</w:t>
      </w:r>
    </w:p>
    <w:p w14:paraId="7C1FE4B7"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Wolff AC, Hammond ME, Hicks DG, et al. Recommendations for human epidermal growth factor receptor 2 testing in breast cancer: American Society of Clinical Oncology/College of American Pathologists clinical practice guideline update. J Clin Oncol. 2013;31(31):3997-4013. doi:10.1200/JCO.2013.50.9984.</w:t>
      </w:r>
    </w:p>
    <w:p w14:paraId="5E31D061"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lastRenderedPageBreak/>
        <w:t>Pan H, Gray R, Braybrooke J, et al. 20-Year Risks of Breast-Cancer Recurrence after Stopping Endocrine Therapy at 5 Years. N Engl J Med. 2017;377(19):1836-1846. doi:10.1056/NEJMoa1701830.</w:t>
      </w:r>
    </w:p>
    <w:p w14:paraId="2B873806"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Pedroza-Durán A, et al. Estudios de extensión para la estadificación del cáncer de mama infiltrante. Revisión de la evidencia y abordaje terapéutico en el Instituto Nacional de Cancerología – Colombia. Rev Colomb Cancerol. 2023;27(Supl.1):6-15.</w:t>
      </w:r>
    </w:p>
    <w:p w14:paraId="3EC75542" w14:textId="77777777" w:rsidR="0058582D" w:rsidRPr="00F14373" w:rsidRDefault="0058582D"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Schettini F, Martínez-Sáez O, Falato C, et al. Prognostic value of intrinsic subtypes in hormone-receptor-positive metastatic breast cancer: systematic review and meta-analysis. ESMO Open. 2023;8(3):101214. doi:10.1016/j.esmoop.2023.101214.</w:t>
      </w:r>
    </w:p>
    <w:p w14:paraId="17B2AB28" w14:textId="52FC096E" w:rsidR="002F76FC" w:rsidRPr="00F14373" w:rsidRDefault="002F76FC" w:rsidP="00F14373">
      <w:pPr>
        <w:pStyle w:val="NormalWeb"/>
        <w:numPr>
          <w:ilvl w:val="0"/>
          <w:numId w:val="2"/>
        </w:numPr>
        <w:jc w:val="both"/>
        <w:rPr>
          <w:rFonts w:ascii="Arial" w:eastAsiaTheme="minorHAnsi" w:hAnsi="Arial" w:cs="Arial"/>
          <w:color w:val="000000"/>
          <w:kern w:val="2"/>
          <w:sz w:val="22"/>
          <w:szCs w:val="22"/>
          <w:shd w:val="clear" w:color="auto" w:fill="FFFFFF"/>
          <w14:ligatures w14:val="standardContextual"/>
        </w:rPr>
      </w:pPr>
      <w:r w:rsidRPr="00F14373">
        <w:rPr>
          <w:rFonts w:ascii="Arial" w:eastAsiaTheme="minorHAnsi" w:hAnsi="Arial" w:cs="Arial"/>
          <w:color w:val="000000"/>
          <w:kern w:val="2"/>
          <w:sz w:val="22"/>
          <w:szCs w:val="22"/>
          <w:shd w:val="clear" w:color="auto" w:fill="FFFFFF"/>
          <w14:ligatures w14:val="standardContextual"/>
        </w:rPr>
        <w:t xml:space="preserve">Dixon, J. R. (1999). THE INTERNATIONAL CONFERENCE ON HARMONIZATION GOOD CLINICAL PRACTICE GUIDELINE. Quality Assurance, 6(2), 65–74. </w:t>
      </w:r>
      <w:r w:rsidR="00B81CBA" w:rsidRPr="00F14373">
        <w:rPr>
          <w:rFonts w:ascii="Arial" w:eastAsiaTheme="minorHAnsi" w:hAnsi="Arial" w:cs="Arial"/>
          <w:color w:val="000000"/>
          <w:kern w:val="2"/>
          <w:sz w:val="22"/>
          <w:szCs w:val="22"/>
          <w:shd w:val="clear" w:color="auto" w:fill="FFFFFF"/>
          <w14:ligatures w14:val="standardContextual"/>
        </w:rPr>
        <w:t>doi.org/10.1080/105294199277860</w:t>
      </w:r>
    </w:p>
    <w:p w14:paraId="2723ACE1" w14:textId="77777777" w:rsidR="00F14373" w:rsidRDefault="00B81CBA"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Symmans WF, Peintinger F, Hatzis C, et al. Measurement of Residual Breast Cancer Burden to Predict Survival After Neoadjuvant Chemotherapy. Journal of Clinical Oncology. 2007;25(28):4414–4422. doi:10.1200/JCO.2007.10.6823</w:t>
      </w:r>
    </w:p>
    <w:p w14:paraId="29B97D83" w14:textId="77777777" w:rsidR="00F14373" w:rsidRP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 xml:space="preserve"> Siegel R, Naishadham D, Jemal A. Cancer statistics, 2012. </w:t>
      </w:r>
      <w:r w:rsidRPr="00F14373">
        <w:rPr>
          <w:rFonts w:ascii="Arial" w:eastAsiaTheme="minorHAnsi" w:hAnsi="Arial" w:cs="Arial"/>
          <w:b/>
          <w:bCs/>
          <w:color w:val="000000"/>
          <w:kern w:val="2"/>
          <w:sz w:val="22"/>
          <w:szCs w:val="22"/>
          <w:shd w:val="clear" w:color="auto" w:fill="FFFFFF"/>
          <w14:ligatures w14:val="standardContextual"/>
        </w:rPr>
        <w:t>CA Cancer J</w:t>
      </w:r>
      <w:r w:rsidRPr="00F14373">
        <w:rPr>
          <w:rStyle w:val="Strong"/>
          <w:rFonts w:eastAsiaTheme="majorEastAsia"/>
        </w:rPr>
        <w:t xml:space="preserve"> </w:t>
      </w:r>
      <w:r w:rsidRPr="00F14373">
        <w:rPr>
          <w:rFonts w:ascii="Arial" w:eastAsiaTheme="minorHAnsi" w:hAnsi="Arial" w:cs="Arial"/>
          <w:b/>
          <w:bCs/>
          <w:color w:val="000000"/>
          <w:kern w:val="2"/>
          <w:sz w:val="22"/>
          <w:szCs w:val="22"/>
          <w:shd w:val="clear" w:color="auto" w:fill="FFFFFF"/>
          <w14:ligatures w14:val="standardContextual"/>
        </w:rPr>
        <w:t>Clin.</w:t>
      </w:r>
      <w:r w:rsidRPr="00F14373">
        <w:rPr>
          <w:rFonts w:ascii="Arial" w:eastAsiaTheme="minorHAnsi" w:hAnsi="Arial" w:cs="Arial"/>
          <w:color w:val="000000"/>
          <w:kern w:val="2"/>
          <w:sz w:val="22"/>
          <w:szCs w:val="22"/>
          <w:shd w:val="clear" w:color="auto" w:fill="FFFFFF"/>
          <w14:ligatures w14:val="standardContextual"/>
        </w:rPr>
        <w:t> 2012;62(1):10–29. doi:10.3322/caac.20138</w:t>
      </w:r>
    </w:p>
    <w:p w14:paraId="6D17EFBB" w14:textId="77777777" w:rsid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Saphner T, Tormey DC, Gray R. Annual hazard rates of recurrence for breast cancer after primary therapy. </w:t>
      </w:r>
      <w:r w:rsidRPr="00F14373">
        <w:rPr>
          <w:rFonts w:ascii="Arial" w:eastAsiaTheme="minorHAnsi" w:hAnsi="Arial" w:cs="Arial"/>
          <w:b/>
          <w:bCs/>
          <w:color w:val="000000"/>
          <w:kern w:val="2"/>
          <w:sz w:val="22"/>
          <w:szCs w:val="22"/>
          <w:shd w:val="clear" w:color="auto" w:fill="FFFFFF"/>
          <w14:ligatures w14:val="standardContextual"/>
        </w:rPr>
        <w:t>J Clin Oncol.</w:t>
      </w:r>
      <w:r w:rsidRPr="00F14373">
        <w:rPr>
          <w:rFonts w:ascii="Arial" w:eastAsiaTheme="minorHAnsi" w:hAnsi="Arial" w:cs="Arial"/>
          <w:color w:val="000000"/>
          <w:kern w:val="2"/>
          <w:sz w:val="22"/>
          <w:szCs w:val="22"/>
          <w:shd w:val="clear" w:color="auto" w:fill="FFFFFF"/>
          <w14:ligatures w14:val="standardContextual"/>
        </w:rPr>
        <w:t>1996;14(10):2738–2746.</w:t>
      </w:r>
    </w:p>
    <w:p w14:paraId="1B795BB1" w14:textId="77777777" w:rsidR="00F14373"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Pagani O, Price KN, Gelber RD, Castiglione-Gertsch M, Holmberg SB, Lindtner J, et al; International Breast Cancer Study Group. Patterns of recurrence of early breast cancer according to estrogen receptor status: a therapeutic target for a quarter of a century. </w:t>
      </w:r>
      <w:r w:rsidRPr="00F14373">
        <w:rPr>
          <w:rFonts w:ascii="Arial" w:eastAsiaTheme="minorHAnsi" w:hAnsi="Arial" w:cs="Arial"/>
          <w:b/>
          <w:bCs/>
          <w:color w:val="000000"/>
          <w:kern w:val="2"/>
          <w:sz w:val="22"/>
          <w:szCs w:val="22"/>
          <w:shd w:val="clear" w:color="auto" w:fill="FFFFFF"/>
          <w14:ligatures w14:val="standardContextual"/>
        </w:rPr>
        <w:t>Breast Cancer Res Treat.</w:t>
      </w:r>
      <w:r w:rsidRPr="00F14373">
        <w:rPr>
          <w:rFonts w:ascii="Arial" w:eastAsiaTheme="minorHAnsi" w:hAnsi="Arial" w:cs="Arial"/>
          <w:color w:val="000000"/>
          <w:kern w:val="2"/>
          <w:sz w:val="22"/>
          <w:szCs w:val="22"/>
          <w:shd w:val="clear" w:color="auto" w:fill="FFFFFF"/>
          <w14:ligatures w14:val="standardContextual"/>
        </w:rPr>
        <w:t> 2009;117(2):319–324. doi:10.1007/s10549-008-0282-0</w:t>
      </w:r>
    </w:p>
    <w:p w14:paraId="6FACE1BA" w14:textId="77777777" w:rsidR="005C1139" w:rsidRDefault="00F14373" w:rsidP="00F14373">
      <w:pPr>
        <w:pStyle w:val="NormalWeb"/>
        <w:numPr>
          <w:ilvl w:val="0"/>
          <w:numId w:val="2"/>
        </w:numPr>
        <w:jc w:val="both"/>
        <w:rPr>
          <w:rFonts w:ascii="Arial" w:hAnsi="Arial" w:cs="Arial"/>
          <w:color w:val="000000" w:themeColor="text1"/>
          <w:sz w:val="22"/>
          <w:szCs w:val="22"/>
        </w:rPr>
      </w:pPr>
      <w:r w:rsidRPr="00F14373">
        <w:rPr>
          <w:rFonts w:ascii="Arial" w:eastAsiaTheme="minorHAnsi" w:hAnsi="Arial" w:cs="Arial"/>
          <w:color w:val="000000"/>
          <w:kern w:val="2"/>
          <w:sz w:val="22"/>
          <w:szCs w:val="22"/>
          <w:shd w:val="clear" w:color="auto" w:fill="FFFFFF"/>
          <w14:ligatures w14:val="standardContextual"/>
        </w:rPr>
        <w:t>Colleoni M, Sun Z, Price KN, Karlsson P, Forbes JF, Thürlimann B, et al; International Breast Cancer Study Group. Annual hazard rates of recurrence for breast cancer during 24 years of follow-up: results from the IBCSG trials I to V. </w:t>
      </w:r>
      <w:r w:rsidRPr="00F14373">
        <w:rPr>
          <w:rFonts w:ascii="Arial" w:eastAsiaTheme="minorHAnsi" w:hAnsi="Arial" w:cs="Arial"/>
          <w:b/>
          <w:bCs/>
          <w:color w:val="000000"/>
          <w:kern w:val="2"/>
          <w:sz w:val="22"/>
          <w:szCs w:val="22"/>
          <w:shd w:val="clear" w:color="auto" w:fill="FFFFFF"/>
          <w14:ligatures w14:val="standardContextual"/>
        </w:rPr>
        <w:t>J Clin Oncol.</w:t>
      </w:r>
      <w:r w:rsidRPr="00F14373">
        <w:rPr>
          <w:rFonts w:ascii="Arial" w:eastAsiaTheme="minorHAnsi" w:hAnsi="Arial" w:cs="Arial"/>
          <w:color w:val="000000"/>
          <w:kern w:val="2"/>
          <w:sz w:val="22"/>
          <w:szCs w:val="22"/>
          <w:shd w:val="clear" w:color="auto" w:fill="FFFFFF"/>
          <w14:ligatures w14:val="standardContextual"/>
        </w:rPr>
        <w:t> 2016;34(9):927–935. doi:10.1200/JCO.2015.62.3504</w:t>
      </w:r>
    </w:p>
    <w:p w14:paraId="34360B5D"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Journal of Clinical Medicine</w:t>
      </w:r>
      <w:r w:rsidRPr="005C1139">
        <w:rPr>
          <w:rFonts w:ascii="Arial" w:eastAsiaTheme="minorHAnsi" w:hAnsi="Arial" w:cs="Arial"/>
          <w:color w:val="000000"/>
          <w:kern w:val="2"/>
          <w:sz w:val="22"/>
          <w:szCs w:val="22"/>
          <w:shd w:val="clear" w:color="auto" w:fill="FFFFFF"/>
          <w14:ligatures w14:val="standardContextual"/>
        </w:rPr>
        <w:t>. Article ID 8243. </w:t>
      </w:r>
      <w:r w:rsidRPr="005C1139">
        <w:rPr>
          <w:rFonts w:ascii="Arial" w:eastAsiaTheme="minorHAnsi" w:hAnsi="Arial" w:cs="Arial"/>
          <w:b/>
          <w:bCs/>
          <w:color w:val="000000"/>
          <w:kern w:val="2"/>
          <w:sz w:val="22"/>
          <w:szCs w:val="22"/>
          <w:shd w:val="clear" w:color="auto" w:fill="FFFFFF"/>
          <w14:ligatures w14:val="standardContextual"/>
        </w:rPr>
        <w:t>J Clin Med.</w:t>
      </w:r>
      <w:r w:rsidRPr="005C1139">
        <w:rPr>
          <w:rFonts w:ascii="Arial" w:eastAsiaTheme="minorHAnsi" w:hAnsi="Arial" w:cs="Arial"/>
          <w:color w:val="000000"/>
          <w:kern w:val="2"/>
          <w:sz w:val="22"/>
          <w:szCs w:val="22"/>
          <w:shd w:val="clear" w:color="auto" w:fill="FFFFFF"/>
          <w14:ligatures w14:val="standardContextual"/>
        </w:rPr>
        <w:t> 2025;14(22):8243. Disponible en: </w:t>
      </w:r>
      <w:hyperlink r:id="rId12" w:tgtFrame="_new" w:history="1">
        <w:r w:rsidRPr="005C1139">
          <w:rPr>
            <w:rFonts w:ascii="Arial" w:eastAsiaTheme="minorHAnsi" w:hAnsi="Arial" w:cs="Arial"/>
            <w:color w:val="000000"/>
            <w:kern w:val="2"/>
            <w:sz w:val="22"/>
            <w:szCs w:val="22"/>
            <w:shd w:val="clear" w:color="auto" w:fill="FFFFFF"/>
            <w14:ligatures w14:val="standardContextual"/>
          </w:rPr>
          <w:t>https://www.mdpi.com/2077-0383/14/22/8243</w:t>
        </w:r>
      </w:hyperlink>
    </w:p>
    <w:p w14:paraId="2944FC0B"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National Center for Biotechnology Information</w:t>
      </w:r>
      <w:r w:rsidRPr="005C1139">
        <w:rPr>
          <w:rFonts w:ascii="Arial" w:eastAsiaTheme="minorHAnsi" w:hAnsi="Arial" w:cs="Arial"/>
          <w:color w:val="000000"/>
          <w:kern w:val="2"/>
          <w:sz w:val="22"/>
          <w:szCs w:val="22"/>
          <w:shd w:val="clear" w:color="auto" w:fill="FFFFFF"/>
          <w14:ligatures w14:val="standardContextual"/>
        </w:rPr>
        <w:t>. Article PMC11813410. </w:t>
      </w:r>
      <w:r w:rsidRPr="005C1139">
        <w:rPr>
          <w:rFonts w:ascii="Arial" w:eastAsiaTheme="minorHAnsi" w:hAnsi="Arial" w:cs="Arial"/>
          <w:b/>
          <w:bCs/>
          <w:color w:val="000000"/>
          <w:kern w:val="2"/>
          <w:sz w:val="22"/>
          <w:szCs w:val="22"/>
          <w:shd w:val="clear" w:color="auto" w:fill="FFFFFF"/>
          <w14:ligatures w14:val="standardContextual"/>
        </w:rPr>
        <w:t>[Internet]</w:t>
      </w:r>
      <w:r w:rsidRPr="005C1139">
        <w:rPr>
          <w:rFonts w:ascii="Arial" w:eastAsiaTheme="minorHAnsi" w:hAnsi="Arial" w:cs="Arial"/>
          <w:color w:val="000000"/>
          <w:kern w:val="2"/>
          <w:sz w:val="22"/>
          <w:szCs w:val="22"/>
          <w:shd w:val="clear" w:color="auto" w:fill="FFFFFF"/>
          <w14:ligatures w14:val="standardContextual"/>
        </w:rPr>
        <w:t>. Disponible en: </w:t>
      </w:r>
      <w:hyperlink r:id="rId13" w:tgtFrame="_new" w:history="1">
        <w:r w:rsidRPr="005C1139">
          <w:rPr>
            <w:rFonts w:ascii="Arial" w:eastAsiaTheme="minorHAnsi" w:hAnsi="Arial" w:cs="Arial"/>
            <w:color w:val="000000"/>
            <w:kern w:val="2"/>
            <w:sz w:val="22"/>
            <w:szCs w:val="22"/>
            <w:shd w:val="clear" w:color="auto" w:fill="FFFFFF"/>
            <w14:ligatures w14:val="standardContextual"/>
          </w:rPr>
          <w:t>https://pmc.ncbi.nlm.nih.gov/articles/PMC11813410/</w:t>
        </w:r>
      </w:hyperlink>
    </w:p>
    <w:p w14:paraId="42CCE435"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Ahmad A. Pathways to breast cancer recurrence. </w:t>
      </w:r>
      <w:r w:rsidRPr="005C1139">
        <w:rPr>
          <w:rFonts w:ascii="Arial" w:eastAsiaTheme="minorHAnsi" w:hAnsi="Arial" w:cs="Arial"/>
          <w:b/>
          <w:bCs/>
          <w:color w:val="000000"/>
          <w:kern w:val="2"/>
          <w:sz w:val="22"/>
          <w:szCs w:val="22"/>
          <w:shd w:val="clear" w:color="auto" w:fill="FFFFFF"/>
          <w14:ligatures w14:val="standardContextual"/>
        </w:rPr>
        <w:t>ISRN Oncol.</w:t>
      </w:r>
      <w:r w:rsidRPr="005C1139">
        <w:rPr>
          <w:rFonts w:ascii="Arial" w:eastAsiaTheme="minorHAnsi" w:hAnsi="Arial" w:cs="Arial"/>
          <w:color w:val="000000"/>
          <w:kern w:val="2"/>
          <w:sz w:val="22"/>
          <w:szCs w:val="22"/>
          <w:shd w:val="clear" w:color="auto" w:fill="FFFFFF"/>
          <w14:ligatures w14:val="standardContextual"/>
        </w:rPr>
        <w:t> 2013;2013:290568. doi:10.1155/2013/290568</w:t>
      </w:r>
    </w:p>
    <w:p w14:paraId="0AEB3EB2"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Pan H, Gray R, Braybrooke J, Davies C, Taylor C, McGale P, et al. 20-year risks of breast-cancer recurrence after stopping endocrine therapy at 5 years. </w:t>
      </w:r>
      <w:r w:rsidRPr="005C1139">
        <w:rPr>
          <w:rFonts w:ascii="Arial" w:eastAsiaTheme="minorHAnsi" w:hAnsi="Arial" w:cs="Arial"/>
          <w:b/>
          <w:bCs/>
          <w:color w:val="000000"/>
          <w:kern w:val="2"/>
          <w:sz w:val="22"/>
          <w:szCs w:val="22"/>
          <w:shd w:val="clear" w:color="auto" w:fill="FFFFFF"/>
          <w14:ligatures w14:val="standardContextual"/>
        </w:rPr>
        <w:t>N Engl J Med.</w:t>
      </w:r>
      <w:r w:rsidRPr="005C1139">
        <w:rPr>
          <w:rFonts w:ascii="Arial" w:eastAsiaTheme="minorHAnsi" w:hAnsi="Arial" w:cs="Arial"/>
          <w:color w:val="000000"/>
          <w:kern w:val="2"/>
          <w:sz w:val="22"/>
          <w:szCs w:val="22"/>
          <w:shd w:val="clear" w:color="auto" w:fill="FFFFFF"/>
          <w14:ligatures w14:val="standardContextual"/>
        </w:rPr>
        <w:t> 2017;377(19):1836–1846. doi:10.1056/NEJMoa1701830</w:t>
      </w:r>
    </w:p>
    <w:p w14:paraId="7F247973"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Curigliano G, Burstein HJ, Winer EP, Gnant M, Dubsky P, Loibl S, et al. De-escalating and escalating treatments for early-stage breast cancer: the St Gallen International Expert Consensus Conference on the Primary Therapy of Early Breast Cancer 2017. </w:t>
      </w:r>
      <w:r w:rsidRPr="005C1139">
        <w:rPr>
          <w:rFonts w:ascii="Arial" w:eastAsiaTheme="minorHAnsi" w:hAnsi="Arial" w:cs="Arial"/>
          <w:b/>
          <w:bCs/>
          <w:color w:val="000000"/>
          <w:kern w:val="2"/>
          <w:sz w:val="22"/>
          <w:szCs w:val="22"/>
          <w:shd w:val="clear" w:color="auto" w:fill="FFFFFF"/>
          <w14:ligatures w14:val="standardContextual"/>
        </w:rPr>
        <w:t>Ann Oncol.</w:t>
      </w:r>
      <w:r w:rsidRPr="005C1139">
        <w:rPr>
          <w:rFonts w:ascii="Arial" w:eastAsiaTheme="minorHAnsi" w:hAnsi="Arial" w:cs="Arial"/>
          <w:color w:val="000000"/>
          <w:kern w:val="2"/>
          <w:sz w:val="22"/>
          <w:szCs w:val="22"/>
          <w:shd w:val="clear" w:color="auto" w:fill="FFFFFF"/>
          <w14:ligatures w14:val="standardContextual"/>
        </w:rPr>
        <w:t> 2017;28(8):1700–1712. doi:10.1093/annonc/mdx806</w:t>
      </w:r>
    </w:p>
    <w:p w14:paraId="2D5A0FE6"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Hwang KT, Kim YA, Kim J, et al. Impact of peritumoral lymphatic invasion and vascular invasion on survival and recurrence according to breast cancer molecular subtype. </w:t>
      </w:r>
      <w:r w:rsidRPr="005C1139">
        <w:rPr>
          <w:rFonts w:ascii="Arial" w:eastAsiaTheme="minorHAnsi" w:hAnsi="Arial" w:cs="Arial"/>
          <w:b/>
          <w:bCs/>
          <w:color w:val="000000"/>
          <w:kern w:val="2"/>
          <w:sz w:val="22"/>
          <w:szCs w:val="22"/>
          <w:shd w:val="clear" w:color="auto" w:fill="FFFFFF"/>
          <w14:ligatures w14:val="standardContextual"/>
        </w:rPr>
        <w:t>Breast Cancer Res Treat.</w:t>
      </w:r>
      <w:r w:rsidRPr="005C1139">
        <w:rPr>
          <w:rFonts w:ascii="Arial" w:eastAsiaTheme="minorHAnsi" w:hAnsi="Arial" w:cs="Arial"/>
          <w:color w:val="000000"/>
          <w:kern w:val="2"/>
          <w:sz w:val="22"/>
          <w:szCs w:val="22"/>
          <w:shd w:val="clear" w:color="auto" w:fill="FFFFFF"/>
          <w14:ligatures w14:val="standardContextual"/>
        </w:rPr>
        <w:t> 2017;163(1):71–82. doi:10.1007/s10549-017-4153-4</w:t>
      </w:r>
    </w:p>
    <w:p w14:paraId="0A4ECC79"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International Journal of Radiation Oncology Biology Physics</w:t>
      </w:r>
      <w:r w:rsidRPr="005C1139">
        <w:rPr>
          <w:rFonts w:ascii="Arial" w:eastAsiaTheme="minorHAnsi" w:hAnsi="Arial" w:cs="Arial"/>
          <w:color w:val="000000"/>
          <w:kern w:val="2"/>
          <w:sz w:val="22"/>
          <w:szCs w:val="22"/>
          <w:shd w:val="clear" w:color="auto" w:fill="FFFFFF"/>
          <w14:ligatures w14:val="standardContextual"/>
        </w:rPr>
        <w:t>. Article in press. </w:t>
      </w:r>
      <w:r w:rsidRPr="005C1139">
        <w:rPr>
          <w:rFonts w:ascii="Arial" w:eastAsiaTheme="minorHAnsi" w:hAnsi="Arial" w:cs="Arial"/>
          <w:b/>
          <w:bCs/>
          <w:color w:val="000000"/>
          <w:kern w:val="2"/>
          <w:sz w:val="22"/>
          <w:szCs w:val="22"/>
          <w:shd w:val="clear" w:color="auto" w:fill="FFFFFF"/>
          <w14:ligatures w14:val="standardContextual"/>
        </w:rPr>
        <w:t>Int J Radiat Oncol Biol Phys.</w:t>
      </w:r>
      <w:r w:rsidRPr="005C1139">
        <w:rPr>
          <w:rFonts w:ascii="Arial" w:eastAsiaTheme="minorHAnsi" w:hAnsi="Arial" w:cs="Arial"/>
          <w:color w:val="000000"/>
          <w:kern w:val="2"/>
          <w:sz w:val="22"/>
          <w:szCs w:val="22"/>
          <w:shd w:val="clear" w:color="auto" w:fill="FFFFFF"/>
          <w14:ligatures w14:val="standardContextual"/>
        </w:rPr>
        <w:t> 2024. doi:10.1016/j.ijrobp.2024.04.073</w:t>
      </w:r>
    </w:p>
    <w:p w14:paraId="25035C09"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European Journal of Breast Health</w:t>
      </w:r>
      <w:r w:rsidRPr="005C1139">
        <w:rPr>
          <w:rFonts w:ascii="Arial" w:eastAsiaTheme="minorHAnsi" w:hAnsi="Arial" w:cs="Arial"/>
          <w:color w:val="000000"/>
          <w:kern w:val="2"/>
          <w:sz w:val="22"/>
          <w:szCs w:val="22"/>
          <w:shd w:val="clear" w:color="auto" w:fill="FFFFFF"/>
          <w14:ligatures w14:val="standardContextual"/>
        </w:rPr>
        <w:t>. Article in press. </w:t>
      </w:r>
      <w:r w:rsidRPr="005C1139">
        <w:rPr>
          <w:rFonts w:ascii="Arial" w:eastAsiaTheme="minorHAnsi" w:hAnsi="Arial" w:cs="Arial"/>
          <w:b/>
          <w:bCs/>
          <w:color w:val="000000"/>
          <w:kern w:val="2"/>
          <w:sz w:val="22"/>
          <w:szCs w:val="22"/>
          <w:shd w:val="clear" w:color="auto" w:fill="FFFFFF"/>
          <w14:ligatures w14:val="standardContextual"/>
        </w:rPr>
        <w:t>Eur J Breast Health.</w:t>
      </w:r>
      <w:r w:rsidRPr="005C1139">
        <w:rPr>
          <w:rFonts w:ascii="Arial" w:eastAsiaTheme="minorHAnsi" w:hAnsi="Arial" w:cs="Arial"/>
          <w:color w:val="000000"/>
          <w:kern w:val="2"/>
          <w:sz w:val="22"/>
          <w:szCs w:val="22"/>
          <w:shd w:val="clear" w:color="auto" w:fill="FFFFFF"/>
          <w14:ligatures w14:val="standardContextual"/>
        </w:rPr>
        <w:t> 2025. doi:10.4274/ejbh.galenos.2025.2025-5-6</w:t>
      </w:r>
    </w:p>
    <w:p w14:paraId="3801CF06"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Relevance of breast cancer hormone receptors and other factors to the efficacy of adjuvant tamoxifen.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2011;378(9793):771–784. doi:10.1016/S0140-6736(11)60993-8</w:t>
      </w:r>
    </w:p>
    <w:p w14:paraId="5D19ED01" w14:textId="77777777" w:rsidR="005C1139" w:rsidRP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lastRenderedPageBreak/>
        <w:t xml:space="preserve"> Davies C, Pan H, Godwin J, et al; ATLAS Collaborative Group. Long-term effects of continuing adjuvant tamoxifen to 10 years versus stopping at 5 years.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2013;381(9869):805–816. doi:10.1016/S0140-6736(15)61074-1</w:t>
      </w:r>
    </w:p>
    <w:p w14:paraId="320F680B"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Al-Mubarak M, Tibau A, Templeton AJ, Cescon DW, Ocana A, Amir E. Extended adjuvant tamoxifen for early breast cancer: a meta-analysis. </w:t>
      </w:r>
      <w:r w:rsidRPr="005C1139">
        <w:rPr>
          <w:rFonts w:ascii="Arial" w:eastAsiaTheme="minorHAnsi" w:hAnsi="Arial" w:cs="Arial"/>
          <w:b/>
          <w:bCs/>
          <w:color w:val="000000"/>
          <w:kern w:val="2"/>
          <w:sz w:val="22"/>
          <w:szCs w:val="22"/>
          <w:shd w:val="clear" w:color="auto" w:fill="FFFFFF"/>
          <w14:ligatures w14:val="standardContextual"/>
        </w:rPr>
        <w:t>PLoS One.</w:t>
      </w:r>
      <w:r w:rsidRPr="005C1139">
        <w:rPr>
          <w:rFonts w:ascii="Arial" w:eastAsiaTheme="minorHAnsi" w:hAnsi="Arial" w:cs="Arial"/>
          <w:color w:val="000000"/>
          <w:kern w:val="2"/>
          <w:sz w:val="22"/>
          <w:szCs w:val="22"/>
          <w:shd w:val="clear" w:color="auto" w:fill="FFFFFF"/>
          <w14:ligatures w14:val="standardContextual"/>
        </w:rPr>
        <w:t> 2014;9(2):e88238. doi:10.1371/journal.pone.0088238</w:t>
      </w:r>
    </w:p>
    <w:p w14:paraId="0863F8A7"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Dowsett M, Cuzick J, Ingle J, et al. Meta-analysis of breast cancer outcomes in adjuvant endocrine therapy trials. </w:t>
      </w:r>
      <w:r w:rsidRPr="005C1139">
        <w:rPr>
          <w:rFonts w:ascii="Arial" w:eastAsiaTheme="minorHAnsi" w:hAnsi="Arial" w:cs="Arial"/>
          <w:b/>
          <w:bCs/>
          <w:color w:val="000000"/>
          <w:kern w:val="2"/>
          <w:sz w:val="22"/>
          <w:szCs w:val="22"/>
          <w:shd w:val="clear" w:color="auto" w:fill="FFFFFF"/>
          <w14:ligatures w14:val="standardContextual"/>
        </w:rPr>
        <w:t>Cancer Treat Rev.</w:t>
      </w:r>
      <w:r w:rsidRPr="005C1139">
        <w:rPr>
          <w:rFonts w:ascii="Arial" w:eastAsiaTheme="minorHAnsi" w:hAnsi="Arial" w:cs="Arial"/>
          <w:color w:val="000000"/>
          <w:kern w:val="2"/>
          <w:sz w:val="22"/>
          <w:szCs w:val="22"/>
          <w:shd w:val="clear" w:color="auto" w:fill="FFFFFF"/>
          <w14:ligatures w14:val="standardContextual"/>
        </w:rPr>
        <w:t> 2017;59:29–35. doi:10.1016/j.ctrv.2017.08.008</w:t>
      </w:r>
    </w:p>
    <w:p w14:paraId="17BA759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Aromatase inhibitors versus tamoxifen in early breast cancer.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2015;386(10001):1341–1352. doi:10.1016/S0140-6736(11)61629-2</w:t>
      </w:r>
    </w:p>
    <w:p w14:paraId="4A8D8FB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Early Breast Cancer Trialists’ Collaborative Group (EBCTCG). Comparisons between different durations of adjuvant tamoxifen. </w:t>
      </w:r>
      <w:r w:rsidRPr="005C1139">
        <w:rPr>
          <w:rFonts w:ascii="Arial" w:eastAsiaTheme="minorHAnsi" w:hAnsi="Arial" w:cs="Arial"/>
          <w:b/>
          <w:bCs/>
          <w:color w:val="000000"/>
          <w:kern w:val="2"/>
          <w:sz w:val="22"/>
          <w:szCs w:val="22"/>
          <w:shd w:val="clear" w:color="auto" w:fill="FFFFFF"/>
          <w14:ligatures w14:val="standardContextual"/>
        </w:rPr>
        <w:t>Lancet.</w:t>
      </w:r>
      <w:r w:rsidRPr="005C1139">
        <w:rPr>
          <w:rFonts w:ascii="Arial" w:eastAsiaTheme="minorHAnsi" w:hAnsi="Arial" w:cs="Arial"/>
          <w:color w:val="000000"/>
          <w:kern w:val="2"/>
          <w:sz w:val="22"/>
          <w:szCs w:val="22"/>
          <w:shd w:val="clear" w:color="auto" w:fill="FFFFFF"/>
          <w14:ligatures w14:val="standardContextual"/>
        </w:rPr>
        <w:t> 2014;383(9922):805–816. doi:10.1016/S0140-6736(14)60192-6</w:t>
      </w:r>
    </w:p>
    <w:p w14:paraId="3C570F3F"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Journal of the National Cancer Institute</w:t>
      </w:r>
      <w:r w:rsidRPr="005C1139">
        <w:rPr>
          <w:rFonts w:ascii="Arial" w:eastAsiaTheme="minorHAnsi" w:hAnsi="Arial" w:cs="Arial"/>
          <w:color w:val="000000"/>
          <w:kern w:val="2"/>
          <w:sz w:val="22"/>
          <w:szCs w:val="22"/>
          <w:shd w:val="clear" w:color="auto" w:fill="FFFFFF"/>
          <w14:ligatures w14:val="standardContextual"/>
        </w:rPr>
        <w:t>. Article djac131. </w:t>
      </w:r>
      <w:r w:rsidRPr="005C1139">
        <w:rPr>
          <w:rFonts w:ascii="Arial" w:eastAsiaTheme="minorHAnsi" w:hAnsi="Arial" w:cs="Arial"/>
          <w:b/>
          <w:bCs/>
          <w:color w:val="000000"/>
          <w:kern w:val="2"/>
          <w:sz w:val="22"/>
          <w:szCs w:val="22"/>
          <w:shd w:val="clear" w:color="auto" w:fill="FFFFFF"/>
          <w14:ligatures w14:val="standardContextual"/>
        </w:rPr>
        <w:t>J Natl Cancer Inst.</w:t>
      </w:r>
      <w:r w:rsidRPr="005C1139">
        <w:rPr>
          <w:rFonts w:ascii="Arial" w:eastAsiaTheme="minorHAnsi" w:hAnsi="Arial" w:cs="Arial"/>
          <w:color w:val="000000"/>
          <w:kern w:val="2"/>
          <w:sz w:val="22"/>
          <w:szCs w:val="22"/>
          <w:shd w:val="clear" w:color="auto" w:fill="FFFFFF"/>
          <w14:ligatures w14:val="standardContextual"/>
        </w:rPr>
        <w:t> 2022. doi:10.1093/jnci/djac131</w:t>
      </w:r>
    </w:p>
    <w:p w14:paraId="08C6165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Goldhirsch A, Gelber RD, Yothers G, et al. Adjuvant therapy for very young women with breast cancer. </w:t>
      </w:r>
      <w:r w:rsidRPr="005C1139">
        <w:rPr>
          <w:rFonts w:ascii="Arial" w:eastAsiaTheme="minorHAnsi" w:hAnsi="Arial" w:cs="Arial"/>
          <w:b/>
          <w:bCs/>
          <w:color w:val="000000"/>
          <w:kern w:val="2"/>
          <w:sz w:val="22"/>
          <w:szCs w:val="22"/>
          <w:shd w:val="clear" w:color="auto" w:fill="FFFFFF"/>
          <w14:ligatures w14:val="standardContextual"/>
        </w:rPr>
        <w:t>J Clin Oncol.</w:t>
      </w:r>
      <w:r w:rsidRPr="005C1139">
        <w:rPr>
          <w:rFonts w:ascii="Arial" w:eastAsiaTheme="minorHAnsi" w:hAnsi="Arial" w:cs="Arial"/>
          <w:color w:val="000000"/>
          <w:kern w:val="2"/>
          <w:sz w:val="22"/>
          <w:szCs w:val="22"/>
          <w:shd w:val="clear" w:color="auto" w:fill="FFFFFF"/>
          <w14:ligatures w14:val="standardContextual"/>
        </w:rPr>
        <w:t>2009;27(15):2472–2479. doi:10.1200/JCO.2009.24.9284</w:t>
      </w:r>
    </w:p>
    <w:p w14:paraId="478BAAD1" w14:textId="77777777" w:rsidR="005C1139" w:rsidRDefault="00F14373" w:rsidP="00F14373">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Li J, Chen Z, Su K, Zeng J. Clinicopathological significance of tumor-infiltrating lymphocytes in breast cancer. Sci Rep.2017;7:45411. doi:10.1038/srep45411</w:t>
      </w:r>
    </w:p>
    <w:p w14:paraId="701114B1" w14:textId="77777777" w:rsidR="005C1139" w:rsidRDefault="00F14373" w:rsidP="005C1139">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color w:val="000000"/>
          <w:kern w:val="2"/>
          <w:sz w:val="22"/>
          <w:szCs w:val="22"/>
          <w:shd w:val="clear" w:color="auto" w:fill="FFFFFF"/>
          <w14:ligatures w14:val="standardContextual"/>
        </w:rPr>
        <w:t>Gong Y, Liu Y-R, Ji P, Hu X, Zhu S, Wang Q, et al. Impact of molecular subtypes on metastatic breast cancer patients: a SEER population-based study. </w:t>
      </w:r>
      <w:r w:rsidRPr="005C1139">
        <w:rPr>
          <w:rFonts w:ascii="Arial" w:eastAsiaTheme="minorHAnsi" w:hAnsi="Arial" w:cs="Arial"/>
          <w:i/>
          <w:iCs/>
          <w:color w:val="000000"/>
          <w:kern w:val="2"/>
          <w:sz w:val="22"/>
          <w:szCs w:val="22"/>
          <w:shd w:val="clear" w:color="auto" w:fill="FFFFFF"/>
          <w14:ligatures w14:val="standardContextual"/>
        </w:rPr>
        <w:t>Sci Rep</w:t>
      </w:r>
      <w:r w:rsidRPr="005C1139">
        <w:rPr>
          <w:rFonts w:ascii="Arial" w:eastAsiaTheme="minorHAnsi" w:hAnsi="Arial" w:cs="Arial"/>
          <w:color w:val="000000"/>
          <w:kern w:val="2"/>
          <w:sz w:val="22"/>
          <w:szCs w:val="22"/>
          <w:shd w:val="clear" w:color="auto" w:fill="FFFFFF"/>
          <w14:ligatures w14:val="standardContextual"/>
        </w:rPr>
        <w:t>. 2017;7:45411. doi:10.1038/srep45411.</w:t>
      </w:r>
    </w:p>
    <w:p w14:paraId="62A925AE" w14:textId="5A53B5F9" w:rsidR="005C1139" w:rsidRPr="005C1139" w:rsidRDefault="005C1139" w:rsidP="005C1139">
      <w:pPr>
        <w:pStyle w:val="NormalWeb"/>
        <w:numPr>
          <w:ilvl w:val="0"/>
          <w:numId w:val="2"/>
        </w:numPr>
        <w:jc w:val="both"/>
        <w:rPr>
          <w:rFonts w:ascii="Arial" w:hAnsi="Arial" w:cs="Arial"/>
          <w:color w:val="000000" w:themeColor="text1"/>
          <w:sz w:val="22"/>
          <w:szCs w:val="22"/>
        </w:rPr>
      </w:pPr>
      <w:r w:rsidRPr="005C1139">
        <w:rPr>
          <w:rFonts w:ascii="Arial" w:eastAsiaTheme="minorHAnsi" w:hAnsi="Arial" w:cs="Arial"/>
          <w:i/>
          <w:iCs/>
          <w:color w:val="000000"/>
          <w:kern w:val="2"/>
          <w:sz w:val="22"/>
          <w:szCs w:val="22"/>
          <w:shd w:val="clear" w:color="auto" w:fill="FFFFFF"/>
          <w14:ligatures w14:val="standardContextual"/>
        </w:rPr>
        <w:t>Cureus</w:t>
      </w:r>
      <w:r w:rsidRPr="005C1139">
        <w:rPr>
          <w:rFonts w:ascii="Arial" w:eastAsiaTheme="minorHAnsi" w:hAnsi="Arial" w:cs="Arial"/>
          <w:color w:val="000000"/>
          <w:kern w:val="2"/>
          <w:sz w:val="22"/>
          <w:szCs w:val="22"/>
          <w:shd w:val="clear" w:color="auto" w:fill="FFFFFF"/>
          <w14:ligatures w14:val="standardContextual"/>
        </w:rPr>
        <w:t>. Article e924. </w:t>
      </w:r>
      <w:r w:rsidRPr="005C1139">
        <w:rPr>
          <w:rFonts w:ascii="Arial" w:eastAsiaTheme="minorHAnsi" w:hAnsi="Arial" w:cs="Arial"/>
          <w:b/>
          <w:bCs/>
          <w:color w:val="000000"/>
          <w:kern w:val="2"/>
          <w:sz w:val="22"/>
          <w:szCs w:val="22"/>
          <w:shd w:val="clear" w:color="auto" w:fill="FFFFFF"/>
          <w14:ligatures w14:val="standardContextual"/>
        </w:rPr>
        <w:t>Cureus.</w:t>
      </w:r>
      <w:r w:rsidRPr="005C1139">
        <w:rPr>
          <w:rFonts w:ascii="Arial" w:eastAsiaTheme="minorHAnsi" w:hAnsi="Arial" w:cs="Arial"/>
          <w:color w:val="000000"/>
          <w:kern w:val="2"/>
          <w:sz w:val="22"/>
          <w:szCs w:val="22"/>
          <w:shd w:val="clear" w:color="auto" w:fill="FFFFFF"/>
          <w14:ligatures w14:val="standardContextual"/>
        </w:rPr>
        <w:t> 2020. doi:10.7759/cureus.924</w:t>
      </w:r>
    </w:p>
    <w:p w14:paraId="532BE928" w14:textId="77777777" w:rsidR="00F14373" w:rsidRDefault="00F14373">
      <w:pPr>
        <w:rPr>
          <w:color w:val="000000" w:themeColor="text1"/>
        </w:rPr>
      </w:pPr>
    </w:p>
    <w:sectPr w:rsidR="00F14373" w:rsidSect="005C02E9">
      <w:pgSz w:w="12240" w:h="15840"/>
      <w:pgMar w:top="1440" w:right="1440" w:bottom="1440" w:left="1440" w:header="720" w:footer="72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ati Lasprilla M" w:date="2026-01-15T06:30:00Z" w:initials="NL">
    <w:p w14:paraId="1852632A" w14:textId="77777777" w:rsidR="007A1920" w:rsidRDefault="007A1920" w:rsidP="007A1920">
      <w:r>
        <w:rPr>
          <w:rStyle w:val="CommentReference"/>
        </w:rPr>
        <w:annotationRef/>
      </w:r>
      <w:r>
        <w:rPr>
          <w:rFonts w:ascii="Times New Roman" w:eastAsia="Times New Roman" w:hAnsi="Times New Roman" w:cs="Times New Roman"/>
          <w:kern w:val="0"/>
          <w:sz w:val="20"/>
          <w:szCs w:val="20"/>
          <w:lang w:val="es-CO" w:eastAsia="es-ES"/>
          <w14:ligatures w14:val="none"/>
        </w:rPr>
        <w:t>primero quimio neo, con esquema, luego hormono neo con esquemas, luego cirugia, luego radio y luego adyuvancia con qumio y hormono</w:t>
      </w:r>
    </w:p>
  </w:comment>
  <w:comment w:id="1" w:author="Nati Lasprilla M" w:date="2026-01-15T06:38:00Z" w:initials="NL">
    <w:p w14:paraId="04E9ADF2" w14:textId="77777777" w:rsidR="00DC3CED" w:rsidRDefault="00DC3CED" w:rsidP="00DC3CED">
      <w:r>
        <w:rPr>
          <w:rStyle w:val="CommentReference"/>
        </w:rPr>
        <w:annotationRef/>
      </w:r>
      <w:r>
        <w:rPr>
          <w:rFonts w:ascii="Times New Roman" w:eastAsia="Times New Roman" w:hAnsi="Times New Roman" w:cs="Times New Roman"/>
          <w:kern w:val="0"/>
          <w:sz w:val="20"/>
          <w:szCs w:val="20"/>
          <w:lang w:val="es-CO" w:eastAsia="es-ES"/>
          <w14:ligatures w14:val="none"/>
        </w:rPr>
        <w:t>pasar esta frase a la discusion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852632A" w15:done="0"/>
  <w15:commentEx w15:paraId="04E9ADF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8B65858" w16cex:dateUtc="2026-01-15T11:30:00Z"/>
  <w16cex:commentExtensible w16cex:durableId="56E90922" w16cex:dateUtc="2026-01-15T11:3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852632A" w16cid:durableId="18B65858"/>
  <w16cid:commentId w16cid:paraId="04E9ADF2" w16cid:durableId="56E90922"/>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Raleway">
    <w:panose1 w:val="00000000000000000000"/>
    <w:charset w:val="4D"/>
    <w:family w:val="auto"/>
    <w:pitch w:val="variable"/>
    <w:sig w:usb0="A00002FF" w:usb1="5000205B" w:usb2="00000000" w:usb3="00000000" w:csb0="00000197" w:csb1="00000000"/>
  </w:font>
  <w:font w:name="Calibri">
    <w:panose1 w:val="020F0502020204030204"/>
    <w:charset w:val="00"/>
    <w:family w:val="swiss"/>
    <w:pitch w:val="variable"/>
    <w:sig w:usb0="E0002A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32CA5"/>
    <w:multiLevelType w:val="multilevel"/>
    <w:tmpl w:val="FF564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221179"/>
    <w:multiLevelType w:val="hybridMultilevel"/>
    <w:tmpl w:val="1F926F1A"/>
    <w:lvl w:ilvl="0" w:tplc="B4C8EDD8">
      <w:start w:val="1"/>
      <w:numFmt w:val="bullet"/>
      <w:lvlText w:val="∙"/>
      <w:lvlJc w:val="left"/>
      <w:pPr>
        <w:tabs>
          <w:tab w:val="num" w:pos="720"/>
        </w:tabs>
        <w:ind w:left="720" w:hanging="360"/>
      </w:pPr>
      <w:rPr>
        <w:rFonts w:ascii="Noto Sans Symbols" w:hAnsi="Noto Sans Symbols" w:hint="default"/>
      </w:rPr>
    </w:lvl>
    <w:lvl w:ilvl="1" w:tplc="1FF2DC80" w:tentative="1">
      <w:start w:val="1"/>
      <w:numFmt w:val="bullet"/>
      <w:lvlText w:val="∙"/>
      <w:lvlJc w:val="left"/>
      <w:pPr>
        <w:tabs>
          <w:tab w:val="num" w:pos="1440"/>
        </w:tabs>
        <w:ind w:left="1440" w:hanging="360"/>
      </w:pPr>
      <w:rPr>
        <w:rFonts w:ascii="Noto Sans Symbols" w:hAnsi="Noto Sans Symbols" w:hint="default"/>
      </w:rPr>
    </w:lvl>
    <w:lvl w:ilvl="2" w:tplc="D3A28FAA" w:tentative="1">
      <w:start w:val="1"/>
      <w:numFmt w:val="bullet"/>
      <w:lvlText w:val="∙"/>
      <w:lvlJc w:val="left"/>
      <w:pPr>
        <w:tabs>
          <w:tab w:val="num" w:pos="2160"/>
        </w:tabs>
        <w:ind w:left="2160" w:hanging="360"/>
      </w:pPr>
      <w:rPr>
        <w:rFonts w:ascii="Noto Sans Symbols" w:hAnsi="Noto Sans Symbols" w:hint="default"/>
      </w:rPr>
    </w:lvl>
    <w:lvl w:ilvl="3" w:tplc="E98AD40E" w:tentative="1">
      <w:start w:val="1"/>
      <w:numFmt w:val="bullet"/>
      <w:lvlText w:val="∙"/>
      <w:lvlJc w:val="left"/>
      <w:pPr>
        <w:tabs>
          <w:tab w:val="num" w:pos="2880"/>
        </w:tabs>
        <w:ind w:left="2880" w:hanging="360"/>
      </w:pPr>
      <w:rPr>
        <w:rFonts w:ascii="Noto Sans Symbols" w:hAnsi="Noto Sans Symbols" w:hint="default"/>
      </w:rPr>
    </w:lvl>
    <w:lvl w:ilvl="4" w:tplc="D784A18A" w:tentative="1">
      <w:start w:val="1"/>
      <w:numFmt w:val="bullet"/>
      <w:lvlText w:val="∙"/>
      <w:lvlJc w:val="left"/>
      <w:pPr>
        <w:tabs>
          <w:tab w:val="num" w:pos="3600"/>
        </w:tabs>
        <w:ind w:left="3600" w:hanging="360"/>
      </w:pPr>
      <w:rPr>
        <w:rFonts w:ascii="Noto Sans Symbols" w:hAnsi="Noto Sans Symbols" w:hint="default"/>
      </w:rPr>
    </w:lvl>
    <w:lvl w:ilvl="5" w:tplc="B836A3C2" w:tentative="1">
      <w:start w:val="1"/>
      <w:numFmt w:val="bullet"/>
      <w:lvlText w:val="∙"/>
      <w:lvlJc w:val="left"/>
      <w:pPr>
        <w:tabs>
          <w:tab w:val="num" w:pos="4320"/>
        </w:tabs>
        <w:ind w:left="4320" w:hanging="360"/>
      </w:pPr>
      <w:rPr>
        <w:rFonts w:ascii="Noto Sans Symbols" w:hAnsi="Noto Sans Symbols" w:hint="default"/>
      </w:rPr>
    </w:lvl>
    <w:lvl w:ilvl="6" w:tplc="F44EF444" w:tentative="1">
      <w:start w:val="1"/>
      <w:numFmt w:val="bullet"/>
      <w:lvlText w:val="∙"/>
      <w:lvlJc w:val="left"/>
      <w:pPr>
        <w:tabs>
          <w:tab w:val="num" w:pos="5040"/>
        </w:tabs>
        <w:ind w:left="5040" w:hanging="360"/>
      </w:pPr>
      <w:rPr>
        <w:rFonts w:ascii="Noto Sans Symbols" w:hAnsi="Noto Sans Symbols" w:hint="default"/>
      </w:rPr>
    </w:lvl>
    <w:lvl w:ilvl="7" w:tplc="61F698EE" w:tentative="1">
      <w:start w:val="1"/>
      <w:numFmt w:val="bullet"/>
      <w:lvlText w:val="∙"/>
      <w:lvlJc w:val="left"/>
      <w:pPr>
        <w:tabs>
          <w:tab w:val="num" w:pos="5760"/>
        </w:tabs>
        <w:ind w:left="5760" w:hanging="360"/>
      </w:pPr>
      <w:rPr>
        <w:rFonts w:ascii="Noto Sans Symbols" w:hAnsi="Noto Sans Symbols" w:hint="default"/>
      </w:rPr>
    </w:lvl>
    <w:lvl w:ilvl="8" w:tplc="8DE27C8A" w:tentative="1">
      <w:start w:val="1"/>
      <w:numFmt w:val="bullet"/>
      <w:lvlText w:val="∙"/>
      <w:lvlJc w:val="left"/>
      <w:pPr>
        <w:tabs>
          <w:tab w:val="num" w:pos="6480"/>
        </w:tabs>
        <w:ind w:left="6480" w:hanging="360"/>
      </w:pPr>
      <w:rPr>
        <w:rFonts w:ascii="Noto Sans Symbols" w:hAnsi="Noto Sans Symbols" w:hint="default"/>
      </w:rPr>
    </w:lvl>
  </w:abstractNum>
  <w:abstractNum w:abstractNumId="2" w15:restartNumberingAfterBreak="0">
    <w:nsid w:val="237034C9"/>
    <w:multiLevelType w:val="hybridMultilevel"/>
    <w:tmpl w:val="855A6F82"/>
    <w:lvl w:ilvl="0" w:tplc="6EC874FA">
      <w:start w:val="1"/>
      <w:numFmt w:val="bullet"/>
      <w:lvlText w:val=""/>
      <w:lvlJc w:val="left"/>
      <w:pPr>
        <w:ind w:left="1020" w:hanging="360"/>
      </w:pPr>
      <w:rPr>
        <w:rFonts w:ascii="Symbol" w:hAnsi="Symbol"/>
      </w:rPr>
    </w:lvl>
    <w:lvl w:ilvl="1" w:tplc="027CC694">
      <w:start w:val="1"/>
      <w:numFmt w:val="bullet"/>
      <w:lvlText w:val=""/>
      <w:lvlJc w:val="left"/>
      <w:pPr>
        <w:ind w:left="1020" w:hanging="360"/>
      </w:pPr>
      <w:rPr>
        <w:rFonts w:ascii="Symbol" w:hAnsi="Symbol"/>
      </w:rPr>
    </w:lvl>
    <w:lvl w:ilvl="2" w:tplc="BF4EC182">
      <w:start w:val="1"/>
      <w:numFmt w:val="bullet"/>
      <w:lvlText w:val=""/>
      <w:lvlJc w:val="left"/>
      <w:pPr>
        <w:ind w:left="1020" w:hanging="360"/>
      </w:pPr>
      <w:rPr>
        <w:rFonts w:ascii="Symbol" w:hAnsi="Symbol"/>
      </w:rPr>
    </w:lvl>
    <w:lvl w:ilvl="3" w:tplc="184C6E9E">
      <w:start w:val="1"/>
      <w:numFmt w:val="bullet"/>
      <w:lvlText w:val=""/>
      <w:lvlJc w:val="left"/>
      <w:pPr>
        <w:ind w:left="1020" w:hanging="360"/>
      </w:pPr>
      <w:rPr>
        <w:rFonts w:ascii="Symbol" w:hAnsi="Symbol"/>
      </w:rPr>
    </w:lvl>
    <w:lvl w:ilvl="4" w:tplc="2EF4A3B2">
      <w:start w:val="1"/>
      <w:numFmt w:val="bullet"/>
      <w:lvlText w:val=""/>
      <w:lvlJc w:val="left"/>
      <w:pPr>
        <w:ind w:left="1020" w:hanging="360"/>
      </w:pPr>
      <w:rPr>
        <w:rFonts w:ascii="Symbol" w:hAnsi="Symbol"/>
      </w:rPr>
    </w:lvl>
    <w:lvl w:ilvl="5" w:tplc="8710FAA4">
      <w:start w:val="1"/>
      <w:numFmt w:val="bullet"/>
      <w:lvlText w:val=""/>
      <w:lvlJc w:val="left"/>
      <w:pPr>
        <w:ind w:left="1020" w:hanging="360"/>
      </w:pPr>
      <w:rPr>
        <w:rFonts w:ascii="Symbol" w:hAnsi="Symbol"/>
      </w:rPr>
    </w:lvl>
    <w:lvl w:ilvl="6" w:tplc="0960E9BC">
      <w:start w:val="1"/>
      <w:numFmt w:val="bullet"/>
      <w:lvlText w:val=""/>
      <w:lvlJc w:val="left"/>
      <w:pPr>
        <w:ind w:left="1020" w:hanging="360"/>
      </w:pPr>
      <w:rPr>
        <w:rFonts w:ascii="Symbol" w:hAnsi="Symbol"/>
      </w:rPr>
    </w:lvl>
    <w:lvl w:ilvl="7" w:tplc="8F761F3E">
      <w:start w:val="1"/>
      <w:numFmt w:val="bullet"/>
      <w:lvlText w:val=""/>
      <w:lvlJc w:val="left"/>
      <w:pPr>
        <w:ind w:left="1020" w:hanging="360"/>
      </w:pPr>
      <w:rPr>
        <w:rFonts w:ascii="Symbol" w:hAnsi="Symbol"/>
      </w:rPr>
    </w:lvl>
    <w:lvl w:ilvl="8" w:tplc="F95E3FB8">
      <w:start w:val="1"/>
      <w:numFmt w:val="bullet"/>
      <w:lvlText w:val=""/>
      <w:lvlJc w:val="left"/>
      <w:pPr>
        <w:ind w:left="1020" w:hanging="360"/>
      </w:pPr>
      <w:rPr>
        <w:rFonts w:ascii="Symbol" w:hAnsi="Symbol"/>
      </w:rPr>
    </w:lvl>
  </w:abstractNum>
  <w:abstractNum w:abstractNumId="3" w15:restartNumberingAfterBreak="0">
    <w:nsid w:val="2F3546E5"/>
    <w:multiLevelType w:val="multilevel"/>
    <w:tmpl w:val="E5C07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481F18"/>
    <w:multiLevelType w:val="multilevel"/>
    <w:tmpl w:val="2196CF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B8503D4"/>
    <w:multiLevelType w:val="multilevel"/>
    <w:tmpl w:val="12F0F55C"/>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0AD4621"/>
    <w:multiLevelType w:val="hybridMultilevel"/>
    <w:tmpl w:val="302ECFF2"/>
    <w:lvl w:ilvl="0" w:tplc="097E9292">
      <w:start w:val="1"/>
      <w:numFmt w:val="bullet"/>
      <w:lvlText w:val="∙"/>
      <w:lvlJc w:val="left"/>
      <w:pPr>
        <w:tabs>
          <w:tab w:val="num" w:pos="720"/>
        </w:tabs>
        <w:ind w:left="720" w:hanging="360"/>
      </w:pPr>
      <w:rPr>
        <w:rFonts w:ascii="Noto Sans Symbols" w:hAnsi="Noto Sans Symbols" w:hint="default"/>
      </w:rPr>
    </w:lvl>
    <w:lvl w:ilvl="1" w:tplc="67FA3E8C" w:tentative="1">
      <w:start w:val="1"/>
      <w:numFmt w:val="bullet"/>
      <w:lvlText w:val="∙"/>
      <w:lvlJc w:val="left"/>
      <w:pPr>
        <w:tabs>
          <w:tab w:val="num" w:pos="1440"/>
        </w:tabs>
        <w:ind w:left="1440" w:hanging="360"/>
      </w:pPr>
      <w:rPr>
        <w:rFonts w:ascii="Noto Sans Symbols" w:hAnsi="Noto Sans Symbols" w:hint="default"/>
      </w:rPr>
    </w:lvl>
    <w:lvl w:ilvl="2" w:tplc="052A7B3A" w:tentative="1">
      <w:start w:val="1"/>
      <w:numFmt w:val="bullet"/>
      <w:lvlText w:val="∙"/>
      <w:lvlJc w:val="left"/>
      <w:pPr>
        <w:tabs>
          <w:tab w:val="num" w:pos="2160"/>
        </w:tabs>
        <w:ind w:left="2160" w:hanging="360"/>
      </w:pPr>
      <w:rPr>
        <w:rFonts w:ascii="Noto Sans Symbols" w:hAnsi="Noto Sans Symbols" w:hint="default"/>
      </w:rPr>
    </w:lvl>
    <w:lvl w:ilvl="3" w:tplc="EAF69D8E" w:tentative="1">
      <w:start w:val="1"/>
      <w:numFmt w:val="bullet"/>
      <w:lvlText w:val="∙"/>
      <w:lvlJc w:val="left"/>
      <w:pPr>
        <w:tabs>
          <w:tab w:val="num" w:pos="2880"/>
        </w:tabs>
        <w:ind w:left="2880" w:hanging="360"/>
      </w:pPr>
      <w:rPr>
        <w:rFonts w:ascii="Noto Sans Symbols" w:hAnsi="Noto Sans Symbols" w:hint="default"/>
      </w:rPr>
    </w:lvl>
    <w:lvl w:ilvl="4" w:tplc="C33A1F1A" w:tentative="1">
      <w:start w:val="1"/>
      <w:numFmt w:val="bullet"/>
      <w:lvlText w:val="∙"/>
      <w:lvlJc w:val="left"/>
      <w:pPr>
        <w:tabs>
          <w:tab w:val="num" w:pos="3600"/>
        </w:tabs>
        <w:ind w:left="3600" w:hanging="360"/>
      </w:pPr>
      <w:rPr>
        <w:rFonts w:ascii="Noto Sans Symbols" w:hAnsi="Noto Sans Symbols" w:hint="default"/>
      </w:rPr>
    </w:lvl>
    <w:lvl w:ilvl="5" w:tplc="A7029BD2" w:tentative="1">
      <w:start w:val="1"/>
      <w:numFmt w:val="bullet"/>
      <w:lvlText w:val="∙"/>
      <w:lvlJc w:val="left"/>
      <w:pPr>
        <w:tabs>
          <w:tab w:val="num" w:pos="4320"/>
        </w:tabs>
        <w:ind w:left="4320" w:hanging="360"/>
      </w:pPr>
      <w:rPr>
        <w:rFonts w:ascii="Noto Sans Symbols" w:hAnsi="Noto Sans Symbols" w:hint="default"/>
      </w:rPr>
    </w:lvl>
    <w:lvl w:ilvl="6" w:tplc="72E8C894" w:tentative="1">
      <w:start w:val="1"/>
      <w:numFmt w:val="bullet"/>
      <w:lvlText w:val="∙"/>
      <w:lvlJc w:val="left"/>
      <w:pPr>
        <w:tabs>
          <w:tab w:val="num" w:pos="5040"/>
        </w:tabs>
        <w:ind w:left="5040" w:hanging="360"/>
      </w:pPr>
      <w:rPr>
        <w:rFonts w:ascii="Noto Sans Symbols" w:hAnsi="Noto Sans Symbols" w:hint="default"/>
      </w:rPr>
    </w:lvl>
    <w:lvl w:ilvl="7" w:tplc="8D4E7A6E" w:tentative="1">
      <w:start w:val="1"/>
      <w:numFmt w:val="bullet"/>
      <w:lvlText w:val="∙"/>
      <w:lvlJc w:val="left"/>
      <w:pPr>
        <w:tabs>
          <w:tab w:val="num" w:pos="5760"/>
        </w:tabs>
        <w:ind w:left="5760" w:hanging="360"/>
      </w:pPr>
      <w:rPr>
        <w:rFonts w:ascii="Noto Sans Symbols" w:hAnsi="Noto Sans Symbols" w:hint="default"/>
      </w:rPr>
    </w:lvl>
    <w:lvl w:ilvl="8" w:tplc="3F8E98D8" w:tentative="1">
      <w:start w:val="1"/>
      <w:numFmt w:val="bullet"/>
      <w:lvlText w:val="∙"/>
      <w:lvlJc w:val="left"/>
      <w:pPr>
        <w:tabs>
          <w:tab w:val="num" w:pos="6480"/>
        </w:tabs>
        <w:ind w:left="6480" w:hanging="360"/>
      </w:pPr>
      <w:rPr>
        <w:rFonts w:ascii="Noto Sans Symbols" w:hAnsi="Noto Sans Symbols" w:hint="default"/>
      </w:rPr>
    </w:lvl>
  </w:abstractNum>
  <w:abstractNum w:abstractNumId="7" w15:restartNumberingAfterBreak="0">
    <w:nsid w:val="513E7CFD"/>
    <w:multiLevelType w:val="multilevel"/>
    <w:tmpl w:val="9BFEE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09346A"/>
    <w:multiLevelType w:val="hybridMultilevel"/>
    <w:tmpl w:val="8B84D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B65715"/>
    <w:multiLevelType w:val="multilevel"/>
    <w:tmpl w:val="F9BA15F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675F0000"/>
    <w:multiLevelType w:val="multilevel"/>
    <w:tmpl w:val="550C40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7FA2BDC"/>
    <w:multiLevelType w:val="multilevel"/>
    <w:tmpl w:val="8C40F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DF3C1F"/>
    <w:multiLevelType w:val="hybridMultilevel"/>
    <w:tmpl w:val="5A3C2316"/>
    <w:lvl w:ilvl="0" w:tplc="7896AD68">
      <w:start w:val="1"/>
      <w:numFmt w:val="bullet"/>
      <w:lvlText w:val="∙"/>
      <w:lvlJc w:val="left"/>
      <w:pPr>
        <w:tabs>
          <w:tab w:val="num" w:pos="720"/>
        </w:tabs>
        <w:ind w:left="720" w:hanging="360"/>
      </w:pPr>
      <w:rPr>
        <w:rFonts w:ascii="Noto Sans Symbols" w:hAnsi="Noto Sans Symbols" w:hint="default"/>
      </w:rPr>
    </w:lvl>
    <w:lvl w:ilvl="1" w:tplc="12AA754A" w:tentative="1">
      <w:start w:val="1"/>
      <w:numFmt w:val="bullet"/>
      <w:lvlText w:val="∙"/>
      <w:lvlJc w:val="left"/>
      <w:pPr>
        <w:tabs>
          <w:tab w:val="num" w:pos="1440"/>
        </w:tabs>
        <w:ind w:left="1440" w:hanging="360"/>
      </w:pPr>
      <w:rPr>
        <w:rFonts w:ascii="Noto Sans Symbols" w:hAnsi="Noto Sans Symbols" w:hint="default"/>
      </w:rPr>
    </w:lvl>
    <w:lvl w:ilvl="2" w:tplc="FB38422E" w:tentative="1">
      <w:start w:val="1"/>
      <w:numFmt w:val="bullet"/>
      <w:lvlText w:val="∙"/>
      <w:lvlJc w:val="left"/>
      <w:pPr>
        <w:tabs>
          <w:tab w:val="num" w:pos="2160"/>
        </w:tabs>
        <w:ind w:left="2160" w:hanging="360"/>
      </w:pPr>
      <w:rPr>
        <w:rFonts w:ascii="Noto Sans Symbols" w:hAnsi="Noto Sans Symbols" w:hint="default"/>
      </w:rPr>
    </w:lvl>
    <w:lvl w:ilvl="3" w:tplc="6BCE1A3E" w:tentative="1">
      <w:start w:val="1"/>
      <w:numFmt w:val="bullet"/>
      <w:lvlText w:val="∙"/>
      <w:lvlJc w:val="left"/>
      <w:pPr>
        <w:tabs>
          <w:tab w:val="num" w:pos="2880"/>
        </w:tabs>
        <w:ind w:left="2880" w:hanging="360"/>
      </w:pPr>
      <w:rPr>
        <w:rFonts w:ascii="Noto Sans Symbols" w:hAnsi="Noto Sans Symbols" w:hint="default"/>
      </w:rPr>
    </w:lvl>
    <w:lvl w:ilvl="4" w:tplc="09207AA2" w:tentative="1">
      <w:start w:val="1"/>
      <w:numFmt w:val="bullet"/>
      <w:lvlText w:val="∙"/>
      <w:lvlJc w:val="left"/>
      <w:pPr>
        <w:tabs>
          <w:tab w:val="num" w:pos="3600"/>
        </w:tabs>
        <w:ind w:left="3600" w:hanging="360"/>
      </w:pPr>
      <w:rPr>
        <w:rFonts w:ascii="Noto Sans Symbols" w:hAnsi="Noto Sans Symbols" w:hint="default"/>
      </w:rPr>
    </w:lvl>
    <w:lvl w:ilvl="5" w:tplc="0E868A94" w:tentative="1">
      <w:start w:val="1"/>
      <w:numFmt w:val="bullet"/>
      <w:lvlText w:val="∙"/>
      <w:lvlJc w:val="left"/>
      <w:pPr>
        <w:tabs>
          <w:tab w:val="num" w:pos="4320"/>
        </w:tabs>
        <w:ind w:left="4320" w:hanging="360"/>
      </w:pPr>
      <w:rPr>
        <w:rFonts w:ascii="Noto Sans Symbols" w:hAnsi="Noto Sans Symbols" w:hint="default"/>
      </w:rPr>
    </w:lvl>
    <w:lvl w:ilvl="6" w:tplc="E5A8E176" w:tentative="1">
      <w:start w:val="1"/>
      <w:numFmt w:val="bullet"/>
      <w:lvlText w:val="∙"/>
      <w:lvlJc w:val="left"/>
      <w:pPr>
        <w:tabs>
          <w:tab w:val="num" w:pos="5040"/>
        </w:tabs>
        <w:ind w:left="5040" w:hanging="360"/>
      </w:pPr>
      <w:rPr>
        <w:rFonts w:ascii="Noto Sans Symbols" w:hAnsi="Noto Sans Symbols" w:hint="default"/>
      </w:rPr>
    </w:lvl>
    <w:lvl w:ilvl="7" w:tplc="FD9E1B18" w:tentative="1">
      <w:start w:val="1"/>
      <w:numFmt w:val="bullet"/>
      <w:lvlText w:val="∙"/>
      <w:lvlJc w:val="left"/>
      <w:pPr>
        <w:tabs>
          <w:tab w:val="num" w:pos="5760"/>
        </w:tabs>
        <w:ind w:left="5760" w:hanging="360"/>
      </w:pPr>
      <w:rPr>
        <w:rFonts w:ascii="Noto Sans Symbols" w:hAnsi="Noto Sans Symbols" w:hint="default"/>
      </w:rPr>
    </w:lvl>
    <w:lvl w:ilvl="8" w:tplc="D3108826" w:tentative="1">
      <w:start w:val="1"/>
      <w:numFmt w:val="bullet"/>
      <w:lvlText w:val="∙"/>
      <w:lvlJc w:val="left"/>
      <w:pPr>
        <w:tabs>
          <w:tab w:val="num" w:pos="6480"/>
        </w:tabs>
        <w:ind w:left="6480" w:hanging="360"/>
      </w:pPr>
      <w:rPr>
        <w:rFonts w:ascii="Noto Sans Symbols" w:hAnsi="Noto Sans Symbols" w:hint="default"/>
      </w:rPr>
    </w:lvl>
  </w:abstractNum>
  <w:abstractNum w:abstractNumId="13" w15:restartNumberingAfterBreak="0">
    <w:nsid w:val="6D356897"/>
    <w:multiLevelType w:val="multilevel"/>
    <w:tmpl w:val="89A4DC72"/>
    <w:lvl w:ilvl="0">
      <w:start w:val="1"/>
      <w:numFmt w:val="decimal"/>
      <w:lvlText w:val="%1."/>
      <w:lvlJc w:val="left"/>
      <w:pPr>
        <w:ind w:left="720" w:hanging="360"/>
      </w:pPr>
      <w:rPr>
        <w:rFonts w:hint="default"/>
        <w:b/>
        <w:bCs/>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72557334"/>
    <w:multiLevelType w:val="multilevel"/>
    <w:tmpl w:val="D244F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37B17DF"/>
    <w:multiLevelType w:val="multilevel"/>
    <w:tmpl w:val="D8023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44A14F1"/>
    <w:multiLevelType w:val="multilevel"/>
    <w:tmpl w:val="F9BA15FA"/>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80E027D"/>
    <w:multiLevelType w:val="hybridMultilevel"/>
    <w:tmpl w:val="2628527E"/>
    <w:lvl w:ilvl="0" w:tplc="26E0EDCC">
      <w:start w:val="1"/>
      <w:numFmt w:val="bullet"/>
      <w:lvlText w:val="∙"/>
      <w:lvlJc w:val="left"/>
      <w:pPr>
        <w:tabs>
          <w:tab w:val="num" w:pos="720"/>
        </w:tabs>
        <w:ind w:left="720" w:hanging="360"/>
      </w:pPr>
      <w:rPr>
        <w:rFonts w:ascii="Noto Sans Symbols" w:hAnsi="Noto Sans Symbols" w:hint="default"/>
      </w:rPr>
    </w:lvl>
    <w:lvl w:ilvl="1" w:tplc="551446A4" w:tentative="1">
      <w:start w:val="1"/>
      <w:numFmt w:val="bullet"/>
      <w:lvlText w:val="∙"/>
      <w:lvlJc w:val="left"/>
      <w:pPr>
        <w:tabs>
          <w:tab w:val="num" w:pos="1440"/>
        </w:tabs>
        <w:ind w:left="1440" w:hanging="360"/>
      </w:pPr>
      <w:rPr>
        <w:rFonts w:ascii="Noto Sans Symbols" w:hAnsi="Noto Sans Symbols" w:hint="default"/>
      </w:rPr>
    </w:lvl>
    <w:lvl w:ilvl="2" w:tplc="7DE6587C" w:tentative="1">
      <w:start w:val="1"/>
      <w:numFmt w:val="bullet"/>
      <w:lvlText w:val="∙"/>
      <w:lvlJc w:val="left"/>
      <w:pPr>
        <w:tabs>
          <w:tab w:val="num" w:pos="2160"/>
        </w:tabs>
        <w:ind w:left="2160" w:hanging="360"/>
      </w:pPr>
      <w:rPr>
        <w:rFonts w:ascii="Noto Sans Symbols" w:hAnsi="Noto Sans Symbols" w:hint="default"/>
      </w:rPr>
    </w:lvl>
    <w:lvl w:ilvl="3" w:tplc="23E44DA2" w:tentative="1">
      <w:start w:val="1"/>
      <w:numFmt w:val="bullet"/>
      <w:lvlText w:val="∙"/>
      <w:lvlJc w:val="left"/>
      <w:pPr>
        <w:tabs>
          <w:tab w:val="num" w:pos="2880"/>
        </w:tabs>
        <w:ind w:left="2880" w:hanging="360"/>
      </w:pPr>
      <w:rPr>
        <w:rFonts w:ascii="Noto Sans Symbols" w:hAnsi="Noto Sans Symbols" w:hint="default"/>
      </w:rPr>
    </w:lvl>
    <w:lvl w:ilvl="4" w:tplc="9E96865C" w:tentative="1">
      <w:start w:val="1"/>
      <w:numFmt w:val="bullet"/>
      <w:lvlText w:val="∙"/>
      <w:lvlJc w:val="left"/>
      <w:pPr>
        <w:tabs>
          <w:tab w:val="num" w:pos="3600"/>
        </w:tabs>
        <w:ind w:left="3600" w:hanging="360"/>
      </w:pPr>
      <w:rPr>
        <w:rFonts w:ascii="Noto Sans Symbols" w:hAnsi="Noto Sans Symbols" w:hint="default"/>
      </w:rPr>
    </w:lvl>
    <w:lvl w:ilvl="5" w:tplc="FFC01F48" w:tentative="1">
      <w:start w:val="1"/>
      <w:numFmt w:val="bullet"/>
      <w:lvlText w:val="∙"/>
      <w:lvlJc w:val="left"/>
      <w:pPr>
        <w:tabs>
          <w:tab w:val="num" w:pos="4320"/>
        </w:tabs>
        <w:ind w:left="4320" w:hanging="360"/>
      </w:pPr>
      <w:rPr>
        <w:rFonts w:ascii="Noto Sans Symbols" w:hAnsi="Noto Sans Symbols" w:hint="default"/>
      </w:rPr>
    </w:lvl>
    <w:lvl w:ilvl="6" w:tplc="5648A1D8" w:tentative="1">
      <w:start w:val="1"/>
      <w:numFmt w:val="bullet"/>
      <w:lvlText w:val="∙"/>
      <w:lvlJc w:val="left"/>
      <w:pPr>
        <w:tabs>
          <w:tab w:val="num" w:pos="5040"/>
        </w:tabs>
        <w:ind w:left="5040" w:hanging="360"/>
      </w:pPr>
      <w:rPr>
        <w:rFonts w:ascii="Noto Sans Symbols" w:hAnsi="Noto Sans Symbols" w:hint="default"/>
      </w:rPr>
    </w:lvl>
    <w:lvl w:ilvl="7" w:tplc="50C87C66" w:tentative="1">
      <w:start w:val="1"/>
      <w:numFmt w:val="bullet"/>
      <w:lvlText w:val="∙"/>
      <w:lvlJc w:val="left"/>
      <w:pPr>
        <w:tabs>
          <w:tab w:val="num" w:pos="5760"/>
        </w:tabs>
        <w:ind w:left="5760" w:hanging="360"/>
      </w:pPr>
      <w:rPr>
        <w:rFonts w:ascii="Noto Sans Symbols" w:hAnsi="Noto Sans Symbols" w:hint="default"/>
      </w:rPr>
    </w:lvl>
    <w:lvl w:ilvl="8" w:tplc="E710D8CA" w:tentative="1">
      <w:start w:val="1"/>
      <w:numFmt w:val="bullet"/>
      <w:lvlText w:val="∙"/>
      <w:lvlJc w:val="left"/>
      <w:pPr>
        <w:tabs>
          <w:tab w:val="num" w:pos="6480"/>
        </w:tabs>
        <w:ind w:left="6480" w:hanging="360"/>
      </w:pPr>
      <w:rPr>
        <w:rFonts w:ascii="Noto Sans Symbols" w:hAnsi="Noto Sans Symbols" w:hint="default"/>
      </w:rPr>
    </w:lvl>
  </w:abstractNum>
  <w:num w:numId="1" w16cid:durableId="1054891567">
    <w:abstractNumId w:val="4"/>
  </w:num>
  <w:num w:numId="2" w16cid:durableId="1174803451">
    <w:abstractNumId w:val="15"/>
  </w:num>
  <w:num w:numId="3" w16cid:durableId="1809590462">
    <w:abstractNumId w:val="8"/>
  </w:num>
  <w:num w:numId="4" w16cid:durableId="83189481">
    <w:abstractNumId w:val="16"/>
  </w:num>
  <w:num w:numId="5" w16cid:durableId="2104765557">
    <w:abstractNumId w:val="9"/>
  </w:num>
  <w:num w:numId="6" w16cid:durableId="1100563525">
    <w:abstractNumId w:val="10"/>
  </w:num>
  <w:num w:numId="7" w16cid:durableId="1060594932">
    <w:abstractNumId w:val="13"/>
  </w:num>
  <w:num w:numId="8" w16cid:durableId="1938556898">
    <w:abstractNumId w:val="2"/>
  </w:num>
  <w:num w:numId="9" w16cid:durableId="704015873">
    <w:abstractNumId w:val="7"/>
  </w:num>
  <w:num w:numId="10" w16cid:durableId="608662095">
    <w:abstractNumId w:val="1"/>
  </w:num>
  <w:num w:numId="11" w16cid:durableId="305554744">
    <w:abstractNumId w:val="6"/>
  </w:num>
  <w:num w:numId="12" w16cid:durableId="1247693216">
    <w:abstractNumId w:val="12"/>
  </w:num>
  <w:num w:numId="13" w16cid:durableId="481971282">
    <w:abstractNumId w:val="17"/>
  </w:num>
  <w:num w:numId="14" w16cid:durableId="1659766984">
    <w:abstractNumId w:val="3"/>
  </w:num>
  <w:num w:numId="15" w16cid:durableId="350453323">
    <w:abstractNumId w:val="0"/>
  </w:num>
  <w:num w:numId="16" w16cid:durableId="257717932">
    <w:abstractNumId w:val="11"/>
  </w:num>
  <w:num w:numId="17" w16cid:durableId="842628624">
    <w:abstractNumId w:val="5"/>
  </w:num>
  <w:num w:numId="18" w16cid:durableId="1543979096">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ati Lasprilla M">
    <w15:presenceInfo w15:providerId="Windows Live" w15:userId="da2208403b881f8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46C0"/>
    <w:rsid w:val="00091AD9"/>
    <w:rsid w:val="000C4779"/>
    <w:rsid w:val="000E5269"/>
    <w:rsid w:val="000F3351"/>
    <w:rsid w:val="00103811"/>
    <w:rsid w:val="00103BBA"/>
    <w:rsid w:val="00185596"/>
    <w:rsid w:val="001E16C6"/>
    <w:rsid w:val="001E486C"/>
    <w:rsid w:val="002243AD"/>
    <w:rsid w:val="002446C0"/>
    <w:rsid w:val="00273339"/>
    <w:rsid w:val="002774F8"/>
    <w:rsid w:val="0029401A"/>
    <w:rsid w:val="002A31E4"/>
    <w:rsid w:val="002F6780"/>
    <w:rsid w:val="002F76FC"/>
    <w:rsid w:val="00311BE1"/>
    <w:rsid w:val="00314560"/>
    <w:rsid w:val="003A690A"/>
    <w:rsid w:val="003E5F42"/>
    <w:rsid w:val="004041C0"/>
    <w:rsid w:val="00443690"/>
    <w:rsid w:val="00460A68"/>
    <w:rsid w:val="0046240C"/>
    <w:rsid w:val="004D3F2A"/>
    <w:rsid w:val="00530449"/>
    <w:rsid w:val="0056758F"/>
    <w:rsid w:val="005769A4"/>
    <w:rsid w:val="0058582D"/>
    <w:rsid w:val="005C02E9"/>
    <w:rsid w:val="005C1139"/>
    <w:rsid w:val="005F1334"/>
    <w:rsid w:val="00602563"/>
    <w:rsid w:val="00622066"/>
    <w:rsid w:val="00656020"/>
    <w:rsid w:val="0067444D"/>
    <w:rsid w:val="00681620"/>
    <w:rsid w:val="00686420"/>
    <w:rsid w:val="006D66A4"/>
    <w:rsid w:val="0071540A"/>
    <w:rsid w:val="00753570"/>
    <w:rsid w:val="00797A38"/>
    <w:rsid w:val="007A1920"/>
    <w:rsid w:val="007E54A7"/>
    <w:rsid w:val="007F6463"/>
    <w:rsid w:val="00833EC6"/>
    <w:rsid w:val="00867D9A"/>
    <w:rsid w:val="00892A74"/>
    <w:rsid w:val="008B6736"/>
    <w:rsid w:val="008D6E4B"/>
    <w:rsid w:val="008E3530"/>
    <w:rsid w:val="008E51E0"/>
    <w:rsid w:val="0096315B"/>
    <w:rsid w:val="00987E5C"/>
    <w:rsid w:val="009C5627"/>
    <w:rsid w:val="009C6591"/>
    <w:rsid w:val="009E4EFC"/>
    <w:rsid w:val="009E591C"/>
    <w:rsid w:val="00A02A68"/>
    <w:rsid w:val="00A4704B"/>
    <w:rsid w:val="00AC2515"/>
    <w:rsid w:val="00B70894"/>
    <w:rsid w:val="00B74549"/>
    <w:rsid w:val="00B81CBA"/>
    <w:rsid w:val="00BE6E8D"/>
    <w:rsid w:val="00C05B95"/>
    <w:rsid w:val="00C1070C"/>
    <w:rsid w:val="00C42EA7"/>
    <w:rsid w:val="00CC7410"/>
    <w:rsid w:val="00CD064C"/>
    <w:rsid w:val="00CD1A61"/>
    <w:rsid w:val="00CF26C3"/>
    <w:rsid w:val="00CF4C3E"/>
    <w:rsid w:val="00DC05A7"/>
    <w:rsid w:val="00DC3CED"/>
    <w:rsid w:val="00E57C01"/>
    <w:rsid w:val="00E73627"/>
    <w:rsid w:val="00E80471"/>
    <w:rsid w:val="00EB5FFA"/>
    <w:rsid w:val="00F01D63"/>
    <w:rsid w:val="00F02322"/>
    <w:rsid w:val="00F10E91"/>
    <w:rsid w:val="00F14373"/>
    <w:rsid w:val="00F23315"/>
    <w:rsid w:val="00F8134B"/>
    <w:rsid w:val="00FD6E9D"/>
  </w:rsids>
  <m:mathPr>
    <m:mathFont m:val="Cambria Math"/>
    <m:brkBin m:val="before"/>
    <m:brkBinSub m:val="--"/>
    <m:smallFrac m:val="0"/>
    <m:dispDef/>
    <m:lMargin m:val="0"/>
    <m:rMargin m:val="0"/>
    <m:defJc m:val="centerGroup"/>
    <m:wrapIndent m:val="1440"/>
    <m:intLim m:val="subSup"/>
    <m:naryLim m:val="undOvr"/>
  </m:mathPr>
  <w:themeFontLang w:val="en-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FB489"/>
  <w15:chartTrackingRefBased/>
  <w15:docId w15:val="{7B467979-933F-E04A-B832-ECD1A30B9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6420"/>
  </w:style>
  <w:style w:type="paragraph" w:styleId="Heading1">
    <w:name w:val="heading 1"/>
    <w:basedOn w:val="Normal"/>
    <w:next w:val="Normal"/>
    <w:link w:val="Heading1Char"/>
    <w:uiPriority w:val="9"/>
    <w:qFormat/>
    <w:rsid w:val="002446C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446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446C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446C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446C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446C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446C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446C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446C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46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2446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446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446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446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446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446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446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446C0"/>
    <w:rPr>
      <w:rFonts w:eastAsiaTheme="majorEastAsia" w:cstheme="majorBidi"/>
      <w:color w:val="272727" w:themeColor="text1" w:themeTint="D8"/>
    </w:rPr>
  </w:style>
  <w:style w:type="paragraph" w:styleId="Title">
    <w:name w:val="Title"/>
    <w:basedOn w:val="Normal"/>
    <w:next w:val="Normal"/>
    <w:link w:val="TitleChar"/>
    <w:uiPriority w:val="10"/>
    <w:qFormat/>
    <w:rsid w:val="002446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446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446C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446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446C0"/>
    <w:pPr>
      <w:spacing w:before="160"/>
      <w:jc w:val="center"/>
    </w:pPr>
    <w:rPr>
      <w:i/>
      <w:iCs/>
      <w:color w:val="404040" w:themeColor="text1" w:themeTint="BF"/>
    </w:rPr>
  </w:style>
  <w:style w:type="character" w:customStyle="1" w:styleId="QuoteChar">
    <w:name w:val="Quote Char"/>
    <w:basedOn w:val="DefaultParagraphFont"/>
    <w:link w:val="Quote"/>
    <w:uiPriority w:val="29"/>
    <w:rsid w:val="002446C0"/>
    <w:rPr>
      <w:i/>
      <w:iCs/>
      <w:color w:val="404040" w:themeColor="text1" w:themeTint="BF"/>
    </w:rPr>
  </w:style>
  <w:style w:type="paragraph" w:styleId="ListParagraph">
    <w:name w:val="List Paragraph"/>
    <w:basedOn w:val="Normal"/>
    <w:uiPriority w:val="34"/>
    <w:qFormat/>
    <w:rsid w:val="002446C0"/>
    <w:pPr>
      <w:ind w:left="720"/>
      <w:contextualSpacing/>
    </w:pPr>
  </w:style>
  <w:style w:type="character" w:styleId="IntenseEmphasis">
    <w:name w:val="Intense Emphasis"/>
    <w:basedOn w:val="DefaultParagraphFont"/>
    <w:uiPriority w:val="21"/>
    <w:qFormat/>
    <w:rsid w:val="002446C0"/>
    <w:rPr>
      <w:i/>
      <w:iCs/>
      <w:color w:val="0F4761" w:themeColor="accent1" w:themeShade="BF"/>
    </w:rPr>
  </w:style>
  <w:style w:type="paragraph" w:styleId="IntenseQuote">
    <w:name w:val="Intense Quote"/>
    <w:basedOn w:val="Normal"/>
    <w:next w:val="Normal"/>
    <w:link w:val="IntenseQuoteChar"/>
    <w:uiPriority w:val="30"/>
    <w:qFormat/>
    <w:rsid w:val="002446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446C0"/>
    <w:rPr>
      <w:i/>
      <w:iCs/>
      <w:color w:val="0F4761" w:themeColor="accent1" w:themeShade="BF"/>
    </w:rPr>
  </w:style>
  <w:style w:type="character" w:styleId="IntenseReference">
    <w:name w:val="Intense Reference"/>
    <w:basedOn w:val="DefaultParagraphFont"/>
    <w:uiPriority w:val="32"/>
    <w:qFormat/>
    <w:rsid w:val="002446C0"/>
    <w:rPr>
      <w:b/>
      <w:bCs/>
      <w:smallCaps/>
      <w:color w:val="0F4761" w:themeColor="accent1" w:themeShade="BF"/>
      <w:spacing w:val="5"/>
    </w:rPr>
  </w:style>
  <w:style w:type="paragraph" w:styleId="NormalWeb">
    <w:name w:val="Normal (Web)"/>
    <w:basedOn w:val="Normal"/>
    <w:uiPriority w:val="99"/>
    <w:unhideWhenUsed/>
    <w:rsid w:val="005C02E9"/>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apple-converted-space">
    <w:name w:val="apple-converted-space"/>
    <w:basedOn w:val="DefaultParagraphFont"/>
    <w:rsid w:val="009C6591"/>
  </w:style>
  <w:style w:type="character" w:styleId="Strong">
    <w:name w:val="Strong"/>
    <w:basedOn w:val="DefaultParagraphFont"/>
    <w:uiPriority w:val="22"/>
    <w:qFormat/>
    <w:rsid w:val="009C6591"/>
    <w:rPr>
      <w:b/>
      <w:bCs/>
    </w:rPr>
  </w:style>
  <w:style w:type="character" w:styleId="Hyperlink">
    <w:name w:val="Hyperlink"/>
    <w:basedOn w:val="DefaultParagraphFont"/>
    <w:uiPriority w:val="99"/>
    <w:unhideWhenUsed/>
    <w:rsid w:val="00F10E91"/>
    <w:rPr>
      <w:color w:val="0000FF"/>
      <w:u w:val="single"/>
    </w:rPr>
  </w:style>
  <w:style w:type="paragraph" w:styleId="HTMLPreformatted">
    <w:name w:val="HTML Preformatted"/>
    <w:basedOn w:val="Normal"/>
    <w:link w:val="HTMLPreformattedChar"/>
    <w:uiPriority w:val="99"/>
    <w:semiHidden/>
    <w:unhideWhenUsed/>
    <w:rsid w:val="00C1070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14:ligatures w14:val="none"/>
    </w:rPr>
  </w:style>
  <w:style w:type="character" w:customStyle="1" w:styleId="HTMLPreformattedChar">
    <w:name w:val="HTML Preformatted Char"/>
    <w:basedOn w:val="DefaultParagraphFont"/>
    <w:link w:val="HTMLPreformatted"/>
    <w:uiPriority w:val="99"/>
    <w:semiHidden/>
    <w:rsid w:val="00C1070C"/>
    <w:rPr>
      <w:rFonts w:ascii="Courier New" w:eastAsia="Times New Roman" w:hAnsi="Courier New" w:cs="Courier New"/>
      <w:kern w:val="0"/>
      <w:sz w:val="20"/>
      <w:szCs w:val="20"/>
      <w14:ligatures w14:val="none"/>
    </w:rPr>
  </w:style>
  <w:style w:type="character" w:customStyle="1" w:styleId="y2iqfc">
    <w:name w:val="y2iqfc"/>
    <w:basedOn w:val="DefaultParagraphFont"/>
    <w:rsid w:val="00C1070C"/>
  </w:style>
  <w:style w:type="character" w:styleId="UnresolvedMention">
    <w:name w:val="Unresolved Mention"/>
    <w:basedOn w:val="DefaultParagraphFont"/>
    <w:uiPriority w:val="99"/>
    <w:semiHidden/>
    <w:unhideWhenUsed/>
    <w:rsid w:val="00B81CBA"/>
    <w:rPr>
      <w:color w:val="605E5C"/>
      <w:shd w:val="clear" w:color="auto" w:fill="E1DFDD"/>
    </w:rPr>
  </w:style>
  <w:style w:type="character" w:styleId="FollowedHyperlink">
    <w:name w:val="FollowedHyperlink"/>
    <w:basedOn w:val="DefaultParagraphFont"/>
    <w:uiPriority w:val="99"/>
    <w:semiHidden/>
    <w:unhideWhenUsed/>
    <w:rsid w:val="00B81CBA"/>
    <w:rPr>
      <w:color w:val="96607D" w:themeColor="followedHyperlink"/>
      <w:u w:val="single"/>
    </w:rPr>
  </w:style>
  <w:style w:type="character" w:styleId="Emphasis">
    <w:name w:val="Emphasis"/>
    <w:basedOn w:val="DefaultParagraphFont"/>
    <w:uiPriority w:val="20"/>
    <w:qFormat/>
    <w:rsid w:val="00B81CBA"/>
    <w:rPr>
      <w:i/>
      <w:iCs/>
    </w:rPr>
  </w:style>
  <w:style w:type="character" w:styleId="CommentReference">
    <w:name w:val="annotation reference"/>
    <w:basedOn w:val="DefaultParagraphFont"/>
    <w:uiPriority w:val="99"/>
    <w:semiHidden/>
    <w:unhideWhenUsed/>
    <w:rsid w:val="00F02322"/>
    <w:rPr>
      <w:sz w:val="16"/>
      <w:szCs w:val="16"/>
    </w:rPr>
  </w:style>
  <w:style w:type="paragraph" w:styleId="CommentText">
    <w:name w:val="annotation text"/>
    <w:basedOn w:val="Normal"/>
    <w:link w:val="CommentTextChar"/>
    <w:uiPriority w:val="99"/>
    <w:unhideWhenUsed/>
    <w:rsid w:val="00F02322"/>
    <w:pPr>
      <w:spacing w:after="0" w:line="240" w:lineRule="auto"/>
    </w:pPr>
    <w:rPr>
      <w:rFonts w:ascii="Times New Roman" w:eastAsia="Times New Roman" w:hAnsi="Times New Roman" w:cs="Times New Roman"/>
      <w:kern w:val="0"/>
      <w:sz w:val="20"/>
      <w:szCs w:val="20"/>
      <w:lang w:val="es-CO" w:eastAsia="es-ES"/>
      <w14:ligatures w14:val="none"/>
    </w:rPr>
  </w:style>
  <w:style w:type="character" w:customStyle="1" w:styleId="CommentTextChar">
    <w:name w:val="Comment Text Char"/>
    <w:basedOn w:val="DefaultParagraphFont"/>
    <w:link w:val="CommentText"/>
    <w:uiPriority w:val="99"/>
    <w:rsid w:val="00F02322"/>
    <w:rPr>
      <w:rFonts w:ascii="Times New Roman" w:eastAsia="Times New Roman" w:hAnsi="Times New Roman" w:cs="Times New Roman"/>
      <w:kern w:val="0"/>
      <w:sz w:val="20"/>
      <w:szCs w:val="20"/>
      <w:lang w:val="es-CO" w:eastAsia="es-ES"/>
      <w14:ligatures w14:val="none"/>
    </w:rPr>
  </w:style>
  <w:style w:type="table" w:styleId="TableGrid">
    <w:name w:val="Table Grid"/>
    <w:basedOn w:val="TableNormal"/>
    <w:uiPriority w:val="39"/>
    <w:rsid w:val="00E73627"/>
    <w:pPr>
      <w:spacing w:after="0" w:line="240" w:lineRule="auto"/>
    </w:pPr>
    <w:rPr>
      <w:sz w:val="22"/>
      <w:szCs w:val="22"/>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CC7410"/>
    <w:pPr>
      <w:spacing w:after="160"/>
    </w:pPr>
    <w:rPr>
      <w:rFonts w:asciiTheme="minorHAnsi" w:eastAsiaTheme="minorHAnsi" w:hAnsiTheme="minorHAnsi" w:cstheme="minorBidi"/>
      <w:b/>
      <w:bCs/>
      <w:kern w:val="2"/>
      <w:lang w:val="en-CO" w:eastAsia="en-US"/>
      <w14:ligatures w14:val="standardContextual"/>
    </w:rPr>
  </w:style>
  <w:style w:type="character" w:customStyle="1" w:styleId="CommentSubjectChar">
    <w:name w:val="Comment Subject Char"/>
    <w:basedOn w:val="CommentTextChar"/>
    <w:link w:val="CommentSubject"/>
    <w:uiPriority w:val="99"/>
    <w:semiHidden/>
    <w:rsid w:val="00CC7410"/>
    <w:rPr>
      <w:rFonts w:ascii="Times New Roman" w:eastAsia="Times New Roman" w:hAnsi="Times New Roman" w:cs="Times New Roman"/>
      <w:b/>
      <w:bCs/>
      <w:kern w:val="0"/>
      <w:sz w:val="20"/>
      <w:szCs w:val="20"/>
      <w:lang w:val="es-CO" w:eastAsia="es-ES"/>
      <w14:ligatures w14:val="none"/>
    </w:rPr>
  </w:style>
  <w:style w:type="paragraph" w:styleId="Revision">
    <w:name w:val="Revision"/>
    <w:hidden/>
    <w:uiPriority w:val="99"/>
    <w:semiHidden/>
    <w:rsid w:val="007E54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13" Type="http://schemas.openxmlformats.org/officeDocument/2006/relationships/hyperlink" Target="https://pmc.ncbi.nlm.nih.gov/articles/PMC11813410/" TargetMode="External"/><Relationship Id="rId3" Type="http://schemas.openxmlformats.org/officeDocument/2006/relationships/settings" Target="settings.xml"/><Relationship Id="rId7" Type="http://schemas.microsoft.com/office/2011/relationships/commentsExtended" Target="commentsExtended.xml"/><Relationship Id="rId12" Type="http://schemas.openxmlformats.org/officeDocument/2006/relationships/hyperlink" Target="https://www.mdpi.com/2077-0383/14/22/8243"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comments" Target="comments.xml"/><Relationship Id="rId11" Type="http://schemas.openxmlformats.org/officeDocument/2006/relationships/image" Target="media/image3.png"/><Relationship Id="rId5" Type="http://schemas.openxmlformats.org/officeDocument/2006/relationships/image" Target="media/image1.jpeg"/><Relationship Id="rId15" Type="http://schemas.microsoft.com/office/2011/relationships/people" Target="people.xml"/><Relationship Id="rId10" Type="http://schemas.openxmlformats.org/officeDocument/2006/relationships/image" Target="media/image2.png"/><Relationship Id="rId4" Type="http://schemas.openxmlformats.org/officeDocument/2006/relationships/webSettings" Target="webSettings.xml"/><Relationship Id="rId9" Type="http://schemas.microsoft.com/office/2018/08/relationships/commentsExtensible" Target="commentsExtensible.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194</TotalTime>
  <Pages>23</Pages>
  <Words>8036</Words>
  <Characters>46532</Characters>
  <Application>Microsoft Office Word</Application>
  <DocSecurity>0</DocSecurity>
  <Lines>949</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 Lasprilla M</dc:creator>
  <cp:keywords/>
  <dc:description/>
  <cp:lastModifiedBy>Nati Lasprilla M</cp:lastModifiedBy>
  <cp:revision>13</cp:revision>
  <cp:lastPrinted>2026-01-15T12:08:00Z</cp:lastPrinted>
  <dcterms:created xsi:type="dcterms:W3CDTF">2026-01-15T06:26:00Z</dcterms:created>
  <dcterms:modified xsi:type="dcterms:W3CDTF">2026-01-16T01:47:00Z</dcterms:modified>
</cp:coreProperties>
</file>