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DC53E8D" w14:textId="5A82DEC9" w:rsidR="00E92A68" w:rsidRDefault="00E92A68" w:rsidP="502784EB">
      <w:pPr>
        <w:spacing w:after="0"/>
        <w:rPr>
          <w:rFonts w:ascii="Arial" w:eastAsia="Arial" w:hAnsi="Arial" w:cs="Arial"/>
          <w:color w:val="000000" w:themeColor="text1"/>
          <w:sz w:val="32"/>
          <w:szCs w:val="32"/>
        </w:rPr>
      </w:pPr>
    </w:p>
    <w:p w14:paraId="3E7460B7" w14:textId="2467D7A0" w:rsidR="00E92A68" w:rsidRDefault="6AA4606F" w:rsidP="502784EB">
      <w:pPr>
        <w:spacing w:after="0"/>
        <w:jc w:val="center"/>
        <w:rPr>
          <w:rFonts w:ascii="Arial" w:eastAsia="Arial" w:hAnsi="Arial" w:cs="Arial"/>
          <w:b/>
          <w:bCs/>
          <w:color w:val="000000" w:themeColor="text1"/>
          <w:sz w:val="32"/>
          <w:szCs w:val="32"/>
        </w:rPr>
      </w:pPr>
      <w:r w:rsidRPr="502784EB">
        <w:rPr>
          <w:rFonts w:ascii="Arial" w:eastAsia="Arial" w:hAnsi="Arial" w:cs="Arial"/>
          <w:b/>
          <w:bCs/>
          <w:color w:val="000000" w:themeColor="text1"/>
          <w:sz w:val="32"/>
          <w:szCs w:val="32"/>
        </w:rPr>
        <w:t>Estrategias para la identificación y valoración inicial para el paciente con cáncer en final de vida, revisión panorámica</w:t>
      </w:r>
    </w:p>
    <w:p w14:paraId="5F7CB7E4" w14:textId="400E5090" w:rsidR="502784EB" w:rsidRDefault="502784EB" w:rsidP="502784EB">
      <w:pPr>
        <w:rPr>
          <w:rFonts w:ascii="Arial" w:eastAsia="Arial" w:hAnsi="Arial" w:cs="Arial"/>
          <w:color w:val="000000" w:themeColor="text1"/>
          <w:sz w:val="32"/>
          <w:szCs w:val="32"/>
        </w:rPr>
      </w:pPr>
    </w:p>
    <w:p w14:paraId="4D652141" w14:textId="7D6AB86A" w:rsidR="502784EB" w:rsidRDefault="502784EB" w:rsidP="502784EB">
      <w:pPr>
        <w:rPr>
          <w:rFonts w:ascii="Arial" w:eastAsia="Arial" w:hAnsi="Arial" w:cs="Arial"/>
          <w:color w:val="000000" w:themeColor="text1"/>
          <w:sz w:val="32"/>
          <w:szCs w:val="32"/>
        </w:rPr>
      </w:pPr>
    </w:p>
    <w:p w14:paraId="63AA19E4" w14:textId="1E5D096B" w:rsidR="502784EB" w:rsidRDefault="502784EB" w:rsidP="502784EB">
      <w:pPr>
        <w:rPr>
          <w:rFonts w:ascii="Arial" w:eastAsia="Arial" w:hAnsi="Arial" w:cs="Arial"/>
          <w:color w:val="000000" w:themeColor="text1"/>
          <w:sz w:val="32"/>
          <w:szCs w:val="32"/>
        </w:rPr>
      </w:pPr>
    </w:p>
    <w:p w14:paraId="4B7C83AB" w14:textId="264A7906" w:rsidR="502784EB" w:rsidRDefault="502784EB" w:rsidP="502784EB">
      <w:pPr>
        <w:rPr>
          <w:rFonts w:ascii="Arial" w:eastAsia="Arial" w:hAnsi="Arial" w:cs="Arial"/>
          <w:color w:val="000000" w:themeColor="text1"/>
          <w:sz w:val="32"/>
          <w:szCs w:val="32"/>
        </w:rPr>
      </w:pPr>
    </w:p>
    <w:p w14:paraId="4197E1C3" w14:textId="2E6FD44A" w:rsidR="502784EB" w:rsidRDefault="502784EB" w:rsidP="502784EB">
      <w:pPr>
        <w:rPr>
          <w:rFonts w:ascii="Arial" w:eastAsia="Arial" w:hAnsi="Arial" w:cs="Arial"/>
          <w:color w:val="000000" w:themeColor="text1"/>
          <w:sz w:val="32"/>
          <w:szCs w:val="32"/>
        </w:rPr>
      </w:pPr>
    </w:p>
    <w:p w14:paraId="012CF473" w14:textId="4F2BD1FB" w:rsidR="53FA3085" w:rsidRDefault="53FA3085" w:rsidP="502784EB">
      <w:pPr>
        <w:rPr>
          <w:rFonts w:ascii="Arial" w:eastAsia="Arial" w:hAnsi="Arial" w:cs="Arial"/>
          <w:color w:val="000000" w:themeColor="text1"/>
        </w:rPr>
      </w:pPr>
      <w:r w:rsidRPr="502784EB">
        <w:rPr>
          <w:rFonts w:ascii="Arial" w:eastAsia="Arial" w:hAnsi="Arial" w:cs="Arial"/>
          <w:color w:val="000000" w:themeColor="text1"/>
        </w:rPr>
        <w:t>Trabajo de grado para optar al título de Especialista en Medicina del Dolor y Cuidados Paliativos.</w:t>
      </w:r>
    </w:p>
    <w:p w14:paraId="1B143B7D" w14:textId="116BD422" w:rsidR="53FA3085" w:rsidRDefault="53FA3085" w:rsidP="502784EB">
      <w:pPr>
        <w:jc w:val="right"/>
        <w:rPr>
          <w:rFonts w:ascii="Arial" w:eastAsia="Arial" w:hAnsi="Arial" w:cs="Arial"/>
          <w:color w:val="000000" w:themeColor="text1"/>
        </w:rPr>
      </w:pPr>
      <w:r w:rsidRPr="502784EB">
        <w:rPr>
          <w:rFonts w:ascii="Arial" w:eastAsia="Arial" w:hAnsi="Arial" w:cs="Arial"/>
          <w:color w:val="000000" w:themeColor="text1"/>
        </w:rPr>
        <w:t>Presentado por</w:t>
      </w:r>
    </w:p>
    <w:p w14:paraId="20280F63" w14:textId="4DEF5CD6" w:rsidR="53FA3085" w:rsidRDefault="53FA3085" w:rsidP="502784EB">
      <w:pPr>
        <w:jc w:val="right"/>
        <w:rPr>
          <w:rFonts w:ascii="Arial" w:eastAsia="Arial" w:hAnsi="Arial" w:cs="Arial"/>
          <w:color w:val="000000" w:themeColor="text1"/>
        </w:rPr>
      </w:pPr>
      <w:r w:rsidRPr="502784EB">
        <w:rPr>
          <w:rFonts w:ascii="Arial" w:eastAsia="Arial" w:hAnsi="Arial" w:cs="Arial"/>
          <w:color w:val="000000" w:themeColor="text1"/>
        </w:rPr>
        <w:t>Santiago Guadarrama Vega</w:t>
      </w:r>
    </w:p>
    <w:p w14:paraId="3B1045A2" w14:textId="44CFAE90" w:rsidR="53FA3085" w:rsidRDefault="53FA3085" w:rsidP="502784EB">
      <w:pPr>
        <w:jc w:val="right"/>
        <w:rPr>
          <w:rFonts w:ascii="Arial" w:eastAsia="Arial" w:hAnsi="Arial" w:cs="Arial"/>
          <w:color w:val="000000" w:themeColor="text1"/>
        </w:rPr>
      </w:pPr>
      <w:r w:rsidRPr="502784EB">
        <w:rPr>
          <w:rFonts w:ascii="Arial" w:eastAsia="Arial" w:hAnsi="Arial" w:cs="Arial"/>
          <w:color w:val="000000" w:themeColor="text1"/>
        </w:rPr>
        <w:t>Bibiana Flórez Vargas</w:t>
      </w:r>
    </w:p>
    <w:p w14:paraId="5C518366" w14:textId="21BE66AF" w:rsidR="53FA3085" w:rsidRDefault="53FA3085" w:rsidP="502784EB">
      <w:pPr>
        <w:jc w:val="right"/>
        <w:rPr>
          <w:rFonts w:ascii="Arial" w:eastAsia="Arial" w:hAnsi="Arial" w:cs="Arial"/>
          <w:color w:val="000000" w:themeColor="text1"/>
        </w:rPr>
      </w:pPr>
      <w:r w:rsidRPr="502784EB">
        <w:rPr>
          <w:rFonts w:ascii="Arial" w:eastAsia="Arial" w:hAnsi="Arial" w:cs="Arial"/>
          <w:color w:val="000000" w:themeColor="text1"/>
        </w:rPr>
        <w:t>Residentes Medicina del Dolor y Cuidados Paliativos</w:t>
      </w:r>
    </w:p>
    <w:p w14:paraId="6002CB13" w14:textId="4DBC7FA4" w:rsidR="53FA3085" w:rsidRDefault="53FA3085" w:rsidP="502784EB">
      <w:pPr>
        <w:jc w:val="right"/>
        <w:rPr>
          <w:rFonts w:ascii="Arial" w:eastAsia="Arial" w:hAnsi="Arial" w:cs="Arial"/>
          <w:color w:val="000000" w:themeColor="text1"/>
        </w:rPr>
      </w:pPr>
      <w:r w:rsidRPr="502784EB">
        <w:rPr>
          <w:rFonts w:ascii="Arial" w:eastAsia="Arial" w:hAnsi="Arial" w:cs="Arial"/>
          <w:color w:val="000000" w:themeColor="text1"/>
        </w:rPr>
        <w:t>Universidad de la Sabana – Instituto Nacional de Cancerología</w:t>
      </w:r>
    </w:p>
    <w:p w14:paraId="543A6D71" w14:textId="46A0E975" w:rsidR="502784EB" w:rsidRDefault="502784EB" w:rsidP="502784EB">
      <w:pPr>
        <w:rPr>
          <w:rFonts w:ascii="Arial" w:eastAsia="Arial" w:hAnsi="Arial" w:cs="Arial"/>
          <w:color w:val="000000" w:themeColor="text1"/>
          <w:sz w:val="32"/>
          <w:szCs w:val="32"/>
        </w:rPr>
      </w:pPr>
    </w:p>
    <w:p w14:paraId="5C61860B" w14:textId="0FA36724" w:rsidR="53FA3085" w:rsidRDefault="53FA3085" w:rsidP="502784EB">
      <w:pPr>
        <w:jc w:val="right"/>
        <w:rPr>
          <w:rFonts w:ascii="Arial" w:eastAsia="Arial" w:hAnsi="Arial" w:cs="Arial"/>
          <w:color w:val="000000" w:themeColor="text1"/>
        </w:rPr>
      </w:pPr>
      <w:r w:rsidRPr="502784EB">
        <w:rPr>
          <w:rFonts w:ascii="Arial" w:eastAsia="Arial" w:hAnsi="Arial" w:cs="Arial"/>
          <w:color w:val="000000" w:themeColor="text1"/>
        </w:rPr>
        <w:t xml:space="preserve">Asesora temática: Dra. </w:t>
      </w:r>
      <w:proofErr w:type="spellStart"/>
      <w:r w:rsidRPr="502784EB">
        <w:rPr>
          <w:rFonts w:ascii="Arial" w:eastAsia="Arial" w:hAnsi="Arial" w:cs="Arial"/>
          <w:color w:val="000000" w:themeColor="text1"/>
        </w:rPr>
        <w:t>Bilena</w:t>
      </w:r>
      <w:proofErr w:type="spellEnd"/>
      <w:r w:rsidRPr="502784EB">
        <w:rPr>
          <w:rFonts w:ascii="Arial" w:eastAsia="Arial" w:hAnsi="Arial" w:cs="Arial"/>
          <w:color w:val="000000" w:themeColor="text1"/>
        </w:rPr>
        <w:t xml:space="preserve"> Margarita Molina</w:t>
      </w:r>
    </w:p>
    <w:p w14:paraId="28B7B90F" w14:textId="16E89E10" w:rsidR="6922F4E9" w:rsidRDefault="6922F4E9" w:rsidP="502784EB">
      <w:pPr>
        <w:jc w:val="right"/>
        <w:rPr>
          <w:rFonts w:ascii="Arial" w:eastAsia="Arial" w:hAnsi="Arial" w:cs="Arial"/>
          <w:color w:val="000000" w:themeColor="text1"/>
        </w:rPr>
      </w:pPr>
      <w:r w:rsidRPr="502784EB">
        <w:rPr>
          <w:rFonts w:ascii="Arial" w:eastAsia="Arial" w:hAnsi="Arial" w:cs="Arial"/>
          <w:color w:val="000000" w:themeColor="text1"/>
        </w:rPr>
        <w:t>Especialista en Medicina del Dolor y Cuidados Paliativos</w:t>
      </w:r>
    </w:p>
    <w:p w14:paraId="4594697D" w14:textId="4352410E" w:rsidR="6922F4E9" w:rsidRDefault="6922F4E9" w:rsidP="502784EB">
      <w:pPr>
        <w:jc w:val="right"/>
        <w:rPr>
          <w:rFonts w:ascii="Arial" w:eastAsia="Arial" w:hAnsi="Arial" w:cs="Arial"/>
          <w:color w:val="000000" w:themeColor="text1"/>
        </w:rPr>
      </w:pPr>
      <w:r w:rsidRPr="502784EB">
        <w:rPr>
          <w:rFonts w:ascii="Arial" w:eastAsia="Arial" w:hAnsi="Arial" w:cs="Arial"/>
          <w:color w:val="000000" w:themeColor="text1"/>
        </w:rPr>
        <w:t>Docente Instituto Nacional de Cancerología</w:t>
      </w:r>
    </w:p>
    <w:p w14:paraId="590D3A17" w14:textId="78281C7A" w:rsidR="53FA3085" w:rsidRDefault="53FA3085" w:rsidP="502784EB">
      <w:pPr>
        <w:jc w:val="right"/>
        <w:rPr>
          <w:rFonts w:ascii="Arial" w:eastAsia="Arial" w:hAnsi="Arial" w:cs="Arial"/>
          <w:color w:val="000000" w:themeColor="text1"/>
        </w:rPr>
      </w:pPr>
      <w:r w:rsidRPr="502784EB">
        <w:rPr>
          <w:rFonts w:ascii="Arial" w:eastAsia="Arial" w:hAnsi="Arial" w:cs="Arial"/>
          <w:color w:val="000000" w:themeColor="text1"/>
        </w:rPr>
        <w:t xml:space="preserve">Asesor metodológico: Dr. </w:t>
      </w:r>
      <w:r w:rsidR="159CA654" w:rsidRPr="502784EB">
        <w:rPr>
          <w:rFonts w:ascii="Arial" w:eastAsia="Arial" w:hAnsi="Arial" w:cs="Arial"/>
          <w:color w:val="000000" w:themeColor="text1"/>
        </w:rPr>
        <w:t xml:space="preserve">John </w:t>
      </w:r>
      <w:r w:rsidRPr="502784EB">
        <w:rPr>
          <w:rFonts w:ascii="Arial" w:eastAsia="Arial" w:hAnsi="Arial" w:cs="Arial"/>
          <w:color w:val="000000" w:themeColor="text1"/>
        </w:rPr>
        <w:t>Feliciano</w:t>
      </w:r>
    </w:p>
    <w:p w14:paraId="3CB54E1C" w14:textId="7D3A0312" w:rsidR="38C69979" w:rsidRDefault="38C69979" w:rsidP="502784EB">
      <w:pPr>
        <w:jc w:val="right"/>
        <w:rPr>
          <w:rFonts w:ascii="Arial" w:eastAsia="Arial" w:hAnsi="Arial" w:cs="Arial"/>
          <w:color w:val="000000" w:themeColor="text1"/>
        </w:rPr>
      </w:pPr>
      <w:r w:rsidRPr="502784EB">
        <w:rPr>
          <w:rFonts w:ascii="Arial" w:eastAsia="Arial" w:hAnsi="Arial" w:cs="Arial"/>
          <w:color w:val="000000" w:themeColor="text1"/>
        </w:rPr>
        <w:t>Especialista en Epidemiología</w:t>
      </w:r>
    </w:p>
    <w:p w14:paraId="780D10AA" w14:textId="65A98BA0" w:rsidR="502784EB" w:rsidRDefault="502784EB" w:rsidP="502784EB">
      <w:pPr>
        <w:rPr>
          <w:rFonts w:ascii="Arial" w:eastAsia="Arial" w:hAnsi="Arial" w:cs="Arial"/>
          <w:color w:val="000000" w:themeColor="text1"/>
          <w:sz w:val="32"/>
          <w:szCs w:val="32"/>
        </w:rPr>
      </w:pPr>
    </w:p>
    <w:p w14:paraId="582C9F74" w14:textId="52365DEB" w:rsidR="502784EB" w:rsidRDefault="502784EB" w:rsidP="502784EB">
      <w:pPr>
        <w:rPr>
          <w:rFonts w:ascii="Arial" w:eastAsia="Arial" w:hAnsi="Arial" w:cs="Arial"/>
          <w:color w:val="000000" w:themeColor="text1"/>
          <w:sz w:val="32"/>
          <w:szCs w:val="32"/>
        </w:rPr>
      </w:pPr>
    </w:p>
    <w:p w14:paraId="3A7C74D0" w14:textId="14A733A9" w:rsidR="53FA3085" w:rsidRDefault="53FA3085" w:rsidP="502784EB">
      <w:pPr>
        <w:jc w:val="center"/>
        <w:rPr>
          <w:rFonts w:ascii="Arial" w:eastAsia="Arial" w:hAnsi="Arial" w:cs="Arial"/>
          <w:color w:val="000000" w:themeColor="text1"/>
        </w:rPr>
      </w:pPr>
      <w:r w:rsidRPr="502784EB">
        <w:rPr>
          <w:rFonts w:ascii="Arial" w:eastAsia="Arial" w:hAnsi="Arial" w:cs="Arial"/>
          <w:color w:val="000000" w:themeColor="text1"/>
        </w:rPr>
        <w:t>2025</w:t>
      </w:r>
    </w:p>
    <w:p w14:paraId="61D9DDCA" w14:textId="788D45F4" w:rsidR="502784EB" w:rsidRDefault="502784EB">
      <w:r>
        <w:br w:type="page"/>
      </w:r>
    </w:p>
    <w:p w14:paraId="25A1151F" w14:textId="2166D5DD" w:rsidR="502784EB" w:rsidRDefault="502784EB" w:rsidP="502784EB">
      <w:pPr>
        <w:rPr>
          <w:rFonts w:ascii="Arial" w:eastAsia="Arial" w:hAnsi="Arial" w:cs="Arial"/>
          <w:color w:val="000000" w:themeColor="text1"/>
          <w:sz w:val="32"/>
          <w:szCs w:val="32"/>
        </w:rPr>
      </w:pPr>
    </w:p>
    <w:p w14:paraId="17FCE51E" w14:textId="058C6B68" w:rsidR="00E92A68" w:rsidRDefault="00E92A68" w:rsidP="6968984F">
      <w:pPr>
        <w:jc w:val="both"/>
        <w:rPr>
          <w:rFonts w:ascii="Arial" w:eastAsia="Arial" w:hAnsi="Arial" w:cs="Arial"/>
        </w:rPr>
      </w:pPr>
    </w:p>
    <w:p w14:paraId="0ABDECA1" w14:textId="44EBC321" w:rsidR="00E92A68" w:rsidRDefault="642E9270" w:rsidP="6968984F">
      <w:pPr>
        <w:jc w:val="both"/>
        <w:rPr>
          <w:rFonts w:ascii="Arial" w:eastAsia="Arial" w:hAnsi="Arial" w:cs="Arial"/>
          <w:b/>
          <w:bCs/>
        </w:rPr>
      </w:pPr>
      <w:r w:rsidRPr="6968984F">
        <w:rPr>
          <w:rFonts w:ascii="Arial" w:eastAsia="Arial" w:hAnsi="Arial" w:cs="Arial"/>
          <w:b/>
          <w:bCs/>
        </w:rPr>
        <w:t>INTRODUCCIÓ</w:t>
      </w:r>
      <w:r w:rsidR="702ED029" w:rsidRPr="6968984F">
        <w:rPr>
          <w:rFonts w:ascii="Arial" w:eastAsia="Arial" w:hAnsi="Arial" w:cs="Arial"/>
          <w:b/>
          <w:bCs/>
        </w:rPr>
        <w:t>N</w:t>
      </w:r>
    </w:p>
    <w:p w14:paraId="0A04ED56" w14:textId="3F9C91F2" w:rsidR="00E92A68" w:rsidRDefault="1CF69A74" w:rsidP="6968984F">
      <w:pPr>
        <w:jc w:val="both"/>
        <w:rPr>
          <w:rFonts w:ascii="Arial" w:eastAsia="Arial" w:hAnsi="Arial" w:cs="Arial"/>
          <w:color w:val="000000" w:themeColor="text1"/>
        </w:rPr>
      </w:pPr>
      <w:r w:rsidRPr="502784EB">
        <w:rPr>
          <w:rFonts w:ascii="Arial" w:eastAsia="Arial" w:hAnsi="Arial" w:cs="Arial"/>
        </w:rPr>
        <w:t>Los pacientes con cáncer avanzado suelen presentar signos y síntomas hacia el final de su vida que sugieren una muerte inminente. Sin embargo, la identificación oportuna de esta fase es fundamental, ya que, en ocasiones, estos indicios no se reconocen a tiempo, lo cual impide proporcionar al paciente el acompañamiento y la intervención necesarios para aliviar su sufrimiento y el de su familia. Por otro lado, un diagnóstico prematuro del fin de vida puede generar estrés innecesario en el paciente y sus seres queridos cuando aún no se encuentran en esta etapa</w:t>
      </w:r>
      <w:r w:rsidR="167B8312" w:rsidRPr="502784EB">
        <w:rPr>
          <w:rFonts w:ascii="Arial" w:eastAsia="Arial" w:hAnsi="Arial" w:cs="Arial"/>
        </w:rPr>
        <w:t xml:space="preserve"> </w:t>
      </w:r>
      <w:sdt>
        <w:sdtPr>
          <w:rPr>
            <w:rFonts w:ascii="Arial" w:eastAsia="Arial" w:hAnsi="Arial" w:cs="Arial"/>
            <w:color w:val="000000" w:themeColor="text1"/>
          </w:rPr>
          <w:tag w:val="MENDELEY_CITATION_v3_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"/>
          <w:id w:val="1007519359"/>
          <w:placeholder>
            <w:docPart w:val="DefaultPlaceholder_-1854013440"/>
          </w:placeholder>
        </w:sdtPr>
        <w:sdtEndPr/>
        <w:sdtContent>
          <w:r w:rsidR="502784EB" w:rsidRPr="502784EB">
            <w:rPr>
              <w:rFonts w:ascii="Arial" w:eastAsia="Arial" w:hAnsi="Arial" w:cs="Arial"/>
              <w:color w:val="000000" w:themeColor="text1"/>
            </w:rPr>
            <w:t>(Hui et al., 2015)</w:t>
          </w:r>
        </w:sdtContent>
      </w:sdt>
      <w:r w:rsidR="31E39665" w:rsidRPr="502784EB">
        <w:rPr>
          <w:rFonts w:ascii="Arial" w:eastAsia="Arial" w:hAnsi="Arial" w:cs="Arial"/>
          <w:color w:val="000000" w:themeColor="text1"/>
        </w:rPr>
        <w:t>.</w:t>
      </w:r>
    </w:p>
    <w:p w14:paraId="5C6706EE" w14:textId="54DFCAD0" w:rsidR="00E92A68" w:rsidRDefault="1CF69A74" w:rsidP="6968984F">
      <w:pPr>
        <w:spacing w:after="0"/>
        <w:ind w:left="20"/>
        <w:jc w:val="both"/>
        <w:rPr>
          <w:rFonts w:ascii="Arial" w:eastAsia="Arial" w:hAnsi="Arial" w:cs="Arial"/>
          <w:color w:val="000000" w:themeColor="text1"/>
        </w:rPr>
      </w:pPr>
      <w:r w:rsidRPr="502784EB">
        <w:rPr>
          <w:rFonts w:ascii="Arial" w:eastAsia="Arial" w:hAnsi="Arial" w:cs="Arial"/>
        </w:rPr>
        <w:t xml:space="preserve">El término "fin de vida" se refiere al momento en que un paciente con una enfermedad avanzada experimenta un deterioro físico rápido que precede a una muerte inevitable como resultado de la enfermedad. La duración de esta fase varía según la literatura: algunos autores la consideran como un período de semanas o meses previos al fallecimiento, mientras que otros la definen como los últimos días u horas de vida </w:t>
      </w:r>
      <w:sdt>
        <w:sdtPr>
          <w:rPr>
            <w:rFonts w:ascii="Arial" w:eastAsia="Arial" w:hAnsi="Arial" w:cs="Arial"/>
            <w:color w:val="000000" w:themeColor="text1"/>
          </w:rPr>
          <w:tag w:val="MENDELEY_CITATION_v3_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"/>
          <w:id w:val="1989957754"/>
          <w:placeholder>
            <w:docPart w:val="DefaultPlaceholder_-1854013440"/>
          </w:placeholder>
        </w:sdtPr>
        <w:sdtEndPr/>
        <w:sdtContent>
          <w:r w:rsidR="502784EB" w:rsidRPr="502784EB">
            <w:rPr>
              <w:rFonts w:ascii="Arial" w:eastAsia="Arial" w:hAnsi="Arial" w:cs="Arial"/>
              <w:color w:val="000000" w:themeColor="text1"/>
            </w:rPr>
            <w:t>(Hui et al., 2015)</w:t>
          </w:r>
        </w:sdtContent>
      </w:sdt>
      <w:r w:rsidRPr="502784EB">
        <w:rPr>
          <w:rFonts w:ascii="Arial" w:eastAsia="Arial" w:hAnsi="Arial" w:cs="Arial"/>
        </w:rPr>
        <w:t>. Durante esta etapa, es esencial evitar procedimientos fútiles, así como</w:t>
      </w:r>
      <w:r w:rsidR="2875126C" w:rsidRPr="502784EB">
        <w:rPr>
          <w:rFonts w:ascii="Arial" w:eastAsia="Arial" w:hAnsi="Arial" w:cs="Arial"/>
        </w:rPr>
        <w:t xml:space="preserve"> existe</w:t>
      </w:r>
      <w:r w:rsidRPr="502784EB">
        <w:rPr>
          <w:rFonts w:ascii="Arial" w:eastAsia="Arial" w:hAnsi="Arial" w:cs="Arial"/>
        </w:rPr>
        <w:t xml:space="preserve"> el riesgo de interrumpir intervenciones que aún podrían mejorar la calidad de vida del paciente. Un diagnóstico preciso de fin de vida permite a los familiares prepararse adecuadamente para el fallecimiento del paciente, lo cual resalta la importancia de contar con criterios fiables para identificar este momento </w:t>
      </w:r>
      <w:sdt>
        <w:sdtPr>
          <w:rPr>
            <w:rFonts w:ascii="Arial" w:eastAsia="Arial" w:hAnsi="Arial" w:cs="Arial"/>
            <w:color w:val="000000" w:themeColor="text1"/>
          </w:rPr>
          <w:tag w:val="MENDELEY_CITATION_v3_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"/>
          <w:id w:val="1401812655"/>
          <w:placeholder>
            <w:docPart w:val="DefaultPlaceholder_-1854013440"/>
          </w:placeholder>
        </w:sdtPr>
        <w:sdtEndPr/>
        <w:sdtContent>
          <w:r w:rsidR="502784EB" w:rsidRPr="502784EB">
            <w:rPr>
              <w:rFonts w:ascii="Arial" w:eastAsia="Arial" w:hAnsi="Arial" w:cs="Arial"/>
              <w:color w:val="000000" w:themeColor="text1"/>
            </w:rPr>
            <w:t>(</w:t>
          </w:r>
          <w:proofErr w:type="spellStart"/>
          <w:r w:rsidR="502784EB" w:rsidRPr="502784EB">
            <w:rPr>
              <w:rFonts w:ascii="Arial" w:eastAsia="Arial" w:hAnsi="Arial" w:cs="Arial"/>
              <w:color w:val="000000" w:themeColor="text1"/>
            </w:rPr>
            <w:t>Mori</w:t>
          </w:r>
          <w:proofErr w:type="spellEnd"/>
          <w:r w:rsidR="502784EB" w:rsidRPr="502784EB">
            <w:rPr>
              <w:rFonts w:ascii="Arial" w:eastAsia="Arial" w:hAnsi="Arial" w:cs="Arial"/>
              <w:color w:val="000000" w:themeColor="text1"/>
            </w:rPr>
            <w:t xml:space="preserve"> et al., 2022)</w:t>
          </w:r>
        </w:sdtContent>
      </w:sdt>
      <w:r w:rsidR="31EEF238" w:rsidRPr="502784EB">
        <w:rPr>
          <w:rFonts w:ascii="Arial" w:eastAsia="Arial" w:hAnsi="Arial" w:cs="Arial"/>
          <w:color w:val="000000" w:themeColor="text1"/>
        </w:rPr>
        <w:t>.</w:t>
      </w:r>
    </w:p>
    <w:p w14:paraId="175ADD07" w14:textId="3798C7E4" w:rsidR="00E92A68" w:rsidRDefault="00E92A68" w:rsidP="6968984F">
      <w:pPr>
        <w:spacing w:after="0"/>
        <w:ind w:left="20"/>
        <w:jc w:val="both"/>
        <w:rPr>
          <w:rFonts w:ascii="Arial" w:eastAsia="Arial" w:hAnsi="Arial" w:cs="Arial"/>
        </w:rPr>
      </w:pPr>
    </w:p>
    <w:p w14:paraId="347795C0" w14:textId="27002558" w:rsidR="00E92A68" w:rsidRDefault="1CF69A74" w:rsidP="6968984F">
      <w:pPr>
        <w:spacing w:after="0"/>
        <w:ind w:left="20"/>
        <w:jc w:val="both"/>
        <w:rPr>
          <w:rFonts w:ascii="Arial" w:eastAsia="Arial" w:hAnsi="Arial" w:cs="Arial"/>
        </w:rPr>
      </w:pPr>
      <w:r w:rsidRPr="502784EB">
        <w:rPr>
          <w:rFonts w:ascii="Arial" w:eastAsia="Arial" w:hAnsi="Arial" w:cs="Arial"/>
        </w:rPr>
        <w:t xml:space="preserve">Tradicionalmente, el </w:t>
      </w:r>
      <w:r w:rsidR="7BF99691" w:rsidRPr="502784EB">
        <w:rPr>
          <w:rFonts w:ascii="Arial" w:eastAsia="Arial" w:hAnsi="Arial" w:cs="Arial"/>
        </w:rPr>
        <w:t>diagnóstico</w:t>
      </w:r>
      <w:r w:rsidRPr="502784EB">
        <w:rPr>
          <w:rFonts w:ascii="Arial" w:eastAsia="Arial" w:hAnsi="Arial" w:cs="Arial"/>
        </w:rPr>
        <w:t xml:space="preserve"> de muerte inminente en pacientes con enfermedades avanzadas se basaba en una evaluación subjetiva de los síntomas. Sin embargo, en la actualidad se han desarrollado escalas que permiten un abordaje más objetivo en la identificación del fin de vida.  </w:t>
      </w:r>
    </w:p>
    <w:p w14:paraId="27B12547" w14:textId="64FA52CE" w:rsidR="00E92A68" w:rsidRDefault="00E92A68" w:rsidP="6968984F">
      <w:pPr>
        <w:spacing w:after="0"/>
        <w:ind w:left="20"/>
        <w:jc w:val="both"/>
        <w:rPr>
          <w:rFonts w:ascii="Arial" w:eastAsia="Arial" w:hAnsi="Arial" w:cs="Arial"/>
        </w:rPr>
      </w:pPr>
    </w:p>
    <w:p w14:paraId="7F0E32E7" w14:textId="2E384AF5" w:rsidR="00E92A68" w:rsidRDefault="1CF69A74" w:rsidP="6968984F">
      <w:pPr>
        <w:spacing w:after="0"/>
        <w:ind w:left="20"/>
        <w:jc w:val="both"/>
        <w:rPr>
          <w:rFonts w:ascii="Arial" w:eastAsia="Arial" w:hAnsi="Arial" w:cs="Arial"/>
        </w:rPr>
      </w:pPr>
      <w:r w:rsidRPr="502784EB">
        <w:rPr>
          <w:rFonts w:ascii="Arial" w:eastAsia="Arial" w:hAnsi="Arial" w:cs="Arial"/>
        </w:rPr>
        <w:t>Esta investigación busca desarrollar una revisión de las guías existentes sobre el manejo de pacientes en fin de vida y establecer las herramientas necesarias para identificar a los pacientes con cáncer avanzado en esta fase, con el objetivo de mejorar la calidad de los cuidados paliativos y brindar tranquilidad a los pacientes y sus familias en este proceso tan delicado</w:t>
      </w:r>
      <w:r w:rsidR="0B94D5C5" w:rsidRPr="502784EB">
        <w:rPr>
          <w:rFonts w:ascii="Arial" w:eastAsia="Arial" w:hAnsi="Arial" w:cs="Arial"/>
        </w:rPr>
        <w:t>.</w:t>
      </w:r>
    </w:p>
    <w:p w14:paraId="74757585" w14:textId="00B3E811" w:rsidR="502784EB" w:rsidRDefault="502784EB" w:rsidP="502784EB">
      <w:pPr>
        <w:spacing w:after="0"/>
        <w:ind w:left="20"/>
        <w:jc w:val="both"/>
        <w:rPr>
          <w:rFonts w:ascii="Arial" w:eastAsia="Arial" w:hAnsi="Arial" w:cs="Arial"/>
        </w:rPr>
      </w:pPr>
    </w:p>
    <w:p w14:paraId="26507A18" w14:textId="4BE66539" w:rsidR="502784EB" w:rsidRDefault="502784EB">
      <w:r>
        <w:br w:type="page"/>
      </w:r>
    </w:p>
    <w:p w14:paraId="417D5E45" w14:textId="48769618" w:rsidR="5682DC4B" w:rsidRDefault="5682DC4B" w:rsidP="502784EB">
      <w:pPr>
        <w:spacing w:after="0"/>
        <w:ind w:left="22"/>
        <w:jc w:val="both"/>
        <w:rPr>
          <w:rFonts w:ascii="Arial" w:eastAsia="Arial" w:hAnsi="Arial" w:cs="Arial"/>
          <w:b/>
          <w:bCs/>
          <w:color w:val="000000" w:themeColor="text1"/>
        </w:rPr>
      </w:pPr>
      <w:r w:rsidRPr="502784EB">
        <w:rPr>
          <w:rFonts w:ascii="Arial" w:eastAsia="Arial" w:hAnsi="Arial" w:cs="Arial"/>
          <w:b/>
          <w:bCs/>
          <w:color w:val="000000" w:themeColor="text1"/>
        </w:rPr>
        <w:lastRenderedPageBreak/>
        <w:t>OBJETIVOS</w:t>
      </w:r>
    </w:p>
    <w:p w14:paraId="081D6496" w14:textId="54A27886" w:rsidR="502784EB" w:rsidRDefault="502784EB" w:rsidP="502784EB">
      <w:pPr>
        <w:spacing w:after="0"/>
        <w:ind w:left="22"/>
        <w:jc w:val="both"/>
        <w:rPr>
          <w:rFonts w:ascii="Arial" w:eastAsia="Arial" w:hAnsi="Arial" w:cs="Arial"/>
          <w:b/>
          <w:bCs/>
          <w:color w:val="000000" w:themeColor="text1"/>
        </w:rPr>
      </w:pPr>
    </w:p>
    <w:p w14:paraId="4E7E08D5" w14:textId="209C6663" w:rsidR="5682DC4B" w:rsidRDefault="5682DC4B" w:rsidP="502784EB">
      <w:pPr>
        <w:spacing w:after="5"/>
        <w:ind w:left="-10" w:right="4" w:hanging="20"/>
        <w:jc w:val="both"/>
      </w:pPr>
      <w:r w:rsidRPr="502784EB">
        <w:rPr>
          <w:rFonts w:ascii="Arial" w:eastAsia="Arial" w:hAnsi="Arial" w:cs="Arial"/>
          <w:color w:val="000000" w:themeColor="text1"/>
        </w:rPr>
        <w:t>General</w:t>
      </w:r>
    </w:p>
    <w:p w14:paraId="304C2EBF" w14:textId="4370ADD8" w:rsidR="5682DC4B" w:rsidRDefault="5682DC4B" w:rsidP="502784EB">
      <w:pPr>
        <w:pStyle w:val="Prrafodelista"/>
        <w:numPr>
          <w:ilvl w:val="0"/>
          <w:numId w:val="12"/>
        </w:numPr>
        <w:spacing w:before="240" w:after="240"/>
        <w:jc w:val="both"/>
        <w:rPr>
          <w:rFonts w:ascii="Arial" w:eastAsia="Arial" w:hAnsi="Arial" w:cs="Arial"/>
          <w:color w:val="000000" w:themeColor="text1"/>
        </w:rPr>
      </w:pPr>
      <w:r w:rsidRPr="502784EB">
        <w:rPr>
          <w:rFonts w:ascii="Arial" w:eastAsia="Arial" w:hAnsi="Arial" w:cs="Arial"/>
          <w:color w:val="000000" w:themeColor="text1"/>
        </w:rPr>
        <w:t>Proporcionar información basada en la mejor evidencia disponible acerca de los signos clínicos y escalas utilizadas para la identificación del paciente mayor de 18 años con cáncer avanzado en fin de vida.</w:t>
      </w:r>
    </w:p>
    <w:p w14:paraId="77472915" w14:textId="06FE4476" w:rsidR="5682DC4B" w:rsidRDefault="5682DC4B" w:rsidP="502784EB">
      <w:pPr>
        <w:spacing w:after="0"/>
        <w:jc w:val="both"/>
      </w:pPr>
      <w:r w:rsidRPr="502784EB">
        <w:rPr>
          <w:rFonts w:ascii="Arial" w:eastAsia="Arial" w:hAnsi="Arial" w:cs="Arial"/>
          <w:color w:val="000000" w:themeColor="text1"/>
        </w:rPr>
        <w:t>Específicos</w:t>
      </w:r>
    </w:p>
    <w:p w14:paraId="15E5E6C2" w14:textId="063B378D" w:rsidR="5682DC4B" w:rsidRDefault="5682DC4B" w:rsidP="502784EB">
      <w:pPr>
        <w:pStyle w:val="Prrafodelista"/>
        <w:numPr>
          <w:ilvl w:val="0"/>
          <w:numId w:val="11"/>
        </w:numPr>
        <w:spacing w:before="240" w:after="240"/>
        <w:jc w:val="both"/>
        <w:rPr>
          <w:rFonts w:ascii="Arial" w:eastAsia="Arial" w:hAnsi="Arial" w:cs="Arial"/>
          <w:color w:val="000000" w:themeColor="text1"/>
        </w:rPr>
      </w:pPr>
      <w:r w:rsidRPr="502784EB">
        <w:rPr>
          <w:rFonts w:ascii="Arial" w:eastAsia="Arial" w:hAnsi="Arial" w:cs="Arial"/>
          <w:color w:val="000000" w:themeColor="text1"/>
        </w:rPr>
        <w:t xml:space="preserve">Revisar en la literatura cuáles escalas </w:t>
      </w:r>
      <w:proofErr w:type="spellStart"/>
      <w:r w:rsidRPr="502784EB">
        <w:rPr>
          <w:rFonts w:ascii="Arial" w:eastAsia="Arial" w:hAnsi="Arial" w:cs="Arial"/>
          <w:color w:val="000000" w:themeColor="text1"/>
        </w:rPr>
        <w:t>pronósticas</w:t>
      </w:r>
      <w:proofErr w:type="spellEnd"/>
      <w:r w:rsidRPr="502784EB">
        <w:rPr>
          <w:rFonts w:ascii="Arial" w:eastAsia="Arial" w:hAnsi="Arial" w:cs="Arial"/>
          <w:color w:val="000000" w:themeColor="text1"/>
        </w:rPr>
        <w:t xml:space="preserve"> existen en cuidado paliativo para identificar al paciente con cáncer avanzado en el final de la vida.</w:t>
      </w:r>
    </w:p>
    <w:p w14:paraId="1B36267A" w14:textId="4AC36B2E" w:rsidR="5682DC4B" w:rsidRDefault="5682DC4B" w:rsidP="502784EB">
      <w:pPr>
        <w:pStyle w:val="Prrafodelista"/>
        <w:numPr>
          <w:ilvl w:val="0"/>
          <w:numId w:val="11"/>
        </w:numPr>
        <w:spacing w:before="240" w:after="240"/>
        <w:jc w:val="both"/>
        <w:rPr>
          <w:rFonts w:ascii="Arial" w:eastAsia="Arial" w:hAnsi="Arial" w:cs="Arial"/>
          <w:color w:val="000000" w:themeColor="text1"/>
        </w:rPr>
      </w:pPr>
      <w:r w:rsidRPr="502784EB">
        <w:rPr>
          <w:rFonts w:ascii="Arial" w:eastAsia="Arial" w:hAnsi="Arial" w:cs="Arial"/>
          <w:color w:val="000000" w:themeColor="text1"/>
        </w:rPr>
        <w:t xml:space="preserve">Identificar las recomendaciones sobre la identificación temprana del paciente en final de vida y la aplicación de escalas </w:t>
      </w:r>
      <w:proofErr w:type="spellStart"/>
      <w:r w:rsidRPr="502784EB">
        <w:rPr>
          <w:rFonts w:ascii="Arial" w:eastAsia="Arial" w:hAnsi="Arial" w:cs="Arial"/>
          <w:color w:val="000000" w:themeColor="text1"/>
        </w:rPr>
        <w:t>pronósticas</w:t>
      </w:r>
      <w:proofErr w:type="spellEnd"/>
      <w:r w:rsidRPr="502784EB">
        <w:rPr>
          <w:rFonts w:ascii="Arial" w:eastAsia="Arial" w:hAnsi="Arial" w:cs="Arial"/>
          <w:color w:val="000000" w:themeColor="text1"/>
        </w:rPr>
        <w:t xml:space="preserve"> de manera oportuna.</w:t>
      </w:r>
    </w:p>
    <w:p w14:paraId="00FBB358" w14:textId="08982F9A" w:rsidR="5682DC4B" w:rsidRDefault="5682DC4B" w:rsidP="502784EB">
      <w:pPr>
        <w:pStyle w:val="Prrafodelista"/>
        <w:numPr>
          <w:ilvl w:val="0"/>
          <w:numId w:val="11"/>
        </w:numPr>
        <w:spacing w:before="240" w:after="240"/>
        <w:jc w:val="both"/>
        <w:rPr>
          <w:rFonts w:ascii="Arial" w:eastAsia="Arial" w:hAnsi="Arial" w:cs="Arial"/>
          <w:color w:val="000000" w:themeColor="text1"/>
        </w:rPr>
      </w:pPr>
      <w:r w:rsidRPr="502784EB">
        <w:rPr>
          <w:rFonts w:ascii="Arial" w:eastAsia="Arial" w:hAnsi="Arial" w:cs="Arial"/>
          <w:color w:val="000000" w:themeColor="text1"/>
        </w:rPr>
        <w:t>Evaluar la calidad metodológica de las guías de práctica clínica sobre la identificación del paciente en final de vida.</w:t>
      </w:r>
    </w:p>
    <w:p w14:paraId="36022DC1" w14:textId="556F6C41" w:rsidR="00E92A68" w:rsidRDefault="2E497E58" w:rsidP="6968984F">
      <w:pPr>
        <w:spacing w:after="0"/>
        <w:ind w:left="22"/>
        <w:jc w:val="both"/>
        <w:rPr>
          <w:rFonts w:ascii="Arial" w:eastAsia="Arial" w:hAnsi="Arial" w:cs="Arial"/>
          <w:b/>
          <w:bCs/>
          <w:color w:val="000000" w:themeColor="text1"/>
        </w:rPr>
      </w:pPr>
      <w:r w:rsidRPr="6968984F">
        <w:rPr>
          <w:rFonts w:ascii="Arial" w:eastAsia="Arial" w:hAnsi="Arial" w:cs="Arial"/>
          <w:b/>
          <w:bCs/>
          <w:color w:val="000000" w:themeColor="text1"/>
        </w:rPr>
        <w:t>METODOLOGÍA</w:t>
      </w:r>
    </w:p>
    <w:p w14:paraId="2D5205A6" w14:textId="1E9B18CE" w:rsidR="00E92A68" w:rsidRDefault="00E92A68" w:rsidP="6968984F">
      <w:pPr>
        <w:jc w:val="both"/>
        <w:rPr>
          <w:rFonts w:ascii="Arial" w:eastAsia="Arial" w:hAnsi="Arial" w:cs="Arial"/>
        </w:rPr>
      </w:pPr>
    </w:p>
    <w:p w14:paraId="317CD0D1" w14:textId="05F5D51C" w:rsidR="00E92A68" w:rsidRDefault="6AA4606F" w:rsidP="6968984F">
      <w:pPr>
        <w:spacing w:after="0"/>
        <w:ind w:left="22"/>
        <w:jc w:val="both"/>
      </w:pPr>
      <w:r w:rsidRPr="502784EB">
        <w:rPr>
          <w:rFonts w:ascii="Arial" w:eastAsia="Arial" w:hAnsi="Arial" w:cs="Arial"/>
          <w:color w:val="000000" w:themeColor="text1"/>
        </w:rPr>
        <w:t xml:space="preserve">Se realizó una revisión sistemática de la literatura </w:t>
      </w:r>
      <w:r w:rsidR="1642058F" w:rsidRPr="502784EB">
        <w:rPr>
          <w:rFonts w:ascii="Arial" w:eastAsia="Arial" w:hAnsi="Arial" w:cs="Arial"/>
          <w:color w:val="000000" w:themeColor="text1"/>
        </w:rPr>
        <w:t xml:space="preserve">de guías de práctica clínica </w:t>
      </w:r>
      <w:r w:rsidRPr="502784EB">
        <w:rPr>
          <w:rFonts w:ascii="Arial" w:eastAsia="Arial" w:hAnsi="Arial" w:cs="Arial"/>
          <w:color w:val="000000" w:themeColor="text1"/>
        </w:rPr>
        <w:t xml:space="preserve">que empleó estándares mínimos descritos en los </w:t>
      </w:r>
      <w:proofErr w:type="spellStart"/>
      <w:r w:rsidRPr="502784EB">
        <w:rPr>
          <w:rFonts w:ascii="Arial" w:eastAsia="Arial" w:hAnsi="Arial" w:cs="Arial"/>
          <w:i/>
          <w:iCs/>
          <w:color w:val="000000" w:themeColor="text1"/>
        </w:rPr>
        <w:t>Preferred</w:t>
      </w:r>
      <w:proofErr w:type="spellEnd"/>
      <w:r w:rsidRPr="502784EB">
        <w:rPr>
          <w:rFonts w:ascii="Arial" w:eastAsia="Arial" w:hAnsi="Arial" w:cs="Arial"/>
          <w:i/>
          <w:iCs/>
          <w:color w:val="000000" w:themeColor="text1"/>
        </w:rPr>
        <w:t xml:space="preserve"> </w:t>
      </w:r>
      <w:proofErr w:type="spellStart"/>
      <w:r w:rsidRPr="502784EB">
        <w:rPr>
          <w:rFonts w:ascii="Arial" w:eastAsia="Arial" w:hAnsi="Arial" w:cs="Arial"/>
          <w:i/>
          <w:iCs/>
          <w:color w:val="000000" w:themeColor="text1"/>
        </w:rPr>
        <w:t>Reporting</w:t>
      </w:r>
      <w:proofErr w:type="spellEnd"/>
      <w:r w:rsidRPr="502784EB">
        <w:rPr>
          <w:rFonts w:ascii="Arial" w:eastAsia="Arial" w:hAnsi="Arial" w:cs="Arial"/>
          <w:i/>
          <w:iCs/>
          <w:color w:val="000000" w:themeColor="text1"/>
        </w:rPr>
        <w:t xml:space="preserve"> </w:t>
      </w:r>
      <w:proofErr w:type="spellStart"/>
      <w:r w:rsidRPr="502784EB">
        <w:rPr>
          <w:rFonts w:ascii="Arial" w:eastAsia="Arial" w:hAnsi="Arial" w:cs="Arial"/>
          <w:i/>
          <w:iCs/>
          <w:color w:val="000000" w:themeColor="text1"/>
        </w:rPr>
        <w:t>Items</w:t>
      </w:r>
      <w:proofErr w:type="spellEnd"/>
      <w:r w:rsidRPr="502784EB">
        <w:rPr>
          <w:rFonts w:ascii="Arial" w:eastAsia="Arial" w:hAnsi="Arial" w:cs="Arial"/>
          <w:i/>
          <w:iCs/>
          <w:color w:val="000000" w:themeColor="text1"/>
        </w:rPr>
        <w:t xml:space="preserve"> </w:t>
      </w:r>
      <w:proofErr w:type="spellStart"/>
      <w:r w:rsidRPr="502784EB">
        <w:rPr>
          <w:rFonts w:ascii="Arial" w:eastAsia="Arial" w:hAnsi="Arial" w:cs="Arial"/>
          <w:i/>
          <w:iCs/>
          <w:color w:val="000000" w:themeColor="text1"/>
        </w:rPr>
        <w:t>for</w:t>
      </w:r>
      <w:proofErr w:type="spellEnd"/>
      <w:r w:rsidRPr="502784EB">
        <w:rPr>
          <w:rFonts w:ascii="Arial" w:eastAsia="Arial" w:hAnsi="Arial" w:cs="Arial"/>
          <w:i/>
          <w:iCs/>
          <w:color w:val="000000" w:themeColor="text1"/>
        </w:rPr>
        <w:t xml:space="preserve"> </w:t>
      </w:r>
      <w:proofErr w:type="spellStart"/>
      <w:r w:rsidRPr="502784EB">
        <w:rPr>
          <w:rFonts w:ascii="Arial" w:eastAsia="Arial" w:hAnsi="Arial" w:cs="Arial"/>
          <w:i/>
          <w:iCs/>
          <w:color w:val="000000" w:themeColor="text1"/>
        </w:rPr>
        <w:t>Systematic</w:t>
      </w:r>
      <w:proofErr w:type="spellEnd"/>
      <w:r w:rsidRPr="502784EB">
        <w:rPr>
          <w:rFonts w:ascii="Arial" w:eastAsia="Arial" w:hAnsi="Arial" w:cs="Arial"/>
          <w:i/>
          <w:iCs/>
          <w:color w:val="000000" w:themeColor="text1"/>
        </w:rPr>
        <w:t xml:space="preserve"> </w:t>
      </w:r>
      <w:proofErr w:type="spellStart"/>
      <w:r w:rsidRPr="502784EB">
        <w:rPr>
          <w:rFonts w:ascii="Arial" w:eastAsia="Arial" w:hAnsi="Arial" w:cs="Arial"/>
          <w:i/>
          <w:iCs/>
          <w:color w:val="000000" w:themeColor="text1"/>
        </w:rPr>
        <w:t>Reviews</w:t>
      </w:r>
      <w:proofErr w:type="spellEnd"/>
      <w:r w:rsidRPr="502784EB">
        <w:rPr>
          <w:rFonts w:ascii="Arial" w:eastAsia="Arial" w:hAnsi="Arial" w:cs="Arial"/>
          <w:i/>
          <w:iCs/>
          <w:color w:val="000000" w:themeColor="text1"/>
        </w:rPr>
        <w:t xml:space="preserve"> and Meta-</w:t>
      </w:r>
      <w:proofErr w:type="spellStart"/>
      <w:r w:rsidRPr="502784EB">
        <w:rPr>
          <w:rFonts w:ascii="Arial" w:eastAsia="Arial" w:hAnsi="Arial" w:cs="Arial"/>
          <w:i/>
          <w:iCs/>
          <w:color w:val="000000" w:themeColor="text1"/>
        </w:rPr>
        <w:t>Analysis</w:t>
      </w:r>
      <w:proofErr w:type="spellEnd"/>
      <w:r w:rsidRPr="502784EB">
        <w:rPr>
          <w:rFonts w:ascii="Arial" w:eastAsia="Arial" w:hAnsi="Arial" w:cs="Arial"/>
          <w:color w:val="000000" w:themeColor="text1"/>
        </w:rPr>
        <w:t xml:space="preserve"> (PRISMA)</w:t>
      </w:r>
      <w:r w:rsidR="104CD307" w:rsidRPr="502784EB">
        <w:rPr>
          <w:rFonts w:ascii="Arial" w:eastAsia="Arial" w:hAnsi="Arial" w:cs="Arial"/>
          <w:color w:val="000000" w:themeColor="text1"/>
        </w:rPr>
        <w:t xml:space="preserve"> 2020</w:t>
      </w:r>
      <w:r w:rsidR="129804A4" w:rsidRPr="502784EB">
        <w:rPr>
          <w:rFonts w:ascii="Arial" w:eastAsia="Arial" w:hAnsi="Arial" w:cs="Arial"/>
          <w:color w:val="000000" w:themeColor="text1"/>
        </w:rPr>
        <w:t xml:space="preserve"> </w:t>
      </w:r>
      <w:sdt>
        <w:sdtPr>
          <w:tag w:val="MENDELEY_CITATION_v3_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"/>
          <w:id w:val="1154001880"/>
          <w:placeholder>
            <w:docPart w:val="DefaultPlaceholder_-1854013440"/>
          </w:placeholder>
        </w:sdtPr>
        <w:sdtEndPr/>
        <w:sdtContent>
          <w:r w:rsidR="502784EB" w:rsidRPr="502784EB">
            <w:rPr>
              <w:rFonts w:ascii="Arial" w:eastAsia="Arial" w:hAnsi="Arial" w:cs="Arial"/>
              <w:color w:val="000000" w:themeColor="text1"/>
            </w:rPr>
            <w:t>(Page et al., 2021)</w:t>
          </w:r>
        </w:sdtContent>
      </w:sdt>
      <w:r w:rsidR="104CD307">
        <w:t>. Así mismo se empleó la orientación de una guía metodológica para la realización</w:t>
      </w:r>
      <w:r w:rsidR="1B9C6519" w:rsidRPr="502784EB">
        <w:rPr>
          <w:rFonts w:ascii="Arial" w:eastAsia="Arial" w:hAnsi="Arial" w:cs="Arial"/>
          <w:color w:val="000000" w:themeColor="text1"/>
        </w:rPr>
        <w:t xml:space="preserve"> de revisiones sistemáticas de guías de práctica clínica</w:t>
      </w:r>
      <w:r w:rsidR="787CA34F" w:rsidRPr="502784EB">
        <w:rPr>
          <w:rFonts w:ascii="Arial" w:eastAsia="Arial" w:hAnsi="Arial" w:cs="Arial"/>
          <w:color w:val="000000" w:themeColor="text1"/>
        </w:rPr>
        <w:t xml:space="preserve"> </w:t>
      </w:r>
      <w:sdt>
        <w:sdtPr>
          <w:tag w:val="MENDELEY_CITATION_v3_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"/>
          <w:id w:val="1205988614"/>
          <w:placeholder>
            <w:docPart w:val="DefaultPlaceholder_-1854013440"/>
          </w:placeholder>
        </w:sdtPr>
        <w:sdtEndPr/>
        <w:sdtContent>
          <w:r w:rsidR="502784EB" w:rsidRPr="502784EB">
            <w:rPr>
              <w:rFonts w:ascii="Arial" w:eastAsia="Arial" w:hAnsi="Arial" w:cs="Arial"/>
              <w:color w:val="000000" w:themeColor="text1"/>
            </w:rPr>
            <w:t>(Johnston et al., 2019)</w:t>
          </w:r>
        </w:sdtContent>
      </w:sdt>
      <w:r w:rsidR="104CD307">
        <w:t xml:space="preserve"> </w:t>
      </w:r>
    </w:p>
    <w:p w14:paraId="6C6C45D1" w14:textId="57A4C7E6" w:rsidR="502784EB" w:rsidRDefault="502784EB" w:rsidP="502784EB">
      <w:pPr>
        <w:spacing w:after="0"/>
        <w:ind w:left="22"/>
        <w:jc w:val="both"/>
      </w:pPr>
    </w:p>
    <w:p w14:paraId="56A9FD98" w14:textId="7373FCF1" w:rsidR="531C9790" w:rsidRDefault="531C9790" w:rsidP="502784EB">
      <w:pPr>
        <w:spacing w:after="0"/>
        <w:ind w:left="22"/>
        <w:jc w:val="both"/>
        <w:rPr>
          <w:b/>
          <w:bCs/>
        </w:rPr>
      </w:pPr>
      <w:r w:rsidRPr="502784EB">
        <w:rPr>
          <w:b/>
          <w:bCs/>
        </w:rPr>
        <w:t>Pregunta de investigación</w:t>
      </w:r>
    </w:p>
    <w:p w14:paraId="6236E31A" w14:textId="0BC80723" w:rsidR="502784EB" w:rsidRDefault="502784EB" w:rsidP="502784EB">
      <w:pPr>
        <w:spacing w:after="0"/>
        <w:ind w:left="22"/>
        <w:jc w:val="both"/>
        <w:rPr>
          <w:b/>
          <w:bCs/>
        </w:rPr>
      </w:pPr>
    </w:p>
    <w:p w14:paraId="1B415B73" w14:textId="6532D110" w:rsidR="531C9790" w:rsidRDefault="531C9790" w:rsidP="502784EB">
      <w:pPr>
        <w:spacing w:after="0"/>
        <w:ind w:right="4"/>
        <w:jc w:val="both"/>
      </w:pPr>
      <w:r w:rsidRPr="502784EB">
        <w:rPr>
          <w:rFonts w:ascii="Arial" w:eastAsia="Arial" w:hAnsi="Arial" w:cs="Arial"/>
          <w:color w:val="000000" w:themeColor="text1"/>
        </w:rPr>
        <w:t xml:space="preserve">¿Cuáles son los signos y síntomas que se identifican en los pacientes mayores de 18 años con cáncer avanzado en el final de vida, así como cuáles son las escalas </w:t>
      </w:r>
      <w:proofErr w:type="spellStart"/>
      <w:r w:rsidRPr="502784EB">
        <w:rPr>
          <w:rFonts w:ascii="Arial" w:eastAsia="Arial" w:hAnsi="Arial" w:cs="Arial"/>
          <w:color w:val="000000" w:themeColor="text1"/>
        </w:rPr>
        <w:t>pronósticas</w:t>
      </w:r>
      <w:proofErr w:type="spellEnd"/>
      <w:r w:rsidRPr="502784EB">
        <w:rPr>
          <w:rFonts w:ascii="Arial" w:eastAsia="Arial" w:hAnsi="Arial" w:cs="Arial"/>
          <w:color w:val="000000" w:themeColor="text1"/>
        </w:rPr>
        <w:t xml:space="preserve"> para identificarlo?</w:t>
      </w:r>
    </w:p>
    <w:p w14:paraId="74B734DF" w14:textId="5D337DA2" w:rsidR="502784EB" w:rsidRDefault="502784EB" w:rsidP="502784EB">
      <w:pPr>
        <w:jc w:val="both"/>
        <w:rPr>
          <w:rFonts w:ascii="Arial" w:eastAsia="Arial" w:hAnsi="Arial" w:cs="Arial"/>
          <w:b/>
          <w:bCs/>
          <w:color w:val="000000" w:themeColor="text1"/>
        </w:rPr>
      </w:pPr>
    </w:p>
    <w:p w14:paraId="718DB36E" w14:textId="58C69A98" w:rsidR="63CED152" w:rsidRDefault="63CED152" w:rsidP="502784EB">
      <w:pPr>
        <w:jc w:val="both"/>
        <w:rPr>
          <w:rFonts w:ascii="Arial" w:eastAsia="Arial" w:hAnsi="Arial" w:cs="Arial"/>
          <w:b/>
          <w:bCs/>
          <w:color w:val="000000" w:themeColor="text1"/>
        </w:rPr>
      </w:pPr>
      <w:r w:rsidRPr="502784EB">
        <w:rPr>
          <w:rFonts w:ascii="Arial" w:eastAsia="Arial" w:hAnsi="Arial" w:cs="Arial"/>
          <w:b/>
          <w:bCs/>
          <w:color w:val="000000" w:themeColor="text1"/>
        </w:rPr>
        <w:t>Criterios de inclusión y exclusión</w:t>
      </w:r>
    </w:p>
    <w:p w14:paraId="49599917" w14:textId="0FEC4227" w:rsidR="502784EB" w:rsidRDefault="502784EB" w:rsidP="502784EB">
      <w:pPr>
        <w:spacing w:after="0"/>
        <w:ind w:left="22"/>
        <w:jc w:val="both"/>
        <w:rPr>
          <w:rFonts w:ascii="Arial" w:eastAsia="Arial" w:hAnsi="Arial" w:cs="Arial"/>
          <w:color w:val="000000" w:themeColor="text1"/>
        </w:rPr>
      </w:pPr>
    </w:p>
    <w:p w14:paraId="414B865C" w14:textId="20B75626" w:rsidR="63CED152" w:rsidRDefault="63CED152" w:rsidP="502784EB">
      <w:pPr>
        <w:spacing w:after="0"/>
        <w:ind w:left="22"/>
        <w:jc w:val="both"/>
        <w:rPr>
          <w:rFonts w:ascii="Arial" w:eastAsia="Arial" w:hAnsi="Arial" w:cs="Arial"/>
          <w:color w:val="000000" w:themeColor="text1"/>
        </w:rPr>
      </w:pPr>
      <w:r w:rsidRPr="502784EB">
        <w:rPr>
          <w:rFonts w:ascii="Arial" w:eastAsia="Arial" w:hAnsi="Arial" w:cs="Arial"/>
          <w:color w:val="000000" w:themeColor="text1"/>
        </w:rPr>
        <w:t>En la presente revisión se incluyeron guías de práctica clínica. Se incluyeron guías que trataran acerca de pacientes mayores de 18 años, con cáncer avanzado, en condición de fin de vida. Se excluye</w:t>
      </w:r>
      <w:r w:rsidR="0CC8C9CB" w:rsidRPr="502784EB">
        <w:rPr>
          <w:rFonts w:ascii="Arial" w:eastAsia="Arial" w:hAnsi="Arial" w:cs="Arial"/>
          <w:color w:val="000000" w:themeColor="text1"/>
        </w:rPr>
        <w:t xml:space="preserve">ron guías que no mencionaran el uso de escalas </w:t>
      </w:r>
      <w:proofErr w:type="spellStart"/>
      <w:r w:rsidR="0CC8C9CB" w:rsidRPr="502784EB">
        <w:rPr>
          <w:rFonts w:ascii="Arial" w:eastAsia="Arial" w:hAnsi="Arial" w:cs="Arial"/>
          <w:color w:val="000000" w:themeColor="text1"/>
        </w:rPr>
        <w:t>pronósticas</w:t>
      </w:r>
      <w:proofErr w:type="spellEnd"/>
      <w:r w:rsidR="0CC8C9CB" w:rsidRPr="502784EB">
        <w:rPr>
          <w:rFonts w:ascii="Arial" w:eastAsia="Arial" w:hAnsi="Arial" w:cs="Arial"/>
          <w:color w:val="000000" w:themeColor="text1"/>
        </w:rPr>
        <w:t xml:space="preserve"> y que no evaluaran signos clínicos de fin de vida.</w:t>
      </w:r>
      <w:r w:rsidR="36271B27" w:rsidRPr="502784EB">
        <w:rPr>
          <w:rFonts w:ascii="Arial" w:eastAsia="Arial" w:hAnsi="Arial" w:cs="Arial"/>
          <w:color w:val="000000" w:themeColor="text1"/>
        </w:rPr>
        <w:t xml:space="preserve"> No hubo restricciones respecto al idioma de las guías de práctica clínica.</w:t>
      </w:r>
    </w:p>
    <w:p w14:paraId="5B9ABA0B" w14:textId="2315CEE8" w:rsidR="00E92A68" w:rsidRDefault="00E92A68" w:rsidP="6968984F">
      <w:pPr>
        <w:jc w:val="both"/>
        <w:rPr>
          <w:rFonts w:ascii="Arial" w:eastAsia="Arial" w:hAnsi="Arial" w:cs="Arial"/>
        </w:rPr>
      </w:pPr>
    </w:p>
    <w:p w14:paraId="581675E5" w14:textId="1C45818B" w:rsidR="00E92A68" w:rsidRDefault="2E497E58" w:rsidP="6968984F">
      <w:pPr>
        <w:spacing w:after="0"/>
        <w:ind w:left="22"/>
        <w:jc w:val="both"/>
        <w:rPr>
          <w:rFonts w:ascii="Arial" w:eastAsia="Arial" w:hAnsi="Arial" w:cs="Arial"/>
          <w:b/>
          <w:bCs/>
          <w:color w:val="000000" w:themeColor="text1"/>
        </w:rPr>
      </w:pPr>
      <w:r w:rsidRPr="6968984F">
        <w:rPr>
          <w:rFonts w:ascii="Arial" w:eastAsia="Arial" w:hAnsi="Arial" w:cs="Arial"/>
          <w:b/>
          <w:bCs/>
          <w:color w:val="000000" w:themeColor="text1"/>
        </w:rPr>
        <w:lastRenderedPageBreak/>
        <w:t>Estrategia de búsqueda</w:t>
      </w:r>
    </w:p>
    <w:p w14:paraId="18B74AE9" w14:textId="03FB990F" w:rsidR="00E92A68" w:rsidRDefault="00E92A68" w:rsidP="6968984F">
      <w:pPr>
        <w:jc w:val="both"/>
        <w:rPr>
          <w:rFonts w:ascii="Arial" w:eastAsia="Arial" w:hAnsi="Arial" w:cs="Arial"/>
        </w:rPr>
      </w:pPr>
    </w:p>
    <w:p w14:paraId="7008BFF0" w14:textId="56A784F2" w:rsidR="00E92A68" w:rsidRDefault="6AA4606F" w:rsidP="502784EB">
      <w:pPr>
        <w:spacing w:after="0"/>
        <w:ind w:left="22"/>
        <w:jc w:val="both"/>
        <w:rPr>
          <w:rFonts w:ascii="Arial" w:eastAsia="Arial" w:hAnsi="Arial" w:cs="Arial"/>
          <w:color w:val="000000" w:themeColor="text1"/>
        </w:rPr>
      </w:pPr>
      <w:r w:rsidRPr="502784EB">
        <w:rPr>
          <w:rFonts w:ascii="Arial" w:eastAsia="Arial" w:hAnsi="Arial" w:cs="Arial"/>
          <w:color w:val="000000" w:themeColor="text1"/>
        </w:rPr>
        <w:t xml:space="preserve">Se realizó una búsqueda de la literatura en las bases de datos </w:t>
      </w:r>
      <w:proofErr w:type="spellStart"/>
      <w:r w:rsidRPr="502784EB">
        <w:rPr>
          <w:rFonts w:ascii="Arial" w:eastAsia="Arial" w:hAnsi="Arial" w:cs="Arial"/>
          <w:color w:val="000000" w:themeColor="text1"/>
        </w:rPr>
        <w:t>PubMed</w:t>
      </w:r>
      <w:proofErr w:type="spellEnd"/>
      <w:r w:rsidRPr="502784EB">
        <w:rPr>
          <w:rFonts w:ascii="Arial" w:eastAsia="Arial" w:hAnsi="Arial" w:cs="Arial"/>
          <w:color w:val="000000" w:themeColor="text1"/>
        </w:rPr>
        <w:t xml:space="preserve">, Web of </w:t>
      </w:r>
      <w:proofErr w:type="spellStart"/>
      <w:r w:rsidRPr="502784EB">
        <w:rPr>
          <w:rFonts w:ascii="Arial" w:eastAsia="Arial" w:hAnsi="Arial" w:cs="Arial"/>
          <w:color w:val="000000" w:themeColor="text1"/>
        </w:rPr>
        <w:t>Science</w:t>
      </w:r>
      <w:proofErr w:type="spellEnd"/>
      <w:r w:rsidRPr="502784EB">
        <w:rPr>
          <w:rFonts w:ascii="Arial" w:eastAsia="Arial" w:hAnsi="Arial" w:cs="Arial"/>
          <w:color w:val="000000" w:themeColor="text1"/>
        </w:rPr>
        <w:t>,</w:t>
      </w:r>
      <w:r w:rsidR="630ED3C4" w:rsidRPr="502784EB">
        <w:rPr>
          <w:rFonts w:ascii="Arial" w:eastAsia="Arial" w:hAnsi="Arial" w:cs="Arial"/>
          <w:color w:val="000000" w:themeColor="text1"/>
        </w:rPr>
        <w:t xml:space="preserve"> EMBASE,</w:t>
      </w:r>
      <w:r w:rsidRPr="502784EB">
        <w:rPr>
          <w:rFonts w:ascii="Arial" w:eastAsia="Arial" w:hAnsi="Arial" w:cs="Arial"/>
          <w:color w:val="000000" w:themeColor="text1"/>
        </w:rPr>
        <w:t xml:space="preserve"> </w:t>
      </w:r>
      <w:r w:rsidR="701EC4FB" w:rsidRPr="502784EB">
        <w:rPr>
          <w:rFonts w:ascii="Arial" w:eastAsia="Arial" w:hAnsi="Arial" w:cs="Arial"/>
          <w:color w:val="000000" w:themeColor="text1"/>
        </w:rPr>
        <w:t xml:space="preserve">repositorios de guías de práctica clínica como </w:t>
      </w:r>
      <w:proofErr w:type="spellStart"/>
      <w:r w:rsidRPr="502784EB">
        <w:rPr>
          <w:rFonts w:ascii="Arial" w:eastAsia="Arial" w:hAnsi="Arial" w:cs="Arial"/>
          <w:color w:val="000000" w:themeColor="text1"/>
        </w:rPr>
        <w:t>Guidelines</w:t>
      </w:r>
      <w:proofErr w:type="spellEnd"/>
      <w:r w:rsidRPr="502784EB">
        <w:rPr>
          <w:rFonts w:ascii="Arial" w:eastAsia="Arial" w:hAnsi="Arial" w:cs="Arial"/>
          <w:color w:val="000000" w:themeColor="text1"/>
        </w:rPr>
        <w:t xml:space="preserve"> International Network (GIN), </w:t>
      </w:r>
      <w:proofErr w:type="spellStart"/>
      <w:r w:rsidRPr="502784EB">
        <w:rPr>
          <w:rFonts w:ascii="Arial" w:eastAsia="Arial" w:hAnsi="Arial" w:cs="Arial"/>
          <w:color w:val="000000" w:themeColor="text1"/>
        </w:rPr>
        <w:t>National</w:t>
      </w:r>
      <w:proofErr w:type="spellEnd"/>
      <w:r w:rsidRPr="502784EB">
        <w:rPr>
          <w:rFonts w:ascii="Arial" w:eastAsia="Arial" w:hAnsi="Arial" w:cs="Arial"/>
          <w:color w:val="000000" w:themeColor="text1"/>
        </w:rPr>
        <w:t xml:space="preserve"> </w:t>
      </w:r>
      <w:proofErr w:type="spellStart"/>
      <w:r w:rsidRPr="502784EB">
        <w:rPr>
          <w:rFonts w:ascii="Arial" w:eastAsia="Arial" w:hAnsi="Arial" w:cs="Arial"/>
          <w:color w:val="000000" w:themeColor="text1"/>
        </w:rPr>
        <w:t>Institute</w:t>
      </w:r>
      <w:proofErr w:type="spellEnd"/>
      <w:r w:rsidRPr="502784EB">
        <w:rPr>
          <w:rFonts w:ascii="Arial" w:eastAsia="Arial" w:hAnsi="Arial" w:cs="Arial"/>
          <w:color w:val="000000" w:themeColor="text1"/>
        </w:rPr>
        <w:t xml:space="preserve"> </w:t>
      </w:r>
      <w:proofErr w:type="spellStart"/>
      <w:r w:rsidRPr="502784EB">
        <w:rPr>
          <w:rFonts w:ascii="Arial" w:eastAsia="Arial" w:hAnsi="Arial" w:cs="Arial"/>
          <w:color w:val="000000" w:themeColor="text1"/>
        </w:rPr>
        <w:t>for</w:t>
      </w:r>
      <w:proofErr w:type="spellEnd"/>
      <w:r w:rsidRPr="502784EB">
        <w:rPr>
          <w:rFonts w:ascii="Arial" w:eastAsia="Arial" w:hAnsi="Arial" w:cs="Arial"/>
          <w:color w:val="000000" w:themeColor="text1"/>
        </w:rPr>
        <w:t xml:space="preserve"> </w:t>
      </w:r>
      <w:proofErr w:type="spellStart"/>
      <w:r w:rsidRPr="502784EB">
        <w:rPr>
          <w:rFonts w:ascii="Arial" w:eastAsia="Arial" w:hAnsi="Arial" w:cs="Arial"/>
          <w:color w:val="000000" w:themeColor="text1"/>
        </w:rPr>
        <w:t>Health</w:t>
      </w:r>
      <w:proofErr w:type="spellEnd"/>
      <w:r w:rsidRPr="502784EB">
        <w:rPr>
          <w:rFonts w:ascii="Arial" w:eastAsia="Arial" w:hAnsi="Arial" w:cs="Arial"/>
          <w:color w:val="000000" w:themeColor="text1"/>
        </w:rPr>
        <w:t xml:space="preserve"> and </w:t>
      </w:r>
      <w:proofErr w:type="spellStart"/>
      <w:r w:rsidRPr="502784EB">
        <w:rPr>
          <w:rFonts w:ascii="Arial" w:eastAsia="Arial" w:hAnsi="Arial" w:cs="Arial"/>
          <w:color w:val="000000" w:themeColor="text1"/>
        </w:rPr>
        <w:t>Clinical</w:t>
      </w:r>
      <w:proofErr w:type="spellEnd"/>
      <w:r w:rsidRPr="502784EB">
        <w:rPr>
          <w:rFonts w:ascii="Arial" w:eastAsia="Arial" w:hAnsi="Arial" w:cs="Arial"/>
          <w:color w:val="000000" w:themeColor="text1"/>
        </w:rPr>
        <w:t xml:space="preserve"> </w:t>
      </w:r>
      <w:proofErr w:type="spellStart"/>
      <w:r w:rsidRPr="502784EB">
        <w:rPr>
          <w:rFonts w:ascii="Arial" w:eastAsia="Arial" w:hAnsi="Arial" w:cs="Arial"/>
          <w:color w:val="000000" w:themeColor="text1"/>
        </w:rPr>
        <w:t>Excellence</w:t>
      </w:r>
      <w:proofErr w:type="spellEnd"/>
      <w:r w:rsidRPr="502784EB">
        <w:rPr>
          <w:rFonts w:ascii="Arial" w:eastAsia="Arial" w:hAnsi="Arial" w:cs="Arial"/>
          <w:color w:val="000000" w:themeColor="text1"/>
        </w:rPr>
        <w:t xml:space="preserve"> (NICE),</w:t>
      </w:r>
      <w:r w:rsidR="434A672B" w:rsidRPr="502784EB">
        <w:rPr>
          <w:rFonts w:ascii="Arial" w:eastAsia="Arial" w:hAnsi="Arial" w:cs="Arial"/>
          <w:color w:val="000000" w:themeColor="text1"/>
        </w:rPr>
        <w:t xml:space="preserve"> </w:t>
      </w:r>
      <w:r w:rsidRPr="502784EB">
        <w:rPr>
          <w:rFonts w:ascii="Arial" w:eastAsia="Arial" w:hAnsi="Arial" w:cs="Arial"/>
          <w:color w:val="000000" w:themeColor="text1"/>
        </w:rPr>
        <w:t xml:space="preserve">International </w:t>
      </w:r>
      <w:proofErr w:type="spellStart"/>
      <w:r w:rsidRPr="502784EB">
        <w:rPr>
          <w:rFonts w:ascii="Arial" w:eastAsia="Arial" w:hAnsi="Arial" w:cs="Arial"/>
          <w:color w:val="000000" w:themeColor="text1"/>
        </w:rPr>
        <w:t>database</w:t>
      </w:r>
      <w:proofErr w:type="spellEnd"/>
      <w:r w:rsidRPr="502784EB">
        <w:rPr>
          <w:rFonts w:ascii="Arial" w:eastAsia="Arial" w:hAnsi="Arial" w:cs="Arial"/>
          <w:color w:val="000000" w:themeColor="text1"/>
        </w:rPr>
        <w:t xml:space="preserve"> of </w:t>
      </w:r>
      <w:proofErr w:type="spellStart"/>
      <w:r w:rsidRPr="502784EB">
        <w:rPr>
          <w:rFonts w:ascii="Arial" w:eastAsia="Arial" w:hAnsi="Arial" w:cs="Arial"/>
          <w:color w:val="000000" w:themeColor="text1"/>
        </w:rPr>
        <w:t>guidelines</w:t>
      </w:r>
      <w:proofErr w:type="spellEnd"/>
      <w:r w:rsidRPr="502784EB">
        <w:rPr>
          <w:rFonts w:ascii="Arial" w:eastAsia="Arial" w:hAnsi="Arial" w:cs="Arial"/>
          <w:color w:val="000000" w:themeColor="text1"/>
        </w:rPr>
        <w:t xml:space="preserve"> (BIGG), </w:t>
      </w:r>
      <w:proofErr w:type="spellStart"/>
      <w:r w:rsidRPr="502784EB">
        <w:rPr>
          <w:rFonts w:ascii="Arial" w:eastAsia="Arial" w:hAnsi="Arial" w:cs="Arial"/>
          <w:color w:val="000000" w:themeColor="text1"/>
        </w:rPr>
        <w:t>Epistemonikos</w:t>
      </w:r>
      <w:proofErr w:type="spellEnd"/>
      <w:r w:rsidRPr="502784EB">
        <w:rPr>
          <w:rFonts w:ascii="Arial" w:eastAsia="Arial" w:hAnsi="Arial" w:cs="Arial"/>
          <w:color w:val="000000" w:themeColor="text1"/>
        </w:rPr>
        <w:t>,</w:t>
      </w:r>
      <w:r w:rsidR="18B77B98" w:rsidRPr="502784EB">
        <w:rPr>
          <w:rFonts w:ascii="Arial" w:eastAsia="Arial" w:hAnsi="Arial" w:cs="Arial"/>
          <w:color w:val="000000" w:themeColor="text1"/>
        </w:rPr>
        <w:t xml:space="preserve"> y en sociedades científicas de cáncer como</w:t>
      </w:r>
      <w:r w:rsidRPr="502784EB">
        <w:rPr>
          <w:rFonts w:ascii="Arial" w:eastAsia="Arial" w:hAnsi="Arial" w:cs="Arial"/>
          <w:color w:val="000000" w:themeColor="text1"/>
        </w:rPr>
        <w:t xml:space="preserve"> </w:t>
      </w:r>
      <w:r w:rsidR="57BCB59A" w:rsidRPr="502784EB">
        <w:rPr>
          <w:rFonts w:ascii="Arial" w:eastAsia="Arial" w:hAnsi="Arial" w:cs="Arial"/>
          <w:color w:val="000000" w:themeColor="text1"/>
        </w:rPr>
        <w:t xml:space="preserve"> </w:t>
      </w:r>
      <w:proofErr w:type="spellStart"/>
      <w:r w:rsidR="57BCB59A" w:rsidRPr="502784EB">
        <w:rPr>
          <w:rFonts w:ascii="Arial" w:eastAsia="Arial" w:hAnsi="Arial" w:cs="Arial"/>
          <w:color w:val="000000" w:themeColor="text1"/>
        </w:rPr>
        <w:t>National</w:t>
      </w:r>
      <w:proofErr w:type="spellEnd"/>
      <w:r w:rsidR="57BCB59A" w:rsidRPr="502784EB">
        <w:rPr>
          <w:rFonts w:ascii="Arial" w:eastAsia="Arial" w:hAnsi="Arial" w:cs="Arial"/>
          <w:color w:val="000000" w:themeColor="text1"/>
        </w:rPr>
        <w:t xml:space="preserve"> </w:t>
      </w:r>
      <w:proofErr w:type="spellStart"/>
      <w:r w:rsidR="57BCB59A" w:rsidRPr="502784EB">
        <w:rPr>
          <w:rFonts w:ascii="Arial" w:eastAsia="Arial" w:hAnsi="Arial" w:cs="Arial"/>
          <w:color w:val="000000" w:themeColor="text1"/>
        </w:rPr>
        <w:t>Comprehensive</w:t>
      </w:r>
      <w:proofErr w:type="spellEnd"/>
      <w:r w:rsidR="57BCB59A" w:rsidRPr="502784EB">
        <w:rPr>
          <w:rFonts w:ascii="Arial" w:eastAsia="Arial" w:hAnsi="Arial" w:cs="Arial"/>
          <w:color w:val="000000" w:themeColor="text1"/>
        </w:rPr>
        <w:t xml:space="preserve"> </w:t>
      </w:r>
      <w:proofErr w:type="spellStart"/>
      <w:r w:rsidR="57BCB59A" w:rsidRPr="502784EB">
        <w:rPr>
          <w:rFonts w:ascii="Arial" w:eastAsia="Arial" w:hAnsi="Arial" w:cs="Arial"/>
          <w:color w:val="000000" w:themeColor="text1"/>
        </w:rPr>
        <w:t>Cancer</w:t>
      </w:r>
      <w:proofErr w:type="spellEnd"/>
      <w:r w:rsidR="57BCB59A" w:rsidRPr="502784EB">
        <w:rPr>
          <w:rFonts w:ascii="Arial" w:eastAsia="Arial" w:hAnsi="Arial" w:cs="Arial"/>
          <w:color w:val="000000" w:themeColor="text1"/>
        </w:rPr>
        <w:t xml:space="preserve"> Network (NCCN),</w:t>
      </w:r>
      <w:r w:rsidRPr="502784EB">
        <w:rPr>
          <w:rFonts w:ascii="Arial" w:eastAsia="Arial" w:hAnsi="Arial" w:cs="Arial"/>
          <w:color w:val="000000" w:themeColor="text1"/>
        </w:rPr>
        <w:t xml:space="preserve"> ASCO, ESMO, desde el inicio de las bases de datos hasta</w:t>
      </w:r>
      <w:r w:rsidR="12EC27BC" w:rsidRPr="502784EB">
        <w:rPr>
          <w:rFonts w:ascii="Arial" w:eastAsia="Arial" w:hAnsi="Arial" w:cs="Arial"/>
          <w:color w:val="000000" w:themeColor="text1"/>
        </w:rPr>
        <w:t xml:space="preserve"> febrero de 2024 </w:t>
      </w:r>
      <w:r w:rsidRPr="502784EB">
        <w:rPr>
          <w:rFonts w:ascii="Arial" w:eastAsia="Arial" w:hAnsi="Arial" w:cs="Arial"/>
          <w:color w:val="000000" w:themeColor="text1"/>
        </w:rPr>
        <w:t>utilizando términos MESH y descriptores específicos para cada base de datos.</w:t>
      </w:r>
    </w:p>
    <w:p w14:paraId="712BC33D" w14:textId="5DDD2981" w:rsidR="00E92A68" w:rsidRDefault="00E92A68" w:rsidP="6968984F">
      <w:pPr>
        <w:jc w:val="both"/>
        <w:rPr>
          <w:rFonts w:ascii="Arial" w:eastAsia="Arial" w:hAnsi="Arial" w:cs="Arial"/>
        </w:rPr>
      </w:pPr>
    </w:p>
    <w:p w14:paraId="76384BC1" w14:textId="7F1B6911" w:rsidR="00E92A68" w:rsidRDefault="2E497E58" w:rsidP="6968984F">
      <w:pPr>
        <w:spacing w:after="0"/>
        <w:ind w:left="22"/>
        <w:jc w:val="both"/>
        <w:rPr>
          <w:rFonts w:ascii="Arial" w:eastAsia="Arial" w:hAnsi="Arial" w:cs="Arial"/>
          <w:color w:val="000000" w:themeColor="text1"/>
        </w:rPr>
      </w:pPr>
      <w:r w:rsidRPr="6968984F">
        <w:rPr>
          <w:rFonts w:ascii="Arial" w:eastAsia="Arial" w:hAnsi="Arial" w:cs="Arial"/>
          <w:color w:val="000000" w:themeColor="text1"/>
        </w:rPr>
        <w:t>La estrategia de búsqueda empleada basada en la pregunta de investigación fue:</w:t>
      </w:r>
    </w:p>
    <w:p w14:paraId="3F0B66E6" w14:textId="2A5395D5" w:rsidR="00E92A68" w:rsidRDefault="00E92A68" w:rsidP="6968984F">
      <w:pPr>
        <w:jc w:val="both"/>
        <w:rPr>
          <w:rFonts w:ascii="Arial" w:eastAsia="Arial" w:hAnsi="Arial" w:cs="Arial"/>
        </w:rPr>
      </w:pPr>
    </w:p>
    <w:p w14:paraId="20D2FCC4" w14:textId="183C4010" w:rsidR="00E92A68" w:rsidRPr="00FF435D" w:rsidRDefault="6AA4606F" w:rsidP="502784EB">
      <w:pPr>
        <w:spacing w:after="0"/>
        <w:jc w:val="both"/>
        <w:rPr>
          <w:rFonts w:ascii="Arial" w:eastAsia="Arial" w:hAnsi="Arial" w:cs="Arial"/>
          <w:color w:val="000000" w:themeColor="text1"/>
          <w:lang w:val="en-US"/>
        </w:rPr>
      </w:pPr>
      <w:r w:rsidRPr="502784EB">
        <w:rPr>
          <w:rFonts w:ascii="Arial" w:eastAsia="Arial" w:hAnsi="Arial" w:cs="Arial"/>
          <w:color w:val="000000" w:themeColor="text1"/>
        </w:rPr>
        <w:t xml:space="preserve"> </w:t>
      </w:r>
      <w:r w:rsidRPr="00FF435D">
        <w:rPr>
          <w:rFonts w:ascii="Arial" w:eastAsia="Arial" w:hAnsi="Arial" w:cs="Arial"/>
          <w:color w:val="000000" w:themeColor="text1"/>
          <w:lang w:val="en-US"/>
        </w:rPr>
        <w:t>((("Palliative Care"[</w:t>
      </w:r>
      <w:proofErr w:type="spellStart"/>
      <w:r w:rsidRPr="00FF435D">
        <w:rPr>
          <w:rFonts w:ascii="Arial" w:eastAsia="Arial" w:hAnsi="Arial" w:cs="Arial"/>
          <w:color w:val="000000" w:themeColor="text1"/>
          <w:lang w:val="en-US"/>
        </w:rPr>
        <w:t>MeSH</w:t>
      </w:r>
      <w:proofErr w:type="spellEnd"/>
      <w:r w:rsidRPr="00FF435D">
        <w:rPr>
          <w:rFonts w:ascii="Arial" w:eastAsia="Arial" w:hAnsi="Arial" w:cs="Arial"/>
          <w:color w:val="000000" w:themeColor="text1"/>
          <w:lang w:val="en-US"/>
        </w:rPr>
        <w:t xml:space="preserve"> Terms] OR "Palliative Medicine"[</w:t>
      </w:r>
      <w:proofErr w:type="spellStart"/>
      <w:r w:rsidRPr="00FF435D">
        <w:rPr>
          <w:rFonts w:ascii="Arial" w:eastAsia="Arial" w:hAnsi="Arial" w:cs="Arial"/>
          <w:color w:val="000000" w:themeColor="text1"/>
          <w:lang w:val="en-US"/>
        </w:rPr>
        <w:t>MeSH</w:t>
      </w:r>
      <w:proofErr w:type="spellEnd"/>
      <w:r w:rsidRPr="00FF435D">
        <w:rPr>
          <w:rFonts w:ascii="Arial" w:eastAsia="Arial" w:hAnsi="Arial" w:cs="Arial"/>
          <w:color w:val="000000" w:themeColor="text1"/>
          <w:lang w:val="en-US"/>
        </w:rPr>
        <w:t xml:space="preserve"> Terms] OR "Hospice Care"[</w:t>
      </w:r>
      <w:proofErr w:type="spellStart"/>
      <w:r w:rsidRPr="00FF435D">
        <w:rPr>
          <w:rFonts w:ascii="Arial" w:eastAsia="Arial" w:hAnsi="Arial" w:cs="Arial"/>
          <w:color w:val="000000" w:themeColor="text1"/>
          <w:lang w:val="en-US"/>
        </w:rPr>
        <w:t>MeSH</w:t>
      </w:r>
      <w:proofErr w:type="spellEnd"/>
      <w:r w:rsidRPr="00FF435D">
        <w:rPr>
          <w:rFonts w:ascii="Arial" w:eastAsia="Arial" w:hAnsi="Arial" w:cs="Arial"/>
          <w:color w:val="000000" w:themeColor="text1"/>
          <w:lang w:val="en-US"/>
        </w:rPr>
        <w:t xml:space="preserve"> Terms] OR "Terminal Care"[</w:t>
      </w:r>
      <w:proofErr w:type="spellStart"/>
      <w:r w:rsidRPr="00FF435D">
        <w:rPr>
          <w:rFonts w:ascii="Arial" w:eastAsia="Arial" w:hAnsi="Arial" w:cs="Arial"/>
          <w:color w:val="000000" w:themeColor="text1"/>
          <w:lang w:val="en-US"/>
        </w:rPr>
        <w:t>MeSH</w:t>
      </w:r>
      <w:proofErr w:type="spellEnd"/>
      <w:r w:rsidRPr="00FF435D">
        <w:rPr>
          <w:rFonts w:ascii="Arial" w:eastAsia="Arial" w:hAnsi="Arial" w:cs="Arial"/>
          <w:color w:val="000000" w:themeColor="text1"/>
          <w:lang w:val="en-US"/>
        </w:rPr>
        <w:t xml:space="preserve"> Terms] OR "Terminally Ill"[</w:t>
      </w:r>
      <w:proofErr w:type="spellStart"/>
      <w:r w:rsidRPr="00FF435D">
        <w:rPr>
          <w:rFonts w:ascii="Arial" w:eastAsia="Arial" w:hAnsi="Arial" w:cs="Arial"/>
          <w:color w:val="000000" w:themeColor="text1"/>
          <w:lang w:val="en-US"/>
        </w:rPr>
        <w:t>MeSH</w:t>
      </w:r>
      <w:proofErr w:type="spellEnd"/>
      <w:r w:rsidRPr="00FF435D">
        <w:rPr>
          <w:rFonts w:ascii="Arial" w:eastAsia="Arial" w:hAnsi="Arial" w:cs="Arial"/>
          <w:color w:val="000000" w:themeColor="text1"/>
          <w:lang w:val="en-US"/>
        </w:rPr>
        <w:t xml:space="preserve"> Terms] OR "Death"[</w:t>
      </w:r>
      <w:proofErr w:type="spellStart"/>
      <w:r w:rsidRPr="00FF435D">
        <w:rPr>
          <w:rFonts w:ascii="Arial" w:eastAsia="Arial" w:hAnsi="Arial" w:cs="Arial"/>
          <w:color w:val="000000" w:themeColor="text1"/>
          <w:lang w:val="en-US"/>
        </w:rPr>
        <w:t>MeSH</w:t>
      </w:r>
      <w:proofErr w:type="spellEnd"/>
      <w:r w:rsidRPr="00FF435D">
        <w:rPr>
          <w:rFonts w:ascii="Arial" w:eastAsia="Arial" w:hAnsi="Arial" w:cs="Arial"/>
          <w:color w:val="000000" w:themeColor="text1"/>
          <w:lang w:val="en-US"/>
        </w:rPr>
        <w:t xml:space="preserve"> Terms]) AND "Neoplasms"[</w:t>
      </w:r>
      <w:proofErr w:type="spellStart"/>
      <w:r w:rsidRPr="00FF435D">
        <w:rPr>
          <w:rFonts w:ascii="Arial" w:eastAsia="Arial" w:hAnsi="Arial" w:cs="Arial"/>
          <w:color w:val="000000" w:themeColor="text1"/>
          <w:lang w:val="en-US"/>
        </w:rPr>
        <w:t>MeSH</w:t>
      </w:r>
      <w:proofErr w:type="spellEnd"/>
      <w:r w:rsidRPr="00FF435D">
        <w:rPr>
          <w:rFonts w:ascii="Arial" w:eastAsia="Arial" w:hAnsi="Arial" w:cs="Arial"/>
          <w:color w:val="000000" w:themeColor="text1"/>
          <w:lang w:val="en-US"/>
        </w:rPr>
        <w:t xml:space="preserve"> Terms]) NOT ("Child"[</w:t>
      </w:r>
      <w:proofErr w:type="spellStart"/>
      <w:r w:rsidRPr="00FF435D">
        <w:rPr>
          <w:rFonts w:ascii="Arial" w:eastAsia="Arial" w:hAnsi="Arial" w:cs="Arial"/>
          <w:color w:val="000000" w:themeColor="text1"/>
          <w:lang w:val="en-US"/>
        </w:rPr>
        <w:t>MeSH</w:t>
      </w:r>
      <w:proofErr w:type="spellEnd"/>
      <w:r w:rsidRPr="00FF435D">
        <w:rPr>
          <w:rFonts w:ascii="Arial" w:eastAsia="Arial" w:hAnsi="Arial" w:cs="Arial"/>
          <w:color w:val="000000" w:themeColor="text1"/>
          <w:lang w:val="en-US"/>
        </w:rPr>
        <w:t xml:space="preserve"> Terms] OR "Pediatrics"[</w:t>
      </w:r>
      <w:proofErr w:type="spellStart"/>
      <w:r w:rsidRPr="00FF435D">
        <w:rPr>
          <w:rFonts w:ascii="Arial" w:eastAsia="Arial" w:hAnsi="Arial" w:cs="Arial"/>
          <w:color w:val="000000" w:themeColor="text1"/>
          <w:lang w:val="en-US"/>
        </w:rPr>
        <w:t>MeSH</w:t>
      </w:r>
      <w:proofErr w:type="spellEnd"/>
      <w:r w:rsidRPr="00FF435D">
        <w:rPr>
          <w:rFonts w:ascii="Arial" w:eastAsia="Arial" w:hAnsi="Arial" w:cs="Arial"/>
          <w:color w:val="000000" w:themeColor="text1"/>
          <w:lang w:val="en-US"/>
        </w:rPr>
        <w:t xml:space="preserve"> Terms])) AND (guideline*[title])</w:t>
      </w:r>
    </w:p>
    <w:p w14:paraId="1088C231" w14:textId="58AEC6C3" w:rsidR="00E92A68" w:rsidRPr="00FF435D" w:rsidRDefault="00E92A68" w:rsidP="502784EB">
      <w:pPr>
        <w:spacing w:after="0"/>
        <w:jc w:val="both"/>
        <w:rPr>
          <w:rFonts w:ascii="Arial" w:eastAsia="Arial" w:hAnsi="Arial" w:cs="Arial"/>
          <w:color w:val="000000" w:themeColor="text1"/>
          <w:lang w:val="en-US"/>
        </w:rPr>
      </w:pPr>
    </w:p>
    <w:p w14:paraId="2CC7ED87" w14:textId="426F14E4" w:rsidR="00E92A68" w:rsidRDefault="0603257F" w:rsidP="502784EB">
      <w:pPr>
        <w:spacing w:after="0"/>
        <w:jc w:val="both"/>
        <w:rPr>
          <w:rFonts w:ascii="Arial" w:eastAsia="Arial" w:hAnsi="Arial" w:cs="Arial"/>
          <w:color w:val="000000" w:themeColor="text1"/>
        </w:rPr>
      </w:pPr>
      <w:r w:rsidRPr="502784EB">
        <w:rPr>
          <w:rFonts w:ascii="Arial" w:eastAsia="Arial" w:hAnsi="Arial" w:cs="Arial"/>
          <w:color w:val="000000" w:themeColor="text1"/>
        </w:rPr>
        <w:t xml:space="preserve">Se realizó así mismo una búsqueda manual en Google </w:t>
      </w:r>
      <w:proofErr w:type="spellStart"/>
      <w:r w:rsidRPr="502784EB">
        <w:rPr>
          <w:rFonts w:ascii="Arial" w:eastAsia="Arial" w:hAnsi="Arial" w:cs="Arial"/>
          <w:color w:val="000000" w:themeColor="text1"/>
        </w:rPr>
        <w:t>Scholar</w:t>
      </w:r>
      <w:proofErr w:type="spellEnd"/>
      <w:r w:rsidRPr="502784EB">
        <w:rPr>
          <w:rFonts w:ascii="Arial" w:eastAsia="Arial" w:hAnsi="Arial" w:cs="Arial"/>
          <w:color w:val="000000" w:themeColor="text1"/>
        </w:rPr>
        <w:t xml:space="preserve"> y en las referencias de los artículos seleccionados para </w:t>
      </w:r>
      <w:r w:rsidR="5B248F51" w:rsidRPr="502784EB">
        <w:rPr>
          <w:rFonts w:ascii="Arial" w:eastAsia="Arial" w:hAnsi="Arial" w:cs="Arial"/>
          <w:color w:val="000000" w:themeColor="text1"/>
        </w:rPr>
        <w:t>recolectar</w:t>
      </w:r>
      <w:r w:rsidRPr="502784EB">
        <w:rPr>
          <w:rFonts w:ascii="Arial" w:eastAsia="Arial" w:hAnsi="Arial" w:cs="Arial"/>
          <w:color w:val="000000" w:themeColor="text1"/>
        </w:rPr>
        <w:t xml:space="preserve"> guías de práctica clínica que no se h</w:t>
      </w:r>
      <w:r w:rsidR="0B038AE0" w:rsidRPr="502784EB">
        <w:rPr>
          <w:rFonts w:ascii="Arial" w:eastAsia="Arial" w:hAnsi="Arial" w:cs="Arial"/>
          <w:color w:val="000000" w:themeColor="text1"/>
        </w:rPr>
        <w:t>ubiesen</w:t>
      </w:r>
      <w:r w:rsidRPr="502784EB">
        <w:rPr>
          <w:rFonts w:ascii="Arial" w:eastAsia="Arial" w:hAnsi="Arial" w:cs="Arial"/>
          <w:color w:val="000000" w:themeColor="text1"/>
        </w:rPr>
        <w:t xml:space="preserve"> identificado en la búsqueda inicial</w:t>
      </w:r>
    </w:p>
    <w:p w14:paraId="52DB3145" w14:textId="261510E0" w:rsidR="502784EB" w:rsidRDefault="502784EB" w:rsidP="502784EB">
      <w:pPr>
        <w:spacing w:after="0"/>
        <w:jc w:val="both"/>
        <w:rPr>
          <w:rFonts w:ascii="Arial" w:eastAsia="Arial" w:hAnsi="Arial" w:cs="Arial"/>
          <w:color w:val="000000" w:themeColor="text1"/>
        </w:rPr>
      </w:pPr>
    </w:p>
    <w:p w14:paraId="5ACE2C26" w14:textId="22C38529" w:rsidR="00E92A68" w:rsidRDefault="2E497E58" w:rsidP="6968984F">
      <w:pPr>
        <w:spacing w:after="0"/>
        <w:jc w:val="both"/>
        <w:rPr>
          <w:rFonts w:ascii="Arial" w:eastAsia="Arial" w:hAnsi="Arial" w:cs="Arial"/>
          <w:b/>
          <w:bCs/>
          <w:color w:val="000000" w:themeColor="text1"/>
        </w:rPr>
      </w:pPr>
      <w:r w:rsidRPr="6968984F">
        <w:rPr>
          <w:rFonts w:ascii="Arial" w:eastAsia="Arial" w:hAnsi="Arial" w:cs="Arial"/>
          <w:b/>
          <w:bCs/>
          <w:color w:val="000000" w:themeColor="text1"/>
        </w:rPr>
        <w:t>Proceso de selección</w:t>
      </w:r>
    </w:p>
    <w:p w14:paraId="2D2DC468" w14:textId="03131E1A" w:rsidR="00E92A68" w:rsidRDefault="00E92A68" w:rsidP="6968984F">
      <w:pPr>
        <w:jc w:val="both"/>
        <w:rPr>
          <w:rFonts w:ascii="Arial" w:eastAsia="Arial" w:hAnsi="Arial" w:cs="Arial"/>
        </w:rPr>
      </w:pPr>
    </w:p>
    <w:p w14:paraId="6610C63F" w14:textId="79AC23E8" w:rsidR="00E92A68" w:rsidRDefault="6AA4606F" w:rsidP="502784EB">
      <w:pPr>
        <w:spacing w:after="0"/>
        <w:jc w:val="both"/>
        <w:rPr>
          <w:rFonts w:ascii="Arial" w:eastAsia="Arial" w:hAnsi="Arial" w:cs="Arial"/>
          <w:color w:val="000000" w:themeColor="text1"/>
        </w:rPr>
      </w:pPr>
      <w:r w:rsidRPr="502784EB">
        <w:rPr>
          <w:rFonts w:ascii="Arial" w:eastAsia="Arial" w:hAnsi="Arial" w:cs="Arial"/>
          <w:color w:val="000000" w:themeColor="text1"/>
        </w:rPr>
        <w:t>Tras obtener la totalidad de guías en dichas bases de datos,</w:t>
      </w:r>
      <w:r w:rsidR="48EF642C" w:rsidRPr="502784EB">
        <w:rPr>
          <w:rFonts w:ascii="Arial" w:eastAsia="Arial" w:hAnsi="Arial" w:cs="Arial"/>
          <w:color w:val="000000" w:themeColor="text1"/>
        </w:rPr>
        <w:t xml:space="preserve"> se utilizó la herramienta </w:t>
      </w:r>
      <w:proofErr w:type="spellStart"/>
      <w:r w:rsidR="48EF642C" w:rsidRPr="502784EB">
        <w:rPr>
          <w:rFonts w:ascii="Arial" w:eastAsia="Arial" w:hAnsi="Arial" w:cs="Arial"/>
          <w:color w:val="000000" w:themeColor="text1"/>
        </w:rPr>
        <w:t>Rayyan</w:t>
      </w:r>
      <w:proofErr w:type="spellEnd"/>
      <w:r w:rsidR="48EF642C" w:rsidRPr="502784EB">
        <w:rPr>
          <w:rFonts w:ascii="Arial" w:eastAsia="Arial" w:hAnsi="Arial" w:cs="Arial"/>
          <w:color w:val="000000" w:themeColor="text1"/>
        </w:rPr>
        <w:t xml:space="preserve"> para eliminar los duplicados. Posteriormente</w:t>
      </w:r>
      <w:r w:rsidRPr="502784EB">
        <w:rPr>
          <w:rFonts w:ascii="Arial" w:eastAsia="Arial" w:hAnsi="Arial" w:cs="Arial"/>
          <w:color w:val="000000" w:themeColor="text1"/>
        </w:rPr>
        <w:t xml:space="preserve"> dos investigadores revisaron los títulos y resúmenes de las guías utilizando </w:t>
      </w:r>
      <w:r w:rsidR="45B41F03" w:rsidRPr="502784EB">
        <w:rPr>
          <w:rFonts w:ascii="Arial" w:eastAsia="Arial" w:hAnsi="Arial" w:cs="Arial"/>
          <w:color w:val="000000" w:themeColor="text1"/>
        </w:rPr>
        <w:t xml:space="preserve">dicha herramienta </w:t>
      </w:r>
      <w:r w:rsidRPr="502784EB">
        <w:rPr>
          <w:rFonts w:ascii="Arial" w:eastAsia="Arial" w:hAnsi="Arial" w:cs="Arial"/>
          <w:color w:val="000000" w:themeColor="text1"/>
        </w:rPr>
        <w:t>para considerar su inclusión en el estudio</w:t>
      </w:r>
      <w:r w:rsidR="39301EEE" w:rsidRPr="502784EB">
        <w:rPr>
          <w:rFonts w:ascii="Arial" w:eastAsia="Arial" w:hAnsi="Arial" w:cs="Arial"/>
          <w:color w:val="000000" w:themeColor="text1"/>
        </w:rPr>
        <w:t xml:space="preserve">. </w:t>
      </w:r>
      <w:r w:rsidRPr="502784EB">
        <w:rPr>
          <w:rFonts w:ascii="Arial" w:eastAsia="Arial" w:hAnsi="Arial" w:cs="Arial"/>
          <w:color w:val="000000" w:themeColor="text1"/>
        </w:rPr>
        <w:t>Los artículos seleccionados en la tamización primaria fueron leídos a texto completo en un proceso de tamización secundaria por dos investigadores</w:t>
      </w:r>
      <w:r w:rsidR="7A225B80" w:rsidRPr="502784EB">
        <w:rPr>
          <w:rFonts w:ascii="Arial" w:eastAsia="Arial" w:hAnsi="Arial" w:cs="Arial"/>
          <w:color w:val="000000" w:themeColor="text1"/>
        </w:rPr>
        <w:t>.</w:t>
      </w:r>
    </w:p>
    <w:p w14:paraId="2C8D756E" w14:textId="6C96464C" w:rsidR="502784EB" w:rsidRDefault="502784EB" w:rsidP="502784EB">
      <w:pPr>
        <w:spacing w:after="0"/>
        <w:jc w:val="both"/>
        <w:rPr>
          <w:rFonts w:ascii="Arial" w:eastAsia="Arial" w:hAnsi="Arial" w:cs="Arial"/>
          <w:color w:val="000000" w:themeColor="text1"/>
        </w:rPr>
      </w:pPr>
    </w:p>
    <w:p w14:paraId="55E81642" w14:textId="48A3A120" w:rsidR="00E92A68" w:rsidRDefault="6AA4606F" w:rsidP="502784EB">
      <w:pPr>
        <w:spacing w:after="0"/>
        <w:ind w:left="22"/>
        <w:jc w:val="both"/>
        <w:rPr>
          <w:rFonts w:ascii="Arial" w:eastAsia="Arial" w:hAnsi="Arial" w:cs="Arial"/>
          <w:color w:val="000000" w:themeColor="text1"/>
        </w:rPr>
      </w:pPr>
      <w:r w:rsidRPr="502784EB">
        <w:rPr>
          <w:rFonts w:ascii="Arial" w:eastAsia="Arial" w:hAnsi="Arial" w:cs="Arial"/>
          <w:color w:val="000000" w:themeColor="text1"/>
        </w:rPr>
        <w:t>Ambos procesos de tamización tuvieron en cuenta los criterios de inclusión y exclusión del estudio.</w:t>
      </w:r>
      <w:r w:rsidR="5AC5D281" w:rsidRPr="502784EB">
        <w:rPr>
          <w:rFonts w:ascii="Arial" w:eastAsia="Arial" w:hAnsi="Arial" w:cs="Arial"/>
          <w:color w:val="000000" w:themeColor="text1"/>
        </w:rPr>
        <w:t xml:space="preserve"> Ambos </w:t>
      </w:r>
      <w:r w:rsidR="4E42A22F" w:rsidRPr="502784EB">
        <w:rPr>
          <w:rFonts w:ascii="Arial" w:eastAsia="Arial" w:hAnsi="Arial" w:cs="Arial"/>
          <w:color w:val="000000" w:themeColor="text1"/>
        </w:rPr>
        <w:t>investigadores</w:t>
      </w:r>
      <w:r w:rsidR="5AC5D281" w:rsidRPr="502784EB">
        <w:rPr>
          <w:rFonts w:ascii="Arial" w:eastAsia="Arial" w:hAnsi="Arial" w:cs="Arial"/>
          <w:color w:val="000000" w:themeColor="text1"/>
        </w:rPr>
        <w:t xml:space="preserve"> trabajaron independientemente en este proceso de selección, y en caso de discordancia se solicitaría el concepto de uno de los asesores. No ocurrieron discordancias entre los autores durante el proceso de selección.</w:t>
      </w:r>
    </w:p>
    <w:p w14:paraId="541F2966" w14:textId="2772A107" w:rsidR="00E92A68" w:rsidRDefault="00E92A68" w:rsidP="6968984F">
      <w:pPr>
        <w:jc w:val="both"/>
        <w:rPr>
          <w:rFonts w:ascii="Arial" w:eastAsia="Arial" w:hAnsi="Arial" w:cs="Arial"/>
        </w:rPr>
      </w:pPr>
    </w:p>
    <w:p w14:paraId="12F417C8" w14:textId="4C79FA5D" w:rsidR="00E92A68" w:rsidRDefault="6AA4606F" w:rsidP="502784EB">
      <w:pPr>
        <w:spacing w:after="0"/>
        <w:ind w:left="22"/>
        <w:jc w:val="both"/>
        <w:rPr>
          <w:rFonts w:ascii="Arial" w:eastAsia="Arial" w:hAnsi="Arial" w:cs="Arial"/>
          <w:color w:val="000000" w:themeColor="text1"/>
        </w:rPr>
      </w:pPr>
      <w:r w:rsidRPr="502784EB">
        <w:rPr>
          <w:rFonts w:ascii="Arial" w:eastAsia="Arial" w:hAnsi="Arial" w:cs="Arial"/>
          <w:color w:val="000000" w:themeColor="text1"/>
        </w:rPr>
        <w:t xml:space="preserve">A </w:t>
      </w:r>
      <w:r w:rsidR="0E08259C" w:rsidRPr="502784EB">
        <w:rPr>
          <w:rFonts w:ascii="Arial" w:eastAsia="Arial" w:hAnsi="Arial" w:cs="Arial"/>
          <w:color w:val="000000" w:themeColor="text1"/>
        </w:rPr>
        <w:t>continuación,</w:t>
      </w:r>
      <w:r w:rsidRPr="502784EB">
        <w:rPr>
          <w:rFonts w:ascii="Arial" w:eastAsia="Arial" w:hAnsi="Arial" w:cs="Arial"/>
          <w:color w:val="000000" w:themeColor="text1"/>
        </w:rPr>
        <w:t xml:space="preserve"> se presenta el diagrama de flujo PRISMA que refleja este proceso de tamización</w:t>
      </w:r>
    </w:p>
    <w:p w14:paraId="11389995" w14:textId="6EBCCBC3" w:rsidR="00E92A68" w:rsidRDefault="00E92A68" w:rsidP="6968984F">
      <w:pPr>
        <w:spacing w:after="0"/>
        <w:ind w:left="22"/>
        <w:jc w:val="both"/>
      </w:pPr>
    </w:p>
    <w:p w14:paraId="7A0FF514" w14:textId="4E98E7CA" w:rsidR="78B7FACB" w:rsidRDefault="78B7FACB" w:rsidP="502784EB">
      <w:pPr>
        <w:spacing w:after="0"/>
        <w:ind w:left="22"/>
        <w:jc w:val="both"/>
      </w:pPr>
      <w:r>
        <w:rPr>
          <w:noProof/>
          <w:lang w:eastAsia="es-CO"/>
        </w:rPr>
        <w:lastRenderedPageBreak/>
        <w:drawing>
          <wp:inline distT="0" distB="0" distL="0" distR="0" wp14:anchorId="3A64339F" wp14:editId="73A1EFE3">
            <wp:extent cx="5400716" cy="4924460"/>
            <wp:effectExtent l="0" t="0" r="0" b="0"/>
            <wp:docPr id="122583618" name="Imagen 1225836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extLst>
                        <a:ext uri="{28A0092B-C50C-407E-A947-70E740481C1C}">
                          <a14:useLocalDpi xmlns:a14="http://schemas.microsoft.com/office/drawing/2010/main" val="0"/>
                        </a:ext>
                      </a:extLst>
                    </a:blip>
                    <a:stretch>
                      <a:fillRect/>
                    </a:stretch>
                  </pic:blipFill>
                  <pic:spPr>
                    <a:xfrm>
                      <a:off x="0" y="0"/>
                      <a:ext cx="5400716" cy="4924460"/>
                    </a:xfrm>
                    <a:prstGeom prst="rect">
                      <a:avLst/>
                    </a:prstGeom>
                  </pic:spPr>
                </pic:pic>
              </a:graphicData>
            </a:graphic>
          </wp:inline>
        </w:drawing>
      </w:r>
    </w:p>
    <w:p w14:paraId="71DAF3F3" w14:textId="188269C9" w:rsidR="00E92A68" w:rsidRDefault="00E92A68" w:rsidP="6968984F">
      <w:pPr>
        <w:jc w:val="both"/>
        <w:rPr>
          <w:rFonts w:ascii="Arial" w:eastAsia="Arial" w:hAnsi="Arial" w:cs="Arial"/>
        </w:rPr>
      </w:pPr>
    </w:p>
    <w:p w14:paraId="6BF5D515" w14:textId="630443BD" w:rsidR="6968984F" w:rsidRDefault="6968984F" w:rsidP="6968984F">
      <w:pPr>
        <w:spacing w:after="0"/>
        <w:ind w:left="22"/>
        <w:jc w:val="both"/>
        <w:rPr>
          <w:rFonts w:ascii="Arial" w:eastAsia="Arial" w:hAnsi="Arial" w:cs="Arial"/>
          <w:b/>
          <w:bCs/>
          <w:color w:val="000000" w:themeColor="text1"/>
        </w:rPr>
      </w:pPr>
    </w:p>
    <w:p w14:paraId="7738E887" w14:textId="0673DEFA" w:rsidR="6968984F" w:rsidRDefault="6968984F" w:rsidP="6968984F">
      <w:pPr>
        <w:spacing w:after="0"/>
        <w:ind w:left="22"/>
        <w:jc w:val="both"/>
        <w:rPr>
          <w:rFonts w:ascii="Arial" w:eastAsia="Arial" w:hAnsi="Arial" w:cs="Arial"/>
          <w:b/>
          <w:bCs/>
          <w:color w:val="000000" w:themeColor="text1"/>
        </w:rPr>
      </w:pPr>
    </w:p>
    <w:p w14:paraId="3458F1E3" w14:textId="5F846673" w:rsidR="6968984F" w:rsidRDefault="6968984F" w:rsidP="6968984F">
      <w:pPr>
        <w:spacing w:after="0"/>
        <w:ind w:left="22"/>
        <w:jc w:val="both"/>
        <w:rPr>
          <w:rFonts w:ascii="Arial" w:eastAsia="Arial" w:hAnsi="Arial" w:cs="Arial"/>
          <w:b/>
          <w:bCs/>
          <w:color w:val="000000" w:themeColor="text1"/>
        </w:rPr>
      </w:pPr>
    </w:p>
    <w:p w14:paraId="2F1C032F" w14:textId="7633BFF2" w:rsidR="00E92A68" w:rsidRDefault="2E497E58" w:rsidP="6968984F">
      <w:pPr>
        <w:spacing w:after="0"/>
        <w:ind w:left="22"/>
        <w:jc w:val="both"/>
        <w:rPr>
          <w:rFonts w:ascii="Arial" w:eastAsia="Arial" w:hAnsi="Arial" w:cs="Arial"/>
          <w:b/>
          <w:bCs/>
          <w:color w:val="000000" w:themeColor="text1"/>
        </w:rPr>
      </w:pPr>
      <w:r w:rsidRPr="6968984F">
        <w:rPr>
          <w:rFonts w:ascii="Arial" w:eastAsia="Arial" w:hAnsi="Arial" w:cs="Arial"/>
          <w:b/>
          <w:bCs/>
          <w:color w:val="000000" w:themeColor="text1"/>
        </w:rPr>
        <w:t>Proceso de extracción de datos</w:t>
      </w:r>
    </w:p>
    <w:p w14:paraId="7102070A" w14:textId="1F6E1A31" w:rsidR="00E92A68" w:rsidRDefault="00E92A68" w:rsidP="6968984F">
      <w:pPr>
        <w:jc w:val="both"/>
        <w:rPr>
          <w:rFonts w:ascii="Arial" w:eastAsia="Arial" w:hAnsi="Arial" w:cs="Arial"/>
        </w:rPr>
      </w:pPr>
    </w:p>
    <w:p w14:paraId="708CC87B" w14:textId="0BC7176C" w:rsidR="00E92A68" w:rsidRDefault="6AA4606F" w:rsidP="502784EB">
      <w:pPr>
        <w:spacing w:after="0"/>
        <w:ind w:left="22"/>
        <w:jc w:val="both"/>
        <w:rPr>
          <w:rFonts w:ascii="Arial" w:eastAsia="Arial" w:hAnsi="Arial" w:cs="Arial"/>
          <w:color w:val="000000" w:themeColor="text1"/>
        </w:rPr>
      </w:pPr>
      <w:r w:rsidRPr="502784EB">
        <w:rPr>
          <w:rFonts w:ascii="Arial" w:eastAsia="Arial" w:hAnsi="Arial" w:cs="Arial"/>
          <w:color w:val="000000" w:themeColor="text1"/>
        </w:rPr>
        <w:t xml:space="preserve">Dos investigadores realizaron la extracción de los datos de las guías de manera independiente. Se usó una herramienta en Excel desarrollada por los investigadores para registrar la información clave de las guías incluidas. Esta información incluyó: título de la </w:t>
      </w:r>
      <w:r w:rsidR="75D7A1E3" w:rsidRPr="502784EB">
        <w:rPr>
          <w:rFonts w:ascii="Arial" w:eastAsia="Arial" w:hAnsi="Arial" w:cs="Arial"/>
          <w:color w:val="000000" w:themeColor="text1"/>
        </w:rPr>
        <w:t>guía</w:t>
      </w:r>
      <w:r w:rsidRPr="502784EB">
        <w:rPr>
          <w:rFonts w:ascii="Arial" w:eastAsia="Arial" w:hAnsi="Arial" w:cs="Arial"/>
          <w:color w:val="000000" w:themeColor="text1"/>
        </w:rPr>
        <w:t>, año de publicación, organismo desarrollado</w:t>
      </w:r>
      <w:r w:rsidR="2D62CF59" w:rsidRPr="502784EB">
        <w:rPr>
          <w:rFonts w:ascii="Arial" w:eastAsia="Arial" w:hAnsi="Arial" w:cs="Arial"/>
          <w:color w:val="000000" w:themeColor="text1"/>
        </w:rPr>
        <w:t>r</w:t>
      </w:r>
      <w:r w:rsidRPr="502784EB">
        <w:rPr>
          <w:rFonts w:ascii="Arial" w:eastAsia="Arial" w:hAnsi="Arial" w:cs="Arial"/>
          <w:color w:val="000000" w:themeColor="text1"/>
        </w:rPr>
        <w:t xml:space="preserve"> o autores, población objeto, definición de fin de vida empleada, métodos de identificación, recomendación</w:t>
      </w:r>
      <w:r w:rsidR="7891AEFA" w:rsidRPr="502784EB">
        <w:rPr>
          <w:rFonts w:ascii="Arial" w:eastAsia="Arial" w:hAnsi="Arial" w:cs="Arial"/>
          <w:color w:val="000000" w:themeColor="text1"/>
        </w:rPr>
        <w:t xml:space="preserve"> y grado de recomendación.</w:t>
      </w:r>
    </w:p>
    <w:p w14:paraId="2411682A" w14:textId="3EADC3FB" w:rsidR="502784EB" w:rsidRDefault="502784EB" w:rsidP="502784EB">
      <w:pPr>
        <w:jc w:val="both"/>
        <w:rPr>
          <w:rFonts w:ascii="Arial" w:eastAsia="Arial" w:hAnsi="Arial" w:cs="Arial"/>
          <w:b/>
          <w:bCs/>
          <w:color w:val="000000" w:themeColor="text1"/>
        </w:rPr>
      </w:pPr>
    </w:p>
    <w:p w14:paraId="00F100A8" w14:textId="342D91DB" w:rsidR="7FFC9482" w:rsidRDefault="7A59EE89" w:rsidP="6968984F">
      <w:pPr>
        <w:jc w:val="both"/>
        <w:rPr>
          <w:rFonts w:ascii="Arial" w:eastAsia="Arial" w:hAnsi="Arial" w:cs="Arial"/>
        </w:rPr>
      </w:pPr>
      <w:r w:rsidRPr="6968984F">
        <w:rPr>
          <w:rFonts w:ascii="Arial" w:eastAsia="Arial" w:hAnsi="Arial" w:cs="Arial"/>
          <w:b/>
          <w:bCs/>
        </w:rPr>
        <w:t>Análisis de calidad</w:t>
      </w:r>
    </w:p>
    <w:p w14:paraId="35A2B966" w14:textId="5154E809" w:rsidR="0ADC969A" w:rsidRDefault="31FE7747" w:rsidP="502784EB">
      <w:pPr>
        <w:jc w:val="both"/>
        <w:rPr>
          <w:rFonts w:ascii="Arial" w:eastAsia="Arial" w:hAnsi="Arial" w:cs="Arial"/>
          <w:color w:val="000000" w:themeColor="text1"/>
        </w:rPr>
      </w:pPr>
      <w:r w:rsidRPr="502784EB">
        <w:rPr>
          <w:rFonts w:ascii="Arial" w:eastAsia="Arial" w:hAnsi="Arial" w:cs="Arial"/>
          <w:color w:val="000000" w:themeColor="text1"/>
        </w:rPr>
        <w:lastRenderedPageBreak/>
        <w:t xml:space="preserve">Dos investigadores realizaron la evaluación de la calidad de las guías de práctica clínica utilizando el instrumento para la evaluación de guías de práctica clínica del consorcio </w:t>
      </w:r>
      <w:proofErr w:type="spellStart"/>
      <w:r w:rsidRPr="502784EB">
        <w:rPr>
          <w:rFonts w:ascii="Arial" w:eastAsia="Arial" w:hAnsi="Arial" w:cs="Arial"/>
          <w:color w:val="000000" w:themeColor="text1"/>
        </w:rPr>
        <w:t>Appraisal</w:t>
      </w:r>
      <w:proofErr w:type="spellEnd"/>
      <w:r w:rsidRPr="502784EB">
        <w:rPr>
          <w:rFonts w:ascii="Arial" w:eastAsia="Arial" w:hAnsi="Arial" w:cs="Arial"/>
          <w:color w:val="000000" w:themeColor="text1"/>
        </w:rPr>
        <w:t xml:space="preserve"> of </w:t>
      </w:r>
      <w:proofErr w:type="spellStart"/>
      <w:r w:rsidRPr="502784EB">
        <w:rPr>
          <w:rFonts w:ascii="Arial" w:eastAsia="Arial" w:hAnsi="Arial" w:cs="Arial"/>
          <w:color w:val="000000" w:themeColor="text1"/>
        </w:rPr>
        <w:t>Guidelines</w:t>
      </w:r>
      <w:proofErr w:type="spellEnd"/>
      <w:r w:rsidRPr="502784EB">
        <w:rPr>
          <w:rFonts w:ascii="Arial" w:eastAsia="Arial" w:hAnsi="Arial" w:cs="Arial"/>
          <w:color w:val="000000" w:themeColor="text1"/>
        </w:rPr>
        <w:t xml:space="preserve"> </w:t>
      </w:r>
      <w:proofErr w:type="spellStart"/>
      <w:r w:rsidRPr="502784EB">
        <w:rPr>
          <w:rFonts w:ascii="Arial" w:eastAsia="Arial" w:hAnsi="Arial" w:cs="Arial"/>
          <w:color w:val="000000" w:themeColor="text1"/>
        </w:rPr>
        <w:t>Researche</w:t>
      </w:r>
      <w:proofErr w:type="spellEnd"/>
      <w:r w:rsidRPr="502784EB">
        <w:rPr>
          <w:rFonts w:ascii="Arial" w:eastAsia="Arial" w:hAnsi="Arial" w:cs="Arial"/>
          <w:color w:val="000000" w:themeColor="text1"/>
        </w:rPr>
        <w:t xml:space="preserve"> &amp; </w:t>
      </w:r>
      <w:proofErr w:type="spellStart"/>
      <w:r w:rsidRPr="502784EB">
        <w:rPr>
          <w:rFonts w:ascii="Arial" w:eastAsia="Arial" w:hAnsi="Arial" w:cs="Arial"/>
          <w:color w:val="000000" w:themeColor="text1"/>
        </w:rPr>
        <w:t>Evaluation</w:t>
      </w:r>
      <w:proofErr w:type="spellEnd"/>
      <w:r w:rsidRPr="502784EB">
        <w:rPr>
          <w:rFonts w:ascii="Arial" w:eastAsia="Arial" w:hAnsi="Arial" w:cs="Arial"/>
          <w:color w:val="000000" w:themeColor="text1"/>
        </w:rPr>
        <w:t xml:space="preserve"> (AGREE II)</w:t>
      </w:r>
      <w:sdt>
        <w:sdtPr>
          <w:rPr>
            <w:rFonts w:ascii="Arial" w:eastAsia="Arial" w:hAnsi="Arial" w:cs="Arial"/>
            <w:color w:val="000000" w:themeColor="text1"/>
          </w:rPr>
          <w:tag w:val="MENDELEY_CITATION_v3_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"/>
          <w:id w:val="522415613"/>
          <w:placeholder>
            <w:docPart w:val="DefaultPlaceholder_-1854013440"/>
          </w:placeholder>
        </w:sdtPr>
        <w:sdtEndPr/>
        <w:sdtContent>
          <w:r w:rsidR="502784EB" w:rsidRPr="502784EB">
            <w:rPr>
              <w:rFonts w:ascii="Arial" w:eastAsia="Arial" w:hAnsi="Arial" w:cs="Arial"/>
              <w:color w:val="000000" w:themeColor="text1"/>
            </w:rPr>
            <w:t>(Para et al., 2009)</w:t>
          </w:r>
        </w:sdtContent>
      </w:sdt>
      <w:r w:rsidR="0CE67EEE" w:rsidRPr="502784EB">
        <w:rPr>
          <w:rFonts w:ascii="Arial" w:eastAsia="Arial" w:hAnsi="Arial" w:cs="Arial"/>
          <w:color w:val="000000" w:themeColor="text1"/>
        </w:rPr>
        <w:t>. Ambos autores trabajaron independientemente en este proceso de análisis de calidad.</w:t>
      </w:r>
      <w:r w:rsidR="49A6AEF7" w:rsidRPr="502784EB">
        <w:rPr>
          <w:rFonts w:ascii="Arial" w:eastAsia="Arial" w:hAnsi="Arial" w:cs="Arial"/>
          <w:color w:val="000000" w:themeColor="text1"/>
        </w:rPr>
        <w:t xml:space="preserve"> Se realizó una evaluación individual de cada uno de los subdominios que componen los seis dominios del AGREE-II.</w:t>
      </w:r>
      <w:r w:rsidR="26D3F215" w:rsidRPr="502784EB">
        <w:rPr>
          <w:rFonts w:ascii="Arial" w:eastAsia="Arial" w:hAnsi="Arial" w:cs="Arial"/>
          <w:color w:val="000000" w:themeColor="text1"/>
        </w:rPr>
        <w:t xml:space="preserve"> Las puntuaciones de los dominios se obtuvieron sumando todos los puntos de los ítems individuales del dominio y estandarizando el total, como un porcentaje sobre la máxima puntuación posible para ese dominio.</w:t>
      </w:r>
      <w:r w:rsidR="00B27863" w:rsidRPr="502784EB">
        <w:rPr>
          <w:rFonts w:ascii="Arial" w:eastAsia="Arial" w:hAnsi="Arial" w:cs="Arial"/>
          <w:color w:val="000000" w:themeColor="text1"/>
        </w:rPr>
        <w:t xml:space="preserve"> Se consideró como guías de alta calidad aquellas que obtuvieron un puntaje &gt; 80% en sus dominios.</w:t>
      </w:r>
    </w:p>
    <w:p w14:paraId="50DF900D" w14:textId="33147532" w:rsidR="16FC24C0" w:rsidRDefault="5BA42AF5" w:rsidP="502784EB">
      <w:pPr>
        <w:jc w:val="both"/>
        <w:rPr>
          <w:rFonts w:ascii="Arial" w:eastAsia="Arial" w:hAnsi="Arial" w:cs="Arial"/>
          <w:b/>
          <w:bCs/>
          <w:color w:val="000000" w:themeColor="text1"/>
        </w:rPr>
      </w:pPr>
      <w:r w:rsidRPr="502784EB">
        <w:rPr>
          <w:rFonts w:ascii="Arial" w:eastAsia="Arial" w:hAnsi="Arial" w:cs="Arial"/>
          <w:b/>
          <w:bCs/>
          <w:color w:val="000000" w:themeColor="text1"/>
        </w:rPr>
        <w:t>Síntesis y análisis de datos</w:t>
      </w:r>
    </w:p>
    <w:p w14:paraId="1487D110" w14:textId="3B83B55D" w:rsidR="16FC24C0" w:rsidRDefault="5BA42AF5" w:rsidP="502784EB">
      <w:pPr>
        <w:jc w:val="both"/>
        <w:rPr>
          <w:rFonts w:ascii="Arial" w:eastAsia="Arial" w:hAnsi="Arial" w:cs="Arial"/>
        </w:rPr>
      </w:pPr>
      <w:r w:rsidRPr="502784EB">
        <w:rPr>
          <w:rFonts w:ascii="Arial" w:eastAsia="Arial" w:hAnsi="Arial" w:cs="Arial"/>
        </w:rPr>
        <w:t xml:space="preserve">Una vez extraídos los datos previamente mencionados, se realiza una síntesis narrativa de las recomendaciones respecto a los signos clínicos y escalas </w:t>
      </w:r>
      <w:proofErr w:type="spellStart"/>
      <w:r w:rsidRPr="502784EB">
        <w:rPr>
          <w:rFonts w:ascii="Arial" w:eastAsia="Arial" w:hAnsi="Arial" w:cs="Arial"/>
        </w:rPr>
        <w:t>pronósticas</w:t>
      </w:r>
      <w:proofErr w:type="spellEnd"/>
      <w:r w:rsidRPr="502784EB">
        <w:rPr>
          <w:rFonts w:ascii="Arial" w:eastAsia="Arial" w:hAnsi="Arial" w:cs="Arial"/>
        </w:rPr>
        <w:t xml:space="preserve"> utilizadas para identificar pacientes con cáncer avanzado en fin de vida, </w:t>
      </w:r>
      <w:proofErr w:type="spellStart"/>
      <w:r w:rsidRPr="502784EB">
        <w:rPr>
          <w:rFonts w:ascii="Arial" w:eastAsia="Arial" w:hAnsi="Arial" w:cs="Arial"/>
        </w:rPr>
        <w:t>organizandolas</w:t>
      </w:r>
      <w:proofErr w:type="spellEnd"/>
      <w:r w:rsidRPr="502784EB">
        <w:rPr>
          <w:rFonts w:ascii="Arial" w:eastAsia="Arial" w:hAnsi="Arial" w:cs="Arial"/>
        </w:rPr>
        <w:t xml:space="preserve"> de acuerdo al grado de recomendación.</w:t>
      </w:r>
    </w:p>
    <w:p w14:paraId="41040AFE" w14:textId="3073B8C9" w:rsidR="16FC24C0" w:rsidRDefault="49165C83" w:rsidP="502784EB">
      <w:pPr>
        <w:jc w:val="both"/>
        <w:rPr>
          <w:rFonts w:ascii="Arial" w:eastAsia="Arial" w:hAnsi="Arial" w:cs="Arial"/>
        </w:rPr>
      </w:pPr>
      <w:r w:rsidRPr="502784EB">
        <w:rPr>
          <w:rFonts w:ascii="Arial" w:eastAsia="Arial" w:hAnsi="Arial" w:cs="Arial"/>
          <w:b/>
          <w:bCs/>
        </w:rPr>
        <w:t>Resultados</w:t>
      </w:r>
    </w:p>
    <w:p w14:paraId="35048680" w14:textId="7BFD39C6" w:rsidR="16FC24C0" w:rsidRDefault="67107618" w:rsidP="37FB81F5">
      <w:pPr>
        <w:jc w:val="both"/>
        <w:rPr>
          <w:rFonts w:ascii="Arial" w:eastAsia="Arial" w:hAnsi="Arial" w:cs="Arial"/>
          <w:b/>
          <w:bCs/>
        </w:rPr>
      </w:pPr>
      <w:r w:rsidRPr="37FB81F5">
        <w:rPr>
          <w:rFonts w:ascii="Arial" w:eastAsia="Arial" w:hAnsi="Arial" w:cs="Arial"/>
          <w:b/>
          <w:bCs/>
        </w:rPr>
        <w:t>Guías de práctica clínica obtenidas</w:t>
      </w:r>
    </w:p>
    <w:p w14:paraId="6E1B33C7" w14:textId="495407BC" w:rsidR="16FC24C0" w:rsidRDefault="616ADE3D" w:rsidP="6968984F">
      <w:pPr>
        <w:jc w:val="both"/>
        <w:rPr>
          <w:rFonts w:ascii="Arial" w:eastAsia="Arial" w:hAnsi="Arial" w:cs="Arial"/>
        </w:rPr>
      </w:pPr>
      <w:r w:rsidRPr="502784EB">
        <w:rPr>
          <w:rFonts w:ascii="Arial" w:eastAsia="Arial" w:hAnsi="Arial" w:cs="Arial"/>
        </w:rPr>
        <w:t xml:space="preserve">Mediante la búsqueda sistemática se obtuvieron inicialmente 337 guías, de las cuales se eliminaron 88 duplicados obteniendo 249 documentos para realizar el tamizaje inicial mediante la lectura de título y resumen. De esta manera se excluyeron 238 documentos, obteniendo 11 guías relevantes para lectura de texto completo y aplicación de criterios de inclusión y exclusión. Tras realizar este tamizaje secundario se obtuvieron </w:t>
      </w:r>
      <w:r w:rsidR="6F1510B7" w:rsidRPr="502784EB">
        <w:rPr>
          <w:rFonts w:ascii="Arial" w:eastAsia="Arial" w:hAnsi="Arial" w:cs="Arial"/>
        </w:rPr>
        <w:t>6</w:t>
      </w:r>
      <w:r w:rsidRPr="502784EB">
        <w:rPr>
          <w:rFonts w:ascii="Arial" w:eastAsia="Arial" w:hAnsi="Arial" w:cs="Arial"/>
        </w:rPr>
        <w:t xml:space="preserve"> guías de práctica clínica a las cuales se análisis de calidad por parte de dos investigadores.</w:t>
      </w:r>
      <w:r w:rsidR="79AFEF30" w:rsidRPr="502784EB">
        <w:rPr>
          <w:rFonts w:ascii="Arial" w:eastAsia="Arial" w:hAnsi="Arial" w:cs="Arial"/>
        </w:rPr>
        <w:t xml:space="preserve"> Una de estas guías no emitía recomendaciones específicas sobre la identificación de pacientes en fin de vida, y era considerada de baja calidad de acuerdo al AGREE-II, por lo cual no fue incluida para extracción de datos.</w:t>
      </w:r>
      <w:r w:rsidRPr="502784EB">
        <w:rPr>
          <w:rFonts w:ascii="Arial" w:eastAsia="Arial" w:hAnsi="Arial" w:cs="Arial"/>
        </w:rPr>
        <w:t xml:space="preserve"> </w:t>
      </w:r>
      <w:r w:rsidR="5E3302FE" w:rsidRPr="502784EB">
        <w:rPr>
          <w:rFonts w:ascii="Arial" w:eastAsia="Arial" w:hAnsi="Arial" w:cs="Arial"/>
        </w:rPr>
        <w:t>De esta forma se extrajeron datos de cinco guías de práctica clínica, cuyos resultados fueron analizados.</w:t>
      </w:r>
    </w:p>
    <w:p w14:paraId="60560480" w14:textId="77777777" w:rsidR="00FF435D" w:rsidRDefault="00FF435D" w:rsidP="6968984F">
      <w:pPr>
        <w:jc w:val="both"/>
        <w:rPr>
          <w:rFonts w:ascii="Arial" w:eastAsia="Arial" w:hAnsi="Arial" w:cs="Arial"/>
        </w:rPr>
      </w:pPr>
    </w:p>
    <w:p w14:paraId="5EF78E9F" w14:textId="77777777" w:rsidR="00FF435D" w:rsidRDefault="00FF435D" w:rsidP="6968984F">
      <w:pPr>
        <w:jc w:val="both"/>
        <w:rPr>
          <w:rFonts w:ascii="Arial" w:eastAsia="Arial" w:hAnsi="Arial" w:cs="Arial"/>
        </w:rPr>
      </w:pPr>
    </w:p>
    <w:p w14:paraId="5A2747B8" w14:textId="77777777" w:rsidR="00FF435D" w:rsidRDefault="00FF435D" w:rsidP="6968984F">
      <w:pPr>
        <w:jc w:val="both"/>
        <w:rPr>
          <w:rFonts w:ascii="Arial" w:eastAsia="Arial" w:hAnsi="Arial" w:cs="Arial"/>
        </w:rPr>
      </w:pPr>
    </w:p>
    <w:p w14:paraId="2FF75581" w14:textId="77777777" w:rsidR="00FF435D" w:rsidRDefault="00FF435D" w:rsidP="6968984F">
      <w:pPr>
        <w:jc w:val="both"/>
        <w:rPr>
          <w:rFonts w:ascii="Arial" w:eastAsia="Arial" w:hAnsi="Arial" w:cs="Arial"/>
        </w:rPr>
      </w:pPr>
    </w:p>
    <w:p w14:paraId="3E9812C6" w14:textId="77777777" w:rsidR="00FF435D" w:rsidRDefault="00FF435D" w:rsidP="6968984F">
      <w:pPr>
        <w:jc w:val="both"/>
        <w:rPr>
          <w:rFonts w:ascii="Arial" w:eastAsia="Arial" w:hAnsi="Arial" w:cs="Arial"/>
        </w:rPr>
      </w:pPr>
    </w:p>
    <w:p w14:paraId="6B1518C2" w14:textId="77777777" w:rsidR="00FF435D" w:rsidRDefault="00FF435D" w:rsidP="6968984F">
      <w:pPr>
        <w:jc w:val="both"/>
        <w:rPr>
          <w:rFonts w:ascii="Arial" w:eastAsia="Arial" w:hAnsi="Arial" w:cs="Arial"/>
        </w:rPr>
      </w:pPr>
    </w:p>
    <w:p w14:paraId="2A0663C2" w14:textId="440FDFCC" w:rsidR="00FF435D" w:rsidRDefault="00FF435D" w:rsidP="67996DA1">
      <w:pPr>
        <w:jc w:val="both"/>
        <w:rPr>
          <w:rFonts w:ascii="Arial" w:eastAsia="Arial" w:hAnsi="Arial" w:cs="Arial"/>
        </w:rPr>
        <w:sectPr w:rsidR="00FF435D">
          <w:headerReference w:type="default" r:id="rId8"/>
          <w:footerReference w:type="default" r:id="rId9"/>
          <w:pgSz w:w="12240" w:h="15840"/>
          <w:pgMar w:top="1440" w:right="1440" w:bottom="1440" w:left="1440" w:header="720" w:footer="720" w:gutter="0"/>
          <w:cols w:space="720"/>
          <w:docGrid w:linePitch="360"/>
        </w:sectPr>
      </w:pP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764"/>
        <w:gridCol w:w="2225"/>
        <w:gridCol w:w="2001"/>
        <w:gridCol w:w="3054"/>
        <w:gridCol w:w="3900"/>
      </w:tblGrid>
      <w:tr w:rsidR="00FF435D" w:rsidRPr="00FF435D" w14:paraId="7D5AF7AB" w14:textId="77777777" w:rsidTr="00FF435D">
        <w:trPr>
          <w:trHeight w:val="300"/>
        </w:trPr>
        <w:tc>
          <w:tcPr>
            <w:tcW w:w="1710" w:type="dxa"/>
            <w:tcBorders>
              <w:top w:val="single" w:sz="6" w:space="0" w:color="000000"/>
              <w:left w:val="single" w:sz="6" w:space="0" w:color="000000"/>
              <w:bottom w:val="single" w:sz="6" w:space="0" w:color="000000"/>
              <w:right w:val="single" w:sz="6" w:space="0" w:color="000000"/>
            </w:tcBorders>
            <w:shd w:val="clear" w:color="auto" w:fill="D1D1D1"/>
            <w:hideMark/>
          </w:tcPr>
          <w:p w14:paraId="0023E852"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eastAsia="es-CO"/>
              </w:rPr>
            </w:pPr>
            <w:r w:rsidRPr="00FF435D">
              <w:rPr>
                <w:rFonts w:ascii="Arial" w:eastAsia="Times New Roman" w:hAnsi="Arial" w:cs="Arial"/>
                <w:b/>
                <w:bCs/>
                <w:sz w:val="22"/>
                <w:szCs w:val="22"/>
                <w:lang w:eastAsia="es-CO"/>
              </w:rPr>
              <w:lastRenderedPageBreak/>
              <w:t>Titulo</w:t>
            </w:r>
            <w:r w:rsidRPr="00FF435D">
              <w:rPr>
                <w:rFonts w:ascii="Arial" w:eastAsia="Times New Roman" w:hAnsi="Arial" w:cs="Arial"/>
                <w:sz w:val="22"/>
                <w:szCs w:val="22"/>
                <w:lang w:eastAsia="es-CO"/>
              </w:rPr>
              <w:t> </w:t>
            </w:r>
          </w:p>
        </w:tc>
        <w:tc>
          <w:tcPr>
            <w:tcW w:w="2250" w:type="dxa"/>
            <w:tcBorders>
              <w:top w:val="single" w:sz="6" w:space="0" w:color="000000"/>
              <w:left w:val="single" w:sz="6" w:space="0" w:color="000000"/>
              <w:bottom w:val="single" w:sz="6" w:space="0" w:color="000000"/>
              <w:right w:val="single" w:sz="6" w:space="0" w:color="000000"/>
            </w:tcBorders>
            <w:shd w:val="clear" w:color="auto" w:fill="D1D1D1"/>
            <w:hideMark/>
          </w:tcPr>
          <w:p w14:paraId="7C9442F0"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eastAsia="es-CO"/>
              </w:rPr>
            </w:pPr>
            <w:r w:rsidRPr="00FF435D">
              <w:rPr>
                <w:rFonts w:ascii="Arial" w:eastAsia="Times New Roman" w:hAnsi="Arial" w:cs="Arial"/>
                <w:b/>
                <w:bCs/>
                <w:sz w:val="22"/>
                <w:szCs w:val="22"/>
                <w:lang w:eastAsia="es-CO"/>
              </w:rPr>
              <w:t>POBLACIÓN OBJETIVO</w:t>
            </w:r>
            <w:r w:rsidRPr="00FF435D">
              <w:rPr>
                <w:rFonts w:ascii="Arial" w:eastAsia="Times New Roman" w:hAnsi="Arial" w:cs="Arial"/>
                <w:sz w:val="22"/>
                <w:szCs w:val="22"/>
                <w:lang w:eastAsia="es-CO"/>
              </w:rPr>
              <w:t> </w:t>
            </w:r>
          </w:p>
        </w:tc>
        <w:tc>
          <w:tcPr>
            <w:tcW w:w="2025" w:type="dxa"/>
            <w:tcBorders>
              <w:top w:val="single" w:sz="6" w:space="0" w:color="000000"/>
              <w:left w:val="single" w:sz="6" w:space="0" w:color="000000"/>
              <w:bottom w:val="single" w:sz="6" w:space="0" w:color="000000"/>
              <w:right w:val="single" w:sz="6" w:space="0" w:color="000000"/>
            </w:tcBorders>
            <w:shd w:val="clear" w:color="auto" w:fill="D1D1D1"/>
            <w:hideMark/>
          </w:tcPr>
          <w:p w14:paraId="5ED8F762"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eastAsia="es-CO"/>
              </w:rPr>
            </w:pPr>
            <w:r w:rsidRPr="00FF435D">
              <w:rPr>
                <w:rFonts w:ascii="Arial" w:eastAsia="Times New Roman" w:hAnsi="Arial" w:cs="Arial"/>
                <w:b/>
                <w:bCs/>
                <w:sz w:val="22"/>
                <w:szCs w:val="22"/>
                <w:lang w:eastAsia="es-CO"/>
              </w:rPr>
              <w:t>DEFINICIÓN DE FIN DE VIDA</w:t>
            </w:r>
            <w:r w:rsidRPr="00FF435D">
              <w:rPr>
                <w:rFonts w:ascii="Arial" w:eastAsia="Times New Roman" w:hAnsi="Arial" w:cs="Arial"/>
                <w:sz w:val="22"/>
                <w:szCs w:val="22"/>
                <w:lang w:eastAsia="es-CO"/>
              </w:rPr>
              <w:t> </w:t>
            </w:r>
          </w:p>
        </w:tc>
        <w:tc>
          <w:tcPr>
            <w:tcW w:w="3090" w:type="dxa"/>
            <w:tcBorders>
              <w:top w:val="single" w:sz="6" w:space="0" w:color="000000"/>
              <w:left w:val="single" w:sz="6" w:space="0" w:color="000000"/>
              <w:bottom w:val="single" w:sz="6" w:space="0" w:color="000000"/>
              <w:right w:val="single" w:sz="6" w:space="0" w:color="000000"/>
            </w:tcBorders>
            <w:shd w:val="clear" w:color="auto" w:fill="D1D1D1"/>
            <w:hideMark/>
          </w:tcPr>
          <w:p w14:paraId="44975F1D"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eastAsia="es-CO"/>
              </w:rPr>
            </w:pPr>
            <w:r w:rsidRPr="00FF435D">
              <w:rPr>
                <w:rFonts w:ascii="Arial" w:eastAsia="Times New Roman" w:hAnsi="Arial" w:cs="Arial"/>
                <w:b/>
                <w:bCs/>
                <w:sz w:val="22"/>
                <w:szCs w:val="22"/>
                <w:lang w:eastAsia="es-CO"/>
              </w:rPr>
              <w:t>METODO DE IDENTIFICACIÓN</w:t>
            </w:r>
            <w:r w:rsidRPr="00FF435D">
              <w:rPr>
                <w:rFonts w:ascii="Arial" w:eastAsia="Times New Roman" w:hAnsi="Arial" w:cs="Arial"/>
                <w:sz w:val="22"/>
                <w:szCs w:val="22"/>
                <w:lang w:eastAsia="es-CO"/>
              </w:rPr>
              <w:t> </w:t>
            </w:r>
          </w:p>
        </w:tc>
        <w:tc>
          <w:tcPr>
            <w:tcW w:w="3960" w:type="dxa"/>
            <w:tcBorders>
              <w:top w:val="single" w:sz="6" w:space="0" w:color="000000"/>
              <w:left w:val="single" w:sz="6" w:space="0" w:color="000000"/>
              <w:bottom w:val="single" w:sz="6" w:space="0" w:color="000000"/>
              <w:right w:val="single" w:sz="6" w:space="0" w:color="000000"/>
            </w:tcBorders>
            <w:shd w:val="clear" w:color="auto" w:fill="D1D1D1"/>
            <w:hideMark/>
          </w:tcPr>
          <w:p w14:paraId="7E28C6AE"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eastAsia="es-CO"/>
              </w:rPr>
            </w:pPr>
            <w:r w:rsidRPr="00FF435D">
              <w:rPr>
                <w:rFonts w:ascii="Arial" w:eastAsia="Times New Roman" w:hAnsi="Arial" w:cs="Arial"/>
                <w:b/>
                <w:bCs/>
                <w:sz w:val="22"/>
                <w:szCs w:val="22"/>
                <w:lang w:eastAsia="es-CO"/>
              </w:rPr>
              <w:t>RECOMENDACIÓN (GRADO DE RECOMENDACION)</w:t>
            </w:r>
            <w:r w:rsidRPr="00FF435D">
              <w:rPr>
                <w:rFonts w:ascii="Arial" w:eastAsia="Times New Roman" w:hAnsi="Arial" w:cs="Arial"/>
                <w:sz w:val="22"/>
                <w:szCs w:val="22"/>
                <w:lang w:eastAsia="es-CO"/>
              </w:rPr>
              <w:t> </w:t>
            </w:r>
          </w:p>
        </w:tc>
      </w:tr>
      <w:tr w:rsidR="00FF435D" w:rsidRPr="00FF435D" w14:paraId="5291305C" w14:textId="77777777" w:rsidTr="00FF435D">
        <w:trPr>
          <w:trHeight w:val="300"/>
        </w:trPr>
        <w:tc>
          <w:tcPr>
            <w:tcW w:w="1710" w:type="dxa"/>
            <w:tcBorders>
              <w:top w:val="single" w:sz="6" w:space="0" w:color="000000"/>
              <w:left w:val="single" w:sz="6" w:space="0" w:color="000000"/>
              <w:bottom w:val="single" w:sz="6" w:space="0" w:color="000000"/>
              <w:right w:val="single" w:sz="6" w:space="0" w:color="000000"/>
            </w:tcBorders>
            <w:shd w:val="clear" w:color="auto" w:fill="auto"/>
            <w:hideMark/>
          </w:tcPr>
          <w:p w14:paraId="25DC6212"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val="en-US" w:eastAsia="es-CO"/>
              </w:rPr>
            </w:pPr>
            <w:r w:rsidRPr="00FF435D">
              <w:rPr>
                <w:rFonts w:ascii="Arial" w:eastAsia="Times New Roman" w:hAnsi="Arial" w:cs="Arial"/>
                <w:sz w:val="22"/>
                <w:szCs w:val="22"/>
                <w:lang w:val="en-US" w:eastAsia="es-CO"/>
              </w:rPr>
              <w:t> </w:t>
            </w:r>
          </w:p>
          <w:p w14:paraId="12AB0543"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val="en-US" w:eastAsia="es-CO"/>
              </w:rPr>
            </w:pPr>
            <w:r w:rsidRPr="00FF435D">
              <w:rPr>
                <w:rFonts w:ascii="Arial" w:eastAsia="Times New Roman" w:hAnsi="Arial" w:cs="Arial"/>
                <w:sz w:val="22"/>
                <w:szCs w:val="22"/>
                <w:lang w:val="en-US" w:eastAsia="es-CO"/>
              </w:rPr>
              <w:t>Overview | End of life care for adults: service delivery | Guidance  </w:t>
            </w:r>
          </w:p>
          <w:p w14:paraId="45F5A212"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val="en-US" w:eastAsia="es-CO"/>
              </w:rPr>
            </w:pPr>
            <w:r w:rsidRPr="00FF435D">
              <w:rPr>
                <w:rFonts w:ascii="Arial" w:eastAsia="Times New Roman" w:hAnsi="Arial" w:cs="Arial"/>
                <w:sz w:val="22"/>
                <w:szCs w:val="22"/>
                <w:lang w:val="en-US" w:eastAsia="es-CO"/>
              </w:rPr>
              <w:t> </w:t>
            </w:r>
          </w:p>
          <w:p w14:paraId="7B57785C"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val="en-US" w:eastAsia="es-CO"/>
              </w:rPr>
            </w:pPr>
            <w:r w:rsidRPr="00FF435D">
              <w:rPr>
                <w:rFonts w:ascii="Arial" w:eastAsia="Times New Roman" w:hAnsi="Arial" w:cs="Arial"/>
                <w:sz w:val="22"/>
                <w:szCs w:val="22"/>
                <w:lang w:val="en-US" w:eastAsia="es-CO"/>
              </w:rPr>
              <w:t> </w:t>
            </w:r>
          </w:p>
          <w:p w14:paraId="65B149DF"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eastAsia="es-CO"/>
              </w:rPr>
            </w:pPr>
            <w:r w:rsidRPr="00FF435D">
              <w:rPr>
                <w:rFonts w:ascii="Arial" w:eastAsia="Times New Roman" w:hAnsi="Arial" w:cs="Arial"/>
                <w:sz w:val="22"/>
                <w:szCs w:val="22"/>
                <w:lang w:eastAsia="es-CO"/>
              </w:rPr>
              <w:t>(NICE – 2019) Inglaterra  </w:t>
            </w:r>
          </w:p>
        </w:tc>
        <w:tc>
          <w:tcPr>
            <w:tcW w:w="2250" w:type="dxa"/>
            <w:tcBorders>
              <w:top w:val="single" w:sz="6" w:space="0" w:color="000000"/>
              <w:left w:val="single" w:sz="6" w:space="0" w:color="000000"/>
              <w:bottom w:val="single" w:sz="6" w:space="0" w:color="000000"/>
              <w:right w:val="single" w:sz="6" w:space="0" w:color="000000"/>
            </w:tcBorders>
            <w:shd w:val="clear" w:color="auto" w:fill="auto"/>
            <w:hideMark/>
          </w:tcPr>
          <w:p w14:paraId="5D6BD1F1"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eastAsia="es-CO"/>
              </w:rPr>
            </w:pPr>
            <w:r w:rsidRPr="00FF435D">
              <w:rPr>
                <w:rFonts w:ascii="Arial" w:eastAsia="Times New Roman" w:hAnsi="Arial" w:cs="Arial"/>
                <w:sz w:val="22"/>
                <w:szCs w:val="22"/>
                <w:lang w:eastAsia="es-CO"/>
              </w:rPr>
              <w:t> </w:t>
            </w:r>
          </w:p>
          <w:p w14:paraId="0C61F3E7"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eastAsia="es-CO"/>
              </w:rPr>
            </w:pPr>
            <w:r w:rsidRPr="00FF435D">
              <w:rPr>
                <w:rFonts w:ascii="Arial" w:eastAsia="Times New Roman" w:hAnsi="Arial" w:cs="Arial"/>
                <w:sz w:val="22"/>
                <w:szCs w:val="22"/>
                <w:lang w:eastAsia="es-CO"/>
              </w:rPr>
              <w:t>Pacientes durante sus últimas semanas o meses de vida (para algunas condiciones, años) </w:t>
            </w:r>
          </w:p>
          <w:p w14:paraId="24D6A73B"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eastAsia="es-CO"/>
              </w:rPr>
            </w:pPr>
            <w:r w:rsidRPr="00FF435D">
              <w:rPr>
                <w:rFonts w:ascii="Arial" w:eastAsia="Times New Roman" w:hAnsi="Arial" w:cs="Arial"/>
                <w:sz w:val="22"/>
                <w:szCs w:val="22"/>
                <w:lang w:eastAsia="es-CO"/>
              </w:rPr>
              <w:t>-Pacientes con condiciones avanzadas, incurables, progresivas </w:t>
            </w:r>
          </w:p>
          <w:p w14:paraId="59DA52C1"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eastAsia="es-CO"/>
              </w:rPr>
            </w:pPr>
            <w:r w:rsidRPr="00FF435D">
              <w:rPr>
                <w:rFonts w:ascii="Arial" w:eastAsia="Times New Roman" w:hAnsi="Arial" w:cs="Arial"/>
                <w:sz w:val="22"/>
                <w:szCs w:val="22"/>
                <w:lang w:eastAsia="es-CO"/>
              </w:rPr>
              <w:t>-Pacientes con fragilidad general y comorbilidades que aumentan su riesgo de fallecer durante los próximos 12 meses </w:t>
            </w:r>
          </w:p>
          <w:p w14:paraId="27A5AB87"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eastAsia="es-CO"/>
              </w:rPr>
            </w:pPr>
            <w:r w:rsidRPr="00FF435D">
              <w:rPr>
                <w:rFonts w:ascii="Arial" w:eastAsia="Times New Roman" w:hAnsi="Arial" w:cs="Arial"/>
                <w:sz w:val="22"/>
                <w:szCs w:val="22"/>
                <w:lang w:eastAsia="es-CO"/>
              </w:rPr>
              <w:t>-Pacientes con condiciones que aumentan su riesgo de morir de una crisis aguda </w:t>
            </w:r>
          </w:p>
          <w:p w14:paraId="19B225B9"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eastAsia="es-CO"/>
              </w:rPr>
            </w:pPr>
            <w:r w:rsidRPr="00FF435D">
              <w:rPr>
                <w:rFonts w:ascii="Arial" w:eastAsia="Times New Roman" w:hAnsi="Arial" w:cs="Arial"/>
                <w:sz w:val="22"/>
                <w:szCs w:val="22"/>
                <w:lang w:eastAsia="es-CO"/>
              </w:rPr>
              <w:t>-Condiciones agudas que amenazan la vida causadas por eventos súbitos catastróficos </w:t>
            </w:r>
          </w:p>
          <w:p w14:paraId="625DEF37"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eastAsia="es-CO"/>
              </w:rPr>
            </w:pPr>
            <w:r w:rsidRPr="00FF435D">
              <w:rPr>
                <w:rFonts w:ascii="Arial" w:eastAsia="Times New Roman" w:hAnsi="Arial" w:cs="Arial"/>
                <w:sz w:val="22"/>
                <w:szCs w:val="22"/>
                <w:lang w:eastAsia="es-CO"/>
              </w:rPr>
              <w:t> </w:t>
            </w:r>
          </w:p>
        </w:tc>
        <w:tc>
          <w:tcPr>
            <w:tcW w:w="2025" w:type="dxa"/>
            <w:tcBorders>
              <w:top w:val="single" w:sz="6" w:space="0" w:color="000000"/>
              <w:left w:val="single" w:sz="6" w:space="0" w:color="000000"/>
              <w:bottom w:val="single" w:sz="6" w:space="0" w:color="000000"/>
              <w:right w:val="single" w:sz="6" w:space="0" w:color="000000"/>
            </w:tcBorders>
            <w:shd w:val="clear" w:color="auto" w:fill="auto"/>
            <w:hideMark/>
          </w:tcPr>
          <w:p w14:paraId="48AEF5FC"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eastAsia="es-CO"/>
              </w:rPr>
            </w:pPr>
            <w:r w:rsidRPr="00FF435D">
              <w:rPr>
                <w:rFonts w:ascii="Arial" w:eastAsia="Times New Roman" w:hAnsi="Arial" w:cs="Arial"/>
                <w:sz w:val="22"/>
                <w:szCs w:val="22"/>
                <w:lang w:eastAsia="es-CO"/>
              </w:rPr>
              <w:t> </w:t>
            </w:r>
          </w:p>
          <w:p w14:paraId="7B1F98B0"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eastAsia="es-CO"/>
              </w:rPr>
            </w:pPr>
            <w:r w:rsidRPr="00FF435D">
              <w:rPr>
                <w:rFonts w:ascii="Arial" w:eastAsia="Times New Roman" w:hAnsi="Arial" w:cs="Arial"/>
                <w:sz w:val="22"/>
                <w:szCs w:val="22"/>
                <w:lang w:eastAsia="es-CO"/>
              </w:rPr>
              <w:t xml:space="preserve">Definido por NHS </w:t>
            </w:r>
            <w:proofErr w:type="spellStart"/>
            <w:r w:rsidRPr="00FF435D">
              <w:rPr>
                <w:rFonts w:ascii="Arial" w:eastAsia="Times New Roman" w:hAnsi="Arial" w:cs="Arial"/>
                <w:sz w:val="22"/>
                <w:szCs w:val="22"/>
                <w:lang w:eastAsia="es-CO"/>
              </w:rPr>
              <w:t>England</w:t>
            </w:r>
            <w:proofErr w:type="spellEnd"/>
            <w:r w:rsidRPr="00FF435D">
              <w:rPr>
                <w:rFonts w:ascii="Arial" w:eastAsia="Times New Roman" w:hAnsi="Arial" w:cs="Arial"/>
                <w:sz w:val="22"/>
                <w:szCs w:val="22"/>
                <w:lang w:eastAsia="es-CO"/>
              </w:rPr>
              <w:t xml:space="preserve"> como el último año de vida, para algunas condiciones son los últimos meses o años </w:t>
            </w:r>
          </w:p>
        </w:tc>
        <w:tc>
          <w:tcPr>
            <w:tcW w:w="3090" w:type="dxa"/>
            <w:tcBorders>
              <w:top w:val="single" w:sz="6" w:space="0" w:color="000000"/>
              <w:left w:val="single" w:sz="6" w:space="0" w:color="000000"/>
              <w:bottom w:val="single" w:sz="6" w:space="0" w:color="000000"/>
              <w:right w:val="single" w:sz="6" w:space="0" w:color="000000"/>
            </w:tcBorders>
            <w:shd w:val="clear" w:color="auto" w:fill="auto"/>
            <w:hideMark/>
          </w:tcPr>
          <w:p w14:paraId="06319778"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eastAsia="es-CO"/>
              </w:rPr>
            </w:pPr>
            <w:r w:rsidRPr="00FF435D">
              <w:rPr>
                <w:rFonts w:ascii="Arial" w:eastAsia="Times New Roman" w:hAnsi="Arial" w:cs="Arial"/>
                <w:sz w:val="22"/>
                <w:szCs w:val="22"/>
                <w:lang w:eastAsia="es-CO"/>
              </w:rPr>
              <w:t> </w:t>
            </w:r>
          </w:p>
          <w:p w14:paraId="378C9011"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val="en-US" w:eastAsia="es-CO"/>
              </w:rPr>
            </w:pPr>
            <w:r w:rsidRPr="00FF435D">
              <w:rPr>
                <w:rFonts w:ascii="Arial" w:eastAsia="Times New Roman" w:hAnsi="Arial" w:cs="Arial"/>
                <w:sz w:val="22"/>
                <w:szCs w:val="22"/>
                <w:lang w:val="en-US" w:eastAsia="es-CO"/>
              </w:rPr>
              <w:t>Gold Standards Framework,  Amber </w:t>
            </w:r>
          </w:p>
          <w:p w14:paraId="267F9BDE"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val="en-US" w:eastAsia="es-CO"/>
              </w:rPr>
            </w:pPr>
            <w:r w:rsidRPr="00FF435D">
              <w:rPr>
                <w:rFonts w:ascii="Arial" w:eastAsia="Times New Roman" w:hAnsi="Arial" w:cs="Arial"/>
                <w:sz w:val="22"/>
                <w:szCs w:val="22"/>
                <w:lang w:val="en-US" w:eastAsia="es-CO"/>
              </w:rPr>
              <w:t xml:space="preserve">Care Bundle </w:t>
            </w:r>
            <w:proofErr w:type="spellStart"/>
            <w:r w:rsidRPr="00FF435D">
              <w:rPr>
                <w:rFonts w:ascii="Arial" w:eastAsia="Times New Roman" w:hAnsi="Arial" w:cs="Arial"/>
                <w:sz w:val="22"/>
                <w:szCs w:val="22"/>
                <w:lang w:val="en-US" w:eastAsia="es-CO"/>
              </w:rPr>
              <w:t>o</w:t>
            </w:r>
            <w:proofErr w:type="spellEnd"/>
            <w:r w:rsidRPr="00FF435D">
              <w:rPr>
                <w:rFonts w:ascii="Arial" w:eastAsia="Times New Roman" w:hAnsi="Arial" w:cs="Arial"/>
                <w:sz w:val="22"/>
                <w:szCs w:val="22"/>
                <w:lang w:val="en-US" w:eastAsia="es-CO"/>
              </w:rPr>
              <w:t xml:space="preserve"> el Supportive and Palliative Care Indicators Tool </w:t>
            </w:r>
          </w:p>
          <w:p w14:paraId="088B5643"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eastAsia="es-CO"/>
              </w:rPr>
            </w:pPr>
            <w:r w:rsidRPr="00FF435D">
              <w:rPr>
                <w:rFonts w:ascii="Arial" w:eastAsia="Times New Roman" w:hAnsi="Arial" w:cs="Arial"/>
                <w:sz w:val="22"/>
                <w:szCs w:val="22"/>
                <w:lang w:eastAsia="es-CO"/>
              </w:rPr>
              <w:t>[SPICT] </w:t>
            </w:r>
          </w:p>
        </w:tc>
        <w:tc>
          <w:tcPr>
            <w:tcW w:w="3960" w:type="dxa"/>
            <w:tcBorders>
              <w:top w:val="single" w:sz="6" w:space="0" w:color="000000"/>
              <w:left w:val="single" w:sz="6" w:space="0" w:color="000000"/>
              <w:bottom w:val="single" w:sz="6" w:space="0" w:color="000000"/>
              <w:right w:val="single" w:sz="6" w:space="0" w:color="000000"/>
            </w:tcBorders>
            <w:shd w:val="clear" w:color="auto" w:fill="auto"/>
            <w:hideMark/>
          </w:tcPr>
          <w:p w14:paraId="64790E2C"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eastAsia="es-CO"/>
              </w:rPr>
            </w:pPr>
            <w:r w:rsidRPr="00FF435D">
              <w:rPr>
                <w:rFonts w:ascii="Arial" w:eastAsia="Times New Roman" w:hAnsi="Arial" w:cs="Arial"/>
                <w:sz w:val="22"/>
                <w:szCs w:val="22"/>
                <w:lang w:eastAsia="es-CO"/>
              </w:rPr>
              <w:t> </w:t>
            </w:r>
          </w:p>
          <w:p w14:paraId="132192EA"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eastAsia="es-CO"/>
              </w:rPr>
            </w:pPr>
            <w:r w:rsidRPr="00FF435D">
              <w:rPr>
                <w:rFonts w:ascii="Arial" w:eastAsia="Times New Roman" w:hAnsi="Arial" w:cs="Arial"/>
                <w:sz w:val="22"/>
                <w:szCs w:val="22"/>
                <w:lang w:eastAsia="es-CO"/>
              </w:rPr>
              <w:t xml:space="preserve">Los responsables de gestionar y prestar servicios deben desarrollar sistemas para identificar a adultos que probablemente se encuentren en la fase final de la vida (por ejemplo, utilizando herramientas como el Gold </w:t>
            </w:r>
            <w:proofErr w:type="spellStart"/>
            <w:r w:rsidRPr="00FF435D">
              <w:rPr>
                <w:rFonts w:ascii="Arial" w:eastAsia="Times New Roman" w:hAnsi="Arial" w:cs="Arial"/>
                <w:sz w:val="22"/>
                <w:szCs w:val="22"/>
                <w:lang w:eastAsia="es-CO"/>
              </w:rPr>
              <w:t>Standards</w:t>
            </w:r>
            <w:proofErr w:type="spellEnd"/>
            <w:r w:rsidRPr="00FF435D">
              <w:rPr>
                <w:rFonts w:ascii="Arial" w:eastAsia="Times New Roman" w:hAnsi="Arial" w:cs="Arial"/>
                <w:sz w:val="22"/>
                <w:szCs w:val="22"/>
                <w:lang w:eastAsia="es-CO"/>
              </w:rPr>
              <w:t xml:space="preserve"> Framework, el </w:t>
            </w:r>
            <w:proofErr w:type="spellStart"/>
            <w:r w:rsidRPr="00FF435D">
              <w:rPr>
                <w:rFonts w:ascii="Arial" w:eastAsia="Times New Roman" w:hAnsi="Arial" w:cs="Arial"/>
                <w:sz w:val="22"/>
                <w:szCs w:val="22"/>
                <w:lang w:eastAsia="es-CO"/>
              </w:rPr>
              <w:t>Amber</w:t>
            </w:r>
            <w:proofErr w:type="spellEnd"/>
            <w:r w:rsidRPr="00FF435D">
              <w:rPr>
                <w:rFonts w:ascii="Arial" w:eastAsia="Times New Roman" w:hAnsi="Arial" w:cs="Arial"/>
                <w:sz w:val="22"/>
                <w:szCs w:val="22"/>
                <w:lang w:eastAsia="es-CO"/>
              </w:rPr>
              <w:t xml:space="preserve"> </w:t>
            </w:r>
            <w:proofErr w:type="spellStart"/>
            <w:r w:rsidRPr="00FF435D">
              <w:rPr>
                <w:rFonts w:ascii="Arial" w:eastAsia="Times New Roman" w:hAnsi="Arial" w:cs="Arial"/>
                <w:sz w:val="22"/>
                <w:szCs w:val="22"/>
                <w:lang w:eastAsia="es-CO"/>
              </w:rPr>
              <w:t>Care</w:t>
            </w:r>
            <w:proofErr w:type="spellEnd"/>
            <w:r w:rsidRPr="00FF435D">
              <w:rPr>
                <w:rFonts w:ascii="Arial" w:eastAsia="Times New Roman" w:hAnsi="Arial" w:cs="Arial"/>
                <w:sz w:val="22"/>
                <w:szCs w:val="22"/>
                <w:lang w:eastAsia="es-CO"/>
              </w:rPr>
              <w:t xml:space="preserve"> </w:t>
            </w:r>
            <w:proofErr w:type="spellStart"/>
            <w:r w:rsidRPr="00FF435D">
              <w:rPr>
                <w:rFonts w:ascii="Arial" w:eastAsia="Times New Roman" w:hAnsi="Arial" w:cs="Arial"/>
                <w:sz w:val="22"/>
                <w:szCs w:val="22"/>
                <w:lang w:eastAsia="es-CO"/>
              </w:rPr>
              <w:t>Bundle</w:t>
            </w:r>
            <w:proofErr w:type="spellEnd"/>
            <w:r w:rsidRPr="00FF435D">
              <w:rPr>
                <w:rFonts w:ascii="Arial" w:eastAsia="Times New Roman" w:hAnsi="Arial" w:cs="Arial"/>
                <w:sz w:val="22"/>
                <w:szCs w:val="22"/>
                <w:lang w:eastAsia="es-CO"/>
              </w:rPr>
              <w:t xml:space="preserve"> o el </w:t>
            </w:r>
            <w:proofErr w:type="spellStart"/>
            <w:r w:rsidRPr="00FF435D">
              <w:rPr>
                <w:rFonts w:ascii="Arial" w:eastAsia="Times New Roman" w:hAnsi="Arial" w:cs="Arial"/>
                <w:sz w:val="22"/>
                <w:szCs w:val="22"/>
                <w:lang w:eastAsia="es-CO"/>
              </w:rPr>
              <w:t>Supportive</w:t>
            </w:r>
            <w:proofErr w:type="spellEnd"/>
            <w:r w:rsidRPr="00FF435D">
              <w:rPr>
                <w:rFonts w:ascii="Arial" w:eastAsia="Times New Roman" w:hAnsi="Arial" w:cs="Arial"/>
                <w:sz w:val="22"/>
                <w:szCs w:val="22"/>
                <w:lang w:eastAsia="es-CO"/>
              </w:rPr>
              <w:t xml:space="preserve"> and </w:t>
            </w:r>
            <w:proofErr w:type="spellStart"/>
            <w:r w:rsidRPr="00FF435D">
              <w:rPr>
                <w:rFonts w:ascii="Arial" w:eastAsia="Times New Roman" w:hAnsi="Arial" w:cs="Arial"/>
                <w:sz w:val="22"/>
                <w:szCs w:val="22"/>
                <w:lang w:eastAsia="es-CO"/>
              </w:rPr>
              <w:t>Palliative</w:t>
            </w:r>
            <w:proofErr w:type="spellEnd"/>
            <w:r w:rsidRPr="00FF435D">
              <w:rPr>
                <w:rFonts w:ascii="Arial" w:eastAsia="Times New Roman" w:hAnsi="Arial" w:cs="Arial"/>
                <w:sz w:val="22"/>
                <w:szCs w:val="22"/>
                <w:lang w:eastAsia="es-CO"/>
              </w:rPr>
              <w:t xml:space="preserve"> </w:t>
            </w:r>
            <w:proofErr w:type="spellStart"/>
            <w:r w:rsidRPr="00FF435D">
              <w:rPr>
                <w:rFonts w:ascii="Arial" w:eastAsia="Times New Roman" w:hAnsi="Arial" w:cs="Arial"/>
                <w:sz w:val="22"/>
                <w:szCs w:val="22"/>
                <w:lang w:eastAsia="es-CO"/>
              </w:rPr>
              <w:t>Care</w:t>
            </w:r>
            <w:proofErr w:type="spellEnd"/>
            <w:r w:rsidRPr="00FF435D">
              <w:rPr>
                <w:rFonts w:ascii="Arial" w:eastAsia="Times New Roman" w:hAnsi="Arial" w:cs="Arial"/>
                <w:sz w:val="22"/>
                <w:szCs w:val="22"/>
                <w:lang w:eastAsia="es-CO"/>
              </w:rPr>
              <w:t xml:space="preserve"> </w:t>
            </w:r>
            <w:proofErr w:type="spellStart"/>
            <w:r w:rsidRPr="00FF435D">
              <w:rPr>
                <w:rFonts w:ascii="Arial" w:eastAsia="Times New Roman" w:hAnsi="Arial" w:cs="Arial"/>
                <w:sz w:val="22"/>
                <w:szCs w:val="22"/>
                <w:lang w:eastAsia="es-CO"/>
              </w:rPr>
              <w:t>Indicators</w:t>
            </w:r>
            <w:proofErr w:type="spellEnd"/>
            <w:r w:rsidRPr="00FF435D">
              <w:rPr>
                <w:rFonts w:ascii="Arial" w:eastAsia="Times New Roman" w:hAnsi="Arial" w:cs="Arial"/>
                <w:sz w:val="22"/>
                <w:szCs w:val="22"/>
                <w:lang w:eastAsia="es-CO"/>
              </w:rPr>
              <w:t xml:space="preserve"> </w:t>
            </w:r>
            <w:proofErr w:type="spellStart"/>
            <w:r w:rsidRPr="00FF435D">
              <w:rPr>
                <w:rFonts w:ascii="Arial" w:eastAsia="Times New Roman" w:hAnsi="Arial" w:cs="Arial"/>
                <w:sz w:val="22"/>
                <w:szCs w:val="22"/>
                <w:lang w:eastAsia="es-CO"/>
              </w:rPr>
              <w:t>Tool</w:t>
            </w:r>
            <w:proofErr w:type="spellEnd"/>
            <w:r w:rsidRPr="00FF435D">
              <w:rPr>
                <w:rFonts w:ascii="Arial" w:eastAsia="Times New Roman" w:hAnsi="Arial" w:cs="Arial"/>
                <w:sz w:val="22"/>
                <w:szCs w:val="22"/>
                <w:lang w:eastAsia="es-CO"/>
              </w:rPr>
              <w:t xml:space="preserve"> [SPICT]). (7) Sin grado de recomendación  </w:t>
            </w:r>
          </w:p>
          <w:p w14:paraId="0A0DE830" w14:textId="77777777" w:rsidR="00FF435D" w:rsidRPr="00FF435D" w:rsidRDefault="00FF435D" w:rsidP="00FF435D">
            <w:pPr>
              <w:spacing w:after="0" w:line="240" w:lineRule="auto"/>
              <w:textAlignment w:val="baseline"/>
              <w:rPr>
                <w:rFonts w:ascii="Segoe UI" w:eastAsia="Times New Roman" w:hAnsi="Segoe UI" w:cs="Segoe UI"/>
                <w:sz w:val="18"/>
                <w:szCs w:val="18"/>
                <w:lang w:eastAsia="es-CO"/>
              </w:rPr>
            </w:pPr>
            <w:r w:rsidRPr="00FF435D">
              <w:rPr>
                <w:rFonts w:ascii="Arial" w:eastAsia="Times New Roman" w:hAnsi="Arial" w:cs="Arial"/>
                <w:sz w:val="22"/>
                <w:szCs w:val="22"/>
                <w:lang w:eastAsia="es-CO"/>
              </w:rPr>
              <w:t> </w:t>
            </w:r>
          </w:p>
        </w:tc>
      </w:tr>
      <w:tr w:rsidR="00FF435D" w:rsidRPr="00FF435D" w14:paraId="589871B5" w14:textId="77777777" w:rsidTr="00FF435D">
        <w:trPr>
          <w:trHeight w:val="300"/>
        </w:trPr>
        <w:tc>
          <w:tcPr>
            <w:tcW w:w="1710" w:type="dxa"/>
            <w:tcBorders>
              <w:top w:val="single" w:sz="6" w:space="0" w:color="000000"/>
              <w:left w:val="single" w:sz="6" w:space="0" w:color="000000"/>
              <w:bottom w:val="single" w:sz="6" w:space="0" w:color="000000"/>
              <w:right w:val="single" w:sz="6" w:space="0" w:color="000000"/>
            </w:tcBorders>
            <w:shd w:val="clear" w:color="auto" w:fill="auto"/>
            <w:hideMark/>
          </w:tcPr>
          <w:p w14:paraId="26F918BC"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val="en-US" w:eastAsia="es-CO"/>
              </w:rPr>
            </w:pPr>
            <w:r w:rsidRPr="00FF435D">
              <w:rPr>
                <w:rFonts w:ascii="Arial" w:eastAsia="Times New Roman" w:hAnsi="Arial" w:cs="Arial"/>
                <w:sz w:val="22"/>
                <w:szCs w:val="22"/>
                <w:lang w:val="en-US" w:eastAsia="es-CO"/>
              </w:rPr>
              <w:t> </w:t>
            </w:r>
          </w:p>
          <w:p w14:paraId="3D369992"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val="en-US" w:eastAsia="es-CO"/>
              </w:rPr>
            </w:pPr>
            <w:r w:rsidRPr="00FF435D">
              <w:rPr>
                <w:rFonts w:ascii="Arial" w:eastAsia="Times New Roman" w:hAnsi="Arial" w:cs="Arial"/>
                <w:sz w:val="22"/>
                <w:szCs w:val="22"/>
                <w:lang w:val="en-US" w:eastAsia="es-CO"/>
              </w:rPr>
              <w:t> </w:t>
            </w:r>
          </w:p>
          <w:p w14:paraId="72AE557F"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val="en-US" w:eastAsia="es-CO"/>
              </w:rPr>
            </w:pPr>
            <w:r w:rsidRPr="00FF435D">
              <w:rPr>
                <w:rFonts w:ascii="Arial" w:eastAsia="Times New Roman" w:hAnsi="Arial" w:cs="Arial"/>
                <w:sz w:val="22"/>
                <w:szCs w:val="22"/>
                <w:lang w:val="en-US" w:eastAsia="es-CO"/>
              </w:rPr>
              <w:t xml:space="preserve">Prognostic evaluation in patients with advanced cancer in the last months </w:t>
            </w:r>
            <w:r w:rsidRPr="00FF435D">
              <w:rPr>
                <w:rFonts w:ascii="Arial" w:eastAsia="Times New Roman" w:hAnsi="Arial" w:cs="Arial"/>
                <w:sz w:val="22"/>
                <w:szCs w:val="22"/>
                <w:lang w:val="en-US" w:eastAsia="es-CO"/>
              </w:rPr>
              <w:lastRenderedPageBreak/>
              <w:t>of life: ESMO Clinical Practice Guideline (2021) Europa </w:t>
            </w:r>
          </w:p>
        </w:tc>
        <w:tc>
          <w:tcPr>
            <w:tcW w:w="2250" w:type="dxa"/>
            <w:tcBorders>
              <w:top w:val="single" w:sz="6" w:space="0" w:color="000000"/>
              <w:left w:val="single" w:sz="6" w:space="0" w:color="000000"/>
              <w:bottom w:val="single" w:sz="6" w:space="0" w:color="000000"/>
              <w:right w:val="single" w:sz="6" w:space="0" w:color="000000"/>
            </w:tcBorders>
            <w:shd w:val="clear" w:color="auto" w:fill="auto"/>
            <w:hideMark/>
          </w:tcPr>
          <w:p w14:paraId="2512D2B6"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val="en-US" w:eastAsia="es-CO"/>
              </w:rPr>
            </w:pPr>
            <w:r w:rsidRPr="00FF435D">
              <w:rPr>
                <w:rFonts w:ascii="Arial" w:eastAsia="Times New Roman" w:hAnsi="Arial" w:cs="Arial"/>
                <w:sz w:val="22"/>
                <w:szCs w:val="22"/>
                <w:lang w:val="en-US" w:eastAsia="es-CO"/>
              </w:rPr>
              <w:lastRenderedPageBreak/>
              <w:t> </w:t>
            </w:r>
          </w:p>
          <w:p w14:paraId="5E2A6768"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val="en-US" w:eastAsia="es-CO"/>
              </w:rPr>
            </w:pPr>
            <w:r w:rsidRPr="00FF435D">
              <w:rPr>
                <w:rFonts w:ascii="Arial" w:eastAsia="Times New Roman" w:hAnsi="Arial" w:cs="Arial"/>
                <w:sz w:val="22"/>
                <w:szCs w:val="22"/>
                <w:lang w:val="en-US" w:eastAsia="es-CO"/>
              </w:rPr>
              <w:t> </w:t>
            </w:r>
          </w:p>
          <w:p w14:paraId="1BCDF213"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eastAsia="es-CO"/>
              </w:rPr>
            </w:pPr>
            <w:r w:rsidRPr="00FF435D">
              <w:rPr>
                <w:rFonts w:ascii="Arial" w:eastAsia="Times New Roman" w:hAnsi="Arial" w:cs="Arial"/>
                <w:sz w:val="22"/>
                <w:szCs w:val="22"/>
                <w:lang w:eastAsia="es-CO"/>
              </w:rPr>
              <w:t>Pacientes con cáncer avanzado incurable con expectativa de vida  de pocos meses o menos </w:t>
            </w:r>
          </w:p>
        </w:tc>
        <w:tc>
          <w:tcPr>
            <w:tcW w:w="2025" w:type="dxa"/>
            <w:tcBorders>
              <w:top w:val="single" w:sz="6" w:space="0" w:color="000000"/>
              <w:left w:val="single" w:sz="6" w:space="0" w:color="000000"/>
              <w:bottom w:val="single" w:sz="6" w:space="0" w:color="000000"/>
              <w:right w:val="single" w:sz="6" w:space="0" w:color="000000"/>
            </w:tcBorders>
            <w:shd w:val="clear" w:color="auto" w:fill="auto"/>
            <w:hideMark/>
          </w:tcPr>
          <w:p w14:paraId="46CC8EF4"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eastAsia="es-CO"/>
              </w:rPr>
            </w:pPr>
            <w:r w:rsidRPr="00FF435D">
              <w:rPr>
                <w:rFonts w:ascii="Arial" w:eastAsia="Times New Roman" w:hAnsi="Arial" w:cs="Arial"/>
                <w:sz w:val="22"/>
                <w:szCs w:val="22"/>
                <w:lang w:eastAsia="es-CO"/>
              </w:rPr>
              <w:t> </w:t>
            </w:r>
          </w:p>
          <w:p w14:paraId="30950E7E"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eastAsia="es-CO"/>
              </w:rPr>
            </w:pPr>
            <w:r w:rsidRPr="00FF435D">
              <w:rPr>
                <w:rFonts w:ascii="Arial" w:eastAsia="Times New Roman" w:hAnsi="Arial" w:cs="Arial"/>
                <w:sz w:val="22"/>
                <w:szCs w:val="22"/>
                <w:lang w:eastAsia="es-CO"/>
              </w:rPr>
              <w:t> </w:t>
            </w:r>
          </w:p>
          <w:p w14:paraId="6159C82B"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eastAsia="es-CO"/>
              </w:rPr>
            </w:pPr>
            <w:r w:rsidRPr="00FF435D">
              <w:rPr>
                <w:rFonts w:ascii="Arial" w:eastAsia="Times New Roman" w:hAnsi="Arial" w:cs="Arial"/>
                <w:sz w:val="22"/>
                <w:szCs w:val="22"/>
                <w:lang w:eastAsia="es-CO"/>
              </w:rPr>
              <w:t xml:space="preserve">Paciente con </w:t>
            </w:r>
            <w:proofErr w:type="spellStart"/>
            <w:r w:rsidRPr="00FF435D">
              <w:rPr>
                <w:rFonts w:ascii="Arial" w:eastAsia="Times New Roman" w:hAnsi="Arial" w:cs="Arial"/>
                <w:sz w:val="22"/>
                <w:szCs w:val="22"/>
                <w:lang w:eastAsia="es-CO"/>
              </w:rPr>
              <w:t>pronosticos</w:t>
            </w:r>
            <w:proofErr w:type="spellEnd"/>
            <w:r w:rsidRPr="00FF435D">
              <w:rPr>
                <w:rFonts w:ascii="Arial" w:eastAsia="Times New Roman" w:hAnsi="Arial" w:cs="Arial"/>
                <w:sz w:val="22"/>
                <w:szCs w:val="22"/>
                <w:lang w:eastAsia="es-CO"/>
              </w:rPr>
              <w:t xml:space="preserve"> de pocos meses de vida o menos </w:t>
            </w:r>
          </w:p>
        </w:tc>
        <w:tc>
          <w:tcPr>
            <w:tcW w:w="3090" w:type="dxa"/>
            <w:tcBorders>
              <w:top w:val="single" w:sz="6" w:space="0" w:color="000000"/>
              <w:left w:val="single" w:sz="6" w:space="0" w:color="000000"/>
              <w:bottom w:val="single" w:sz="6" w:space="0" w:color="000000"/>
              <w:right w:val="single" w:sz="6" w:space="0" w:color="000000"/>
            </w:tcBorders>
            <w:shd w:val="clear" w:color="auto" w:fill="auto"/>
            <w:hideMark/>
          </w:tcPr>
          <w:p w14:paraId="4C611600"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eastAsia="es-CO"/>
              </w:rPr>
            </w:pPr>
            <w:r w:rsidRPr="00FF435D">
              <w:rPr>
                <w:rFonts w:ascii="Arial" w:eastAsia="Times New Roman" w:hAnsi="Arial" w:cs="Arial"/>
                <w:sz w:val="22"/>
                <w:szCs w:val="22"/>
                <w:lang w:eastAsia="es-CO"/>
              </w:rPr>
              <w:t> </w:t>
            </w:r>
          </w:p>
          <w:p w14:paraId="4395EBEB"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eastAsia="es-CO"/>
              </w:rPr>
            </w:pPr>
            <w:r w:rsidRPr="00FF435D">
              <w:rPr>
                <w:rFonts w:ascii="Arial" w:eastAsia="Times New Roman" w:hAnsi="Arial" w:cs="Arial"/>
                <w:sz w:val="22"/>
                <w:szCs w:val="22"/>
                <w:lang w:eastAsia="es-CO"/>
              </w:rPr>
              <w:t> </w:t>
            </w:r>
          </w:p>
          <w:p w14:paraId="6988821E"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eastAsia="es-CO"/>
              </w:rPr>
            </w:pPr>
            <w:r w:rsidRPr="00FF435D">
              <w:rPr>
                <w:rFonts w:ascii="Arial" w:eastAsia="Times New Roman" w:hAnsi="Arial" w:cs="Arial"/>
                <w:sz w:val="22"/>
                <w:szCs w:val="22"/>
                <w:lang w:eastAsia="es-CO"/>
              </w:rPr>
              <w:t xml:space="preserve">Expectativa de meses y recibiendo terapia oncológica: medida clínica, factores pronósticos (ECOG, </w:t>
            </w:r>
            <w:proofErr w:type="spellStart"/>
            <w:r w:rsidRPr="00FF435D">
              <w:rPr>
                <w:rFonts w:ascii="Arial" w:eastAsia="Times New Roman" w:hAnsi="Arial" w:cs="Arial"/>
                <w:sz w:val="22"/>
                <w:szCs w:val="22"/>
                <w:lang w:eastAsia="es-CO"/>
              </w:rPr>
              <w:t>mGPS</w:t>
            </w:r>
            <w:proofErr w:type="spellEnd"/>
            <w:r w:rsidRPr="00FF435D">
              <w:rPr>
                <w:rFonts w:ascii="Arial" w:eastAsia="Times New Roman" w:hAnsi="Arial" w:cs="Arial"/>
                <w:sz w:val="22"/>
                <w:szCs w:val="22"/>
                <w:lang w:eastAsia="es-CO"/>
              </w:rPr>
              <w:t xml:space="preserve">), </w:t>
            </w:r>
            <w:r w:rsidRPr="00FF435D">
              <w:rPr>
                <w:rFonts w:ascii="Arial" w:eastAsia="Times New Roman" w:hAnsi="Arial" w:cs="Arial"/>
                <w:sz w:val="22"/>
                <w:szCs w:val="22"/>
                <w:lang w:eastAsia="es-CO"/>
              </w:rPr>
              <w:lastRenderedPageBreak/>
              <w:t xml:space="preserve">opcionalmente modelos pronósticos </w:t>
            </w:r>
            <w:proofErr w:type="spellStart"/>
            <w:r w:rsidRPr="00FF435D">
              <w:rPr>
                <w:rFonts w:ascii="Arial" w:eastAsia="Times New Roman" w:hAnsi="Arial" w:cs="Arial"/>
                <w:sz w:val="22"/>
                <w:szCs w:val="22"/>
                <w:lang w:eastAsia="es-CO"/>
              </w:rPr>
              <w:t>multivariables</w:t>
            </w:r>
            <w:proofErr w:type="spellEnd"/>
            <w:r w:rsidRPr="00FF435D">
              <w:rPr>
                <w:rFonts w:ascii="Arial" w:eastAsia="Times New Roman" w:hAnsi="Arial" w:cs="Arial"/>
                <w:sz w:val="22"/>
                <w:szCs w:val="22"/>
                <w:lang w:eastAsia="es-CO"/>
              </w:rPr>
              <w:t> </w:t>
            </w:r>
          </w:p>
          <w:p w14:paraId="34F49A62"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eastAsia="es-CO"/>
              </w:rPr>
            </w:pPr>
            <w:r w:rsidRPr="00FF435D">
              <w:rPr>
                <w:rFonts w:ascii="Arial" w:eastAsia="Times New Roman" w:hAnsi="Arial" w:cs="Arial"/>
                <w:sz w:val="22"/>
                <w:szCs w:val="22"/>
                <w:lang w:eastAsia="es-CO"/>
              </w:rPr>
              <w:t>  </w:t>
            </w:r>
          </w:p>
          <w:p w14:paraId="26D36125"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eastAsia="es-CO"/>
              </w:rPr>
            </w:pPr>
            <w:r w:rsidRPr="00FF435D">
              <w:rPr>
                <w:rFonts w:ascii="Arial" w:eastAsia="Times New Roman" w:hAnsi="Arial" w:cs="Arial"/>
                <w:sz w:val="22"/>
                <w:szCs w:val="22"/>
                <w:lang w:eastAsia="es-CO"/>
              </w:rPr>
              <w:t xml:space="preserve">Pronóstico de semanas a meses, sin terapia oncológica: medida clínica, factores pronósticos (ECOG, PPS), modelos pronósticos </w:t>
            </w:r>
            <w:proofErr w:type="spellStart"/>
            <w:r w:rsidRPr="00FF435D">
              <w:rPr>
                <w:rFonts w:ascii="Arial" w:eastAsia="Times New Roman" w:hAnsi="Arial" w:cs="Arial"/>
                <w:sz w:val="22"/>
                <w:szCs w:val="22"/>
                <w:lang w:eastAsia="es-CO"/>
              </w:rPr>
              <w:t>multivariable</w:t>
            </w:r>
            <w:proofErr w:type="spellEnd"/>
            <w:r w:rsidRPr="00FF435D">
              <w:rPr>
                <w:rFonts w:ascii="Arial" w:eastAsia="Times New Roman" w:hAnsi="Arial" w:cs="Arial"/>
                <w:sz w:val="22"/>
                <w:szCs w:val="22"/>
                <w:lang w:eastAsia="es-CO"/>
              </w:rPr>
              <w:t xml:space="preserve"> (</w:t>
            </w:r>
            <w:proofErr w:type="spellStart"/>
            <w:r w:rsidRPr="00FF435D">
              <w:rPr>
                <w:rFonts w:ascii="Arial" w:eastAsia="Times New Roman" w:hAnsi="Arial" w:cs="Arial"/>
                <w:sz w:val="22"/>
                <w:szCs w:val="22"/>
                <w:lang w:eastAsia="es-CO"/>
              </w:rPr>
              <w:t>PaP</w:t>
            </w:r>
            <w:proofErr w:type="spellEnd"/>
            <w:r w:rsidRPr="00FF435D">
              <w:rPr>
                <w:rFonts w:ascii="Arial" w:eastAsia="Times New Roman" w:hAnsi="Arial" w:cs="Arial"/>
                <w:sz w:val="22"/>
                <w:szCs w:val="22"/>
                <w:lang w:eastAsia="es-CO"/>
              </w:rPr>
              <w:t xml:space="preserve">, </w:t>
            </w:r>
            <w:proofErr w:type="spellStart"/>
            <w:r w:rsidRPr="00FF435D">
              <w:rPr>
                <w:rFonts w:ascii="Arial" w:eastAsia="Times New Roman" w:hAnsi="Arial" w:cs="Arial"/>
                <w:sz w:val="22"/>
                <w:szCs w:val="22"/>
                <w:lang w:eastAsia="es-CO"/>
              </w:rPr>
              <w:t>PiPS</w:t>
            </w:r>
            <w:proofErr w:type="spellEnd"/>
            <w:r w:rsidRPr="00FF435D">
              <w:rPr>
                <w:rFonts w:ascii="Arial" w:eastAsia="Times New Roman" w:hAnsi="Arial" w:cs="Arial"/>
                <w:sz w:val="22"/>
                <w:szCs w:val="22"/>
                <w:lang w:eastAsia="es-CO"/>
              </w:rPr>
              <w:t>-B, PPI, FPN) </w:t>
            </w:r>
          </w:p>
          <w:p w14:paraId="16427D1E"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eastAsia="es-CO"/>
              </w:rPr>
            </w:pPr>
            <w:r w:rsidRPr="00FF435D">
              <w:rPr>
                <w:rFonts w:ascii="Arial" w:eastAsia="Times New Roman" w:hAnsi="Arial" w:cs="Arial"/>
                <w:sz w:val="22"/>
                <w:szCs w:val="22"/>
                <w:lang w:eastAsia="es-CO"/>
              </w:rPr>
              <w:t>  </w:t>
            </w:r>
          </w:p>
          <w:p w14:paraId="0FC6B5FA"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eastAsia="es-CO"/>
              </w:rPr>
            </w:pPr>
            <w:r w:rsidRPr="00FF435D">
              <w:rPr>
                <w:rFonts w:ascii="Arial" w:eastAsia="Times New Roman" w:hAnsi="Arial" w:cs="Arial"/>
                <w:sz w:val="22"/>
                <w:szCs w:val="22"/>
                <w:lang w:eastAsia="es-CO"/>
              </w:rPr>
              <w:t xml:space="preserve">Pronóstico de días y sin tratamiento </w:t>
            </w:r>
            <w:proofErr w:type="spellStart"/>
            <w:r w:rsidRPr="00FF435D">
              <w:rPr>
                <w:rFonts w:ascii="Arial" w:eastAsia="Times New Roman" w:hAnsi="Arial" w:cs="Arial"/>
                <w:sz w:val="22"/>
                <w:szCs w:val="22"/>
                <w:lang w:eastAsia="es-CO"/>
              </w:rPr>
              <w:t>oncoespecífico</w:t>
            </w:r>
            <w:proofErr w:type="spellEnd"/>
            <w:r w:rsidRPr="00FF435D">
              <w:rPr>
                <w:rFonts w:ascii="Arial" w:eastAsia="Times New Roman" w:hAnsi="Arial" w:cs="Arial"/>
                <w:sz w:val="22"/>
                <w:szCs w:val="22"/>
                <w:lang w:eastAsia="es-CO"/>
              </w:rPr>
              <w:t xml:space="preserve">: usar criterio clínico, considerar usar factores pronósticos (PPS, signos clínicos de muerte inminente), no usar modelos </w:t>
            </w:r>
            <w:proofErr w:type="spellStart"/>
            <w:r w:rsidRPr="00FF435D">
              <w:rPr>
                <w:rFonts w:ascii="Arial" w:eastAsia="Times New Roman" w:hAnsi="Arial" w:cs="Arial"/>
                <w:sz w:val="22"/>
                <w:szCs w:val="22"/>
                <w:lang w:eastAsia="es-CO"/>
              </w:rPr>
              <w:t>multivaruables</w:t>
            </w:r>
            <w:proofErr w:type="spellEnd"/>
            <w:r w:rsidRPr="00FF435D">
              <w:rPr>
                <w:rFonts w:ascii="Arial" w:eastAsia="Times New Roman" w:hAnsi="Arial" w:cs="Arial"/>
                <w:sz w:val="22"/>
                <w:szCs w:val="22"/>
                <w:lang w:eastAsia="es-CO"/>
              </w:rPr>
              <w:t xml:space="preserve"> sin acompañarse del criterio clínico </w:t>
            </w:r>
          </w:p>
        </w:tc>
        <w:tc>
          <w:tcPr>
            <w:tcW w:w="3960" w:type="dxa"/>
            <w:tcBorders>
              <w:top w:val="single" w:sz="6" w:space="0" w:color="000000"/>
              <w:left w:val="single" w:sz="6" w:space="0" w:color="000000"/>
              <w:bottom w:val="single" w:sz="6" w:space="0" w:color="000000"/>
              <w:right w:val="single" w:sz="6" w:space="0" w:color="000000"/>
            </w:tcBorders>
            <w:shd w:val="clear" w:color="auto" w:fill="auto"/>
            <w:hideMark/>
          </w:tcPr>
          <w:p w14:paraId="553FF5A3"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eastAsia="es-CO"/>
              </w:rPr>
            </w:pPr>
            <w:r w:rsidRPr="00FF435D">
              <w:rPr>
                <w:rFonts w:ascii="Arial" w:eastAsia="Times New Roman" w:hAnsi="Arial" w:cs="Arial"/>
                <w:sz w:val="22"/>
                <w:szCs w:val="22"/>
                <w:lang w:eastAsia="es-CO"/>
              </w:rPr>
              <w:lastRenderedPageBreak/>
              <w:t> </w:t>
            </w:r>
          </w:p>
          <w:p w14:paraId="11BF4270"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eastAsia="es-CO"/>
              </w:rPr>
            </w:pPr>
            <w:r w:rsidRPr="00FF435D">
              <w:rPr>
                <w:rFonts w:ascii="Arial" w:eastAsia="Times New Roman" w:hAnsi="Arial" w:cs="Arial"/>
                <w:sz w:val="22"/>
                <w:szCs w:val="22"/>
                <w:lang w:eastAsia="es-CO"/>
              </w:rPr>
              <w:t> </w:t>
            </w:r>
          </w:p>
          <w:p w14:paraId="71647C74"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eastAsia="es-CO"/>
              </w:rPr>
            </w:pPr>
            <w:r w:rsidRPr="00FF435D">
              <w:rPr>
                <w:rFonts w:ascii="Arial" w:eastAsia="Times New Roman" w:hAnsi="Arial" w:cs="Arial"/>
                <w:sz w:val="22"/>
                <w:szCs w:val="22"/>
                <w:lang w:eastAsia="es-CO"/>
              </w:rPr>
              <w:t xml:space="preserve">Los médicos deben utilizar su experiencia para predecir la supervivencia de pacientes con cáncer avanzado incurable (es decir, con un pronóstico de unos pocos meses o </w:t>
            </w:r>
            <w:r w:rsidRPr="00FF435D">
              <w:rPr>
                <w:rFonts w:ascii="Arial" w:eastAsia="Times New Roman" w:hAnsi="Arial" w:cs="Arial"/>
                <w:sz w:val="22"/>
                <w:szCs w:val="22"/>
                <w:lang w:eastAsia="es-CO"/>
              </w:rPr>
              <w:lastRenderedPageBreak/>
              <w:t>menos), pero deben ser conscientes de sus limitaciones y comprender que, en general, existe una tendencia a sobreestimar la supervivencia [III, A].(18)  </w:t>
            </w:r>
          </w:p>
          <w:p w14:paraId="37077011"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eastAsia="es-CO"/>
              </w:rPr>
            </w:pPr>
            <w:r w:rsidRPr="00FF435D">
              <w:rPr>
                <w:rFonts w:ascii="Arial" w:eastAsia="Times New Roman" w:hAnsi="Arial" w:cs="Arial"/>
                <w:sz w:val="22"/>
                <w:szCs w:val="22"/>
                <w:lang w:eastAsia="es-CO"/>
              </w:rPr>
              <w:t>  </w:t>
            </w:r>
          </w:p>
          <w:p w14:paraId="336314D1"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eastAsia="es-CO"/>
              </w:rPr>
            </w:pPr>
            <w:r w:rsidRPr="00FF435D">
              <w:rPr>
                <w:rFonts w:ascii="Arial" w:eastAsia="Times New Roman" w:hAnsi="Arial" w:cs="Arial"/>
                <w:sz w:val="22"/>
                <w:szCs w:val="22"/>
                <w:lang w:eastAsia="es-CO"/>
              </w:rPr>
              <w:t>Los médicos deben utilizar el estado de desempeño (PS) y/o medidas de la respuesta inflamatoria sistémica como factores pronósticos para discriminar entre grupos de pacientes con cáncer avanzado y diferentes perspectivas de supervivencia [III, A] </w:t>
            </w:r>
          </w:p>
          <w:p w14:paraId="7B226B31"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eastAsia="es-CO"/>
              </w:rPr>
            </w:pPr>
            <w:r w:rsidRPr="00FF435D">
              <w:rPr>
                <w:rFonts w:ascii="Arial" w:eastAsia="Times New Roman" w:hAnsi="Arial" w:cs="Arial"/>
                <w:sz w:val="22"/>
                <w:szCs w:val="22"/>
                <w:lang w:eastAsia="es-CO"/>
              </w:rPr>
              <w:t>  </w:t>
            </w:r>
          </w:p>
          <w:p w14:paraId="72772BC3"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eastAsia="es-CO"/>
              </w:rPr>
            </w:pPr>
            <w:r w:rsidRPr="00FF435D">
              <w:rPr>
                <w:rFonts w:ascii="Arial" w:eastAsia="Times New Roman" w:hAnsi="Arial" w:cs="Arial"/>
                <w:sz w:val="22"/>
                <w:szCs w:val="22"/>
                <w:lang w:eastAsia="es-CO"/>
              </w:rPr>
              <w:t>Los médicos deben utilizar la Escala de Desempeño Paliativo (PPS) u otras medidas de PS como factor pronóstico para distinguir entre pacientes con cáncer avanzado y una expectativa de supervivencia de semanas a meses, con diferentes perspectivas de supervivencia [III, A] </w:t>
            </w:r>
          </w:p>
          <w:p w14:paraId="60D6C682"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eastAsia="es-CO"/>
              </w:rPr>
            </w:pPr>
            <w:r w:rsidRPr="00FF435D">
              <w:rPr>
                <w:rFonts w:ascii="Arial" w:eastAsia="Times New Roman" w:hAnsi="Arial" w:cs="Arial"/>
                <w:sz w:val="22"/>
                <w:szCs w:val="22"/>
                <w:lang w:eastAsia="es-CO"/>
              </w:rPr>
              <w:t>  </w:t>
            </w:r>
          </w:p>
          <w:p w14:paraId="2A8A4E02"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eastAsia="es-CO"/>
              </w:rPr>
            </w:pPr>
            <w:r w:rsidRPr="00FF435D">
              <w:rPr>
                <w:rFonts w:ascii="Arial" w:eastAsia="Times New Roman" w:hAnsi="Arial" w:cs="Arial"/>
                <w:sz w:val="22"/>
                <w:szCs w:val="22"/>
                <w:lang w:eastAsia="es-CO"/>
              </w:rPr>
              <w:t>Las predicciones clínicas deben utilizarse para identificar pacientes en los que la muerte es inminente [III, B] </w:t>
            </w:r>
          </w:p>
          <w:p w14:paraId="16DF61F8"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eastAsia="es-CO"/>
              </w:rPr>
            </w:pPr>
            <w:r w:rsidRPr="00FF435D">
              <w:rPr>
                <w:rFonts w:ascii="Arial" w:eastAsia="Times New Roman" w:hAnsi="Arial" w:cs="Arial"/>
                <w:sz w:val="22"/>
                <w:szCs w:val="22"/>
                <w:lang w:eastAsia="es-CO"/>
              </w:rPr>
              <w:t>  </w:t>
            </w:r>
          </w:p>
          <w:p w14:paraId="12BE2643"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eastAsia="es-CO"/>
              </w:rPr>
            </w:pPr>
            <w:r w:rsidRPr="00FF435D">
              <w:rPr>
                <w:rFonts w:ascii="Arial" w:eastAsia="Times New Roman" w:hAnsi="Arial" w:cs="Arial"/>
                <w:sz w:val="22"/>
                <w:szCs w:val="22"/>
                <w:lang w:eastAsia="es-CO"/>
              </w:rPr>
              <w:t xml:space="preserve">Los signos tardíos de muerte inminente (por ejemplo, pulso radial ausente, hiperextensión del cuello, respiración con movimiento mandibular, estertores de muerte, caída del pliegue </w:t>
            </w:r>
            <w:proofErr w:type="spellStart"/>
            <w:r w:rsidRPr="00FF435D">
              <w:rPr>
                <w:rFonts w:ascii="Arial" w:eastAsia="Times New Roman" w:hAnsi="Arial" w:cs="Arial"/>
                <w:sz w:val="22"/>
                <w:szCs w:val="22"/>
                <w:lang w:eastAsia="es-CO"/>
              </w:rPr>
              <w:t>nasolabial</w:t>
            </w:r>
            <w:proofErr w:type="spellEnd"/>
            <w:r w:rsidRPr="00FF435D">
              <w:rPr>
                <w:rFonts w:ascii="Arial" w:eastAsia="Times New Roman" w:hAnsi="Arial" w:cs="Arial"/>
                <w:sz w:val="22"/>
                <w:szCs w:val="22"/>
                <w:lang w:eastAsia="es-CO"/>
              </w:rPr>
              <w:t>) podrían considerarse para ayudar a identificar la muerte inminente dentro de los 3 días [III, B]. </w:t>
            </w:r>
          </w:p>
          <w:p w14:paraId="23CE908A"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eastAsia="es-CO"/>
              </w:rPr>
            </w:pPr>
            <w:r w:rsidRPr="00FF435D">
              <w:rPr>
                <w:rFonts w:ascii="Arial" w:eastAsia="Times New Roman" w:hAnsi="Arial" w:cs="Arial"/>
                <w:sz w:val="22"/>
                <w:szCs w:val="22"/>
                <w:lang w:eastAsia="es-CO"/>
              </w:rPr>
              <w:t>  </w:t>
            </w:r>
          </w:p>
          <w:p w14:paraId="468BBA73"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eastAsia="es-CO"/>
              </w:rPr>
            </w:pPr>
            <w:r w:rsidRPr="00FF435D">
              <w:rPr>
                <w:rFonts w:ascii="Arial" w:eastAsia="Times New Roman" w:hAnsi="Arial" w:cs="Arial"/>
                <w:sz w:val="22"/>
                <w:szCs w:val="22"/>
                <w:lang w:eastAsia="es-CO"/>
              </w:rPr>
              <w:lastRenderedPageBreak/>
              <w:t xml:space="preserve">El uso rutinario de herramientas </w:t>
            </w:r>
            <w:proofErr w:type="spellStart"/>
            <w:r w:rsidRPr="00FF435D">
              <w:rPr>
                <w:rFonts w:ascii="Arial" w:eastAsia="Times New Roman" w:hAnsi="Arial" w:cs="Arial"/>
                <w:sz w:val="22"/>
                <w:szCs w:val="22"/>
                <w:lang w:eastAsia="es-CO"/>
              </w:rPr>
              <w:t>pronósticas</w:t>
            </w:r>
            <w:proofErr w:type="spellEnd"/>
            <w:r w:rsidRPr="00FF435D">
              <w:rPr>
                <w:rFonts w:ascii="Arial" w:eastAsia="Times New Roman" w:hAnsi="Arial" w:cs="Arial"/>
                <w:sz w:val="22"/>
                <w:szCs w:val="22"/>
                <w:lang w:eastAsia="es-CO"/>
              </w:rPr>
              <w:t xml:space="preserve"> puede mejorar la precisión de las predicciones de los médicos [III, B] </w:t>
            </w:r>
          </w:p>
          <w:p w14:paraId="797CB015"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eastAsia="es-CO"/>
              </w:rPr>
            </w:pPr>
            <w:r w:rsidRPr="00FF435D">
              <w:rPr>
                <w:rFonts w:ascii="Arial" w:eastAsia="Times New Roman" w:hAnsi="Arial" w:cs="Arial"/>
                <w:sz w:val="22"/>
                <w:szCs w:val="22"/>
                <w:lang w:eastAsia="es-CO"/>
              </w:rPr>
              <w:t>  </w:t>
            </w:r>
          </w:p>
          <w:p w14:paraId="3F7BFB75"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eastAsia="es-CO"/>
              </w:rPr>
            </w:pPr>
            <w:r w:rsidRPr="00FF435D">
              <w:rPr>
                <w:rFonts w:ascii="Arial" w:eastAsia="Times New Roman" w:hAnsi="Arial" w:cs="Arial"/>
                <w:sz w:val="22"/>
                <w:szCs w:val="22"/>
                <w:lang w:eastAsia="es-CO"/>
              </w:rPr>
              <w:t>Se sugiere que los médicos utilicen estimaciones de supervivencia basadas en aportes de múltiples profesionales para complementar su propio juicio clínico [III, C] </w:t>
            </w:r>
          </w:p>
          <w:p w14:paraId="126A8BA7"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eastAsia="es-CO"/>
              </w:rPr>
            </w:pPr>
            <w:r w:rsidRPr="00FF435D">
              <w:rPr>
                <w:rFonts w:ascii="Arial" w:eastAsia="Times New Roman" w:hAnsi="Arial" w:cs="Arial"/>
                <w:sz w:val="22"/>
                <w:szCs w:val="22"/>
                <w:lang w:eastAsia="es-CO"/>
              </w:rPr>
              <w:t>  </w:t>
            </w:r>
          </w:p>
          <w:p w14:paraId="1C7C3879"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eastAsia="es-CO"/>
              </w:rPr>
            </w:pPr>
            <w:r w:rsidRPr="00FF435D">
              <w:rPr>
                <w:rFonts w:ascii="Arial" w:eastAsia="Times New Roman" w:hAnsi="Arial" w:cs="Arial"/>
                <w:sz w:val="22"/>
                <w:szCs w:val="22"/>
                <w:lang w:eastAsia="es-CO"/>
              </w:rPr>
              <w:t>Se sugiere que los médicos utilicen el PS y/o medidas de la respuesta inflamatoria sistémica para informar decisiones y discusiones sobre los objetivos de atención [V, C] </w:t>
            </w:r>
          </w:p>
          <w:p w14:paraId="648F3346"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eastAsia="es-CO"/>
              </w:rPr>
            </w:pPr>
            <w:r w:rsidRPr="00FF435D">
              <w:rPr>
                <w:rFonts w:ascii="Arial" w:eastAsia="Times New Roman" w:hAnsi="Arial" w:cs="Arial"/>
                <w:sz w:val="22"/>
                <w:szCs w:val="22"/>
                <w:lang w:eastAsia="es-CO"/>
              </w:rPr>
              <w:t>  </w:t>
            </w:r>
          </w:p>
          <w:p w14:paraId="64AF02E8"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eastAsia="es-CO"/>
              </w:rPr>
            </w:pPr>
            <w:r w:rsidRPr="00FF435D">
              <w:rPr>
                <w:rFonts w:ascii="Arial" w:eastAsia="Times New Roman" w:hAnsi="Arial" w:cs="Arial"/>
                <w:sz w:val="22"/>
                <w:szCs w:val="22"/>
                <w:lang w:eastAsia="es-CO"/>
              </w:rPr>
              <w:t xml:space="preserve">Opcionalmente, los médicos podrían considerar el uso de modelos </w:t>
            </w:r>
            <w:proofErr w:type="spellStart"/>
            <w:r w:rsidRPr="00FF435D">
              <w:rPr>
                <w:rFonts w:ascii="Arial" w:eastAsia="Times New Roman" w:hAnsi="Arial" w:cs="Arial"/>
                <w:sz w:val="22"/>
                <w:szCs w:val="22"/>
                <w:lang w:eastAsia="es-CO"/>
              </w:rPr>
              <w:t>multivariables</w:t>
            </w:r>
            <w:proofErr w:type="spellEnd"/>
            <w:r w:rsidRPr="00FF435D">
              <w:rPr>
                <w:rFonts w:ascii="Arial" w:eastAsia="Times New Roman" w:hAnsi="Arial" w:cs="Arial"/>
                <w:sz w:val="22"/>
                <w:szCs w:val="22"/>
                <w:lang w:eastAsia="es-CO"/>
              </w:rPr>
              <w:t xml:space="preserve"> de predicción de riesgo individual para discriminar entre pacientes con diferentes perspectivas de supervivencia [III, C] </w:t>
            </w:r>
          </w:p>
          <w:p w14:paraId="290F6F80"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eastAsia="es-CO"/>
              </w:rPr>
            </w:pPr>
            <w:r w:rsidRPr="00FF435D">
              <w:rPr>
                <w:rFonts w:ascii="Arial" w:eastAsia="Times New Roman" w:hAnsi="Arial" w:cs="Arial"/>
                <w:sz w:val="22"/>
                <w:szCs w:val="22"/>
                <w:lang w:eastAsia="es-CO"/>
              </w:rPr>
              <w:t>  </w:t>
            </w:r>
          </w:p>
          <w:p w14:paraId="50354695"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eastAsia="es-CO"/>
              </w:rPr>
            </w:pPr>
            <w:r w:rsidRPr="00FF435D">
              <w:rPr>
                <w:rFonts w:ascii="Arial" w:eastAsia="Times New Roman" w:hAnsi="Arial" w:cs="Arial"/>
                <w:sz w:val="22"/>
                <w:szCs w:val="22"/>
                <w:lang w:eastAsia="es-CO"/>
              </w:rPr>
              <w:t xml:space="preserve">Se sugiere que los médicos podrían utilizar preferentemente modelos pronósticos validados (por ejemplo, </w:t>
            </w:r>
            <w:proofErr w:type="spellStart"/>
            <w:r w:rsidRPr="00FF435D">
              <w:rPr>
                <w:rFonts w:ascii="Arial" w:eastAsia="Times New Roman" w:hAnsi="Arial" w:cs="Arial"/>
                <w:sz w:val="22"/>
                <w:szCs w:val="22"/>
                <w:lang w:eastAsia="es-CO"/>
              </w:rPr>
              <w:t>PaP</w:t>
            </w:r>
            <w:proofErr w:type="spellEnd"/>
            <w:r w:rsidRPr="00FF435D">
              <w:rPr>
                <w:rFonts w:ascii="Arial" w:eastAsia="Times New Roman" w:hAnsi="Arial" w:cs="Arial"/>
                <w:sz w:val="22"/>
                <w:szCs w:val="22"/>
                <w:lang w:eastAsia="es-CO"/>
              </w:rPr>
              <w:t xml:space="preserve">, </w:t>
            </w:r>
            <w:proofErr w:type="spellStart"/>
            <w:r w:rsidRPr="00FF435D">
              <w:rPr>
                <w:rFonts w:ascii="Arial" w:eastAsia="Times New Roman" w:hAnsi="Arial" w:cs="Arial"/>
                <w:sz w:val="22"/>
                <w:szCs w:val="22"/>
                <w:lang w:eastAsia="es-CO"/>
              </w:rPr>
              <w:t>PiPS</w:t>
            </w:r>
            <w:proofErr w:type="spellEnd"/>
            <w:r w:rsidRPr="00FF435D">
              <w:rPr>
                <w:rFonts w:ascii="Arial" w:eastAsia="Times New Roman" w:hAnsi="Arial" w:cs="Arial"/>
                <w:sz w:val="22"/>
                <w:szCs w:val="22"/>
                <w:lang w:eastAsia="es-CO"/>
              </w:rPr>
              <w:t>-B, FPN), que han demostrado ser tan precisos como las predicciones de supervivencia de médicos expertos, para calcular niveles de riesgo individualizados [III, C] </w:t>
            </w:r>
          </w:p>
          <w:p w14:paraId="26E1AE1A"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eastAsia="es-CO"/>
              </w:rPr>
            </w:pPr>
            <w:r w:rsidRPr="00FF435D">
              <w:rPr>
                <w:rFonts w:ascii="Arial" w:eastAsia="Times New Roman" w:hAnsi="Arial" w:cs="Arial"/>
                <w:sz w:val="22"/>
                <w:szCs w:val="22"/>
                <w:lang w:eastAsia="es-CO"/>
              </w:rPr>
              <w:t>  </w:t>
            </w:r>
          </w:p>
          <w:p w14:paraId="3AE0EB78"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eastAsia="es-CO"/>
              </w:rPr>
            </w:pPr>
            <w:r w:rsidRPr="00FF435D">
              <w:rPr>
                <w:rFonts w:ascii="Arial" w:eastAsia="Times New Roman" w:hAnsi="Arial" w:cs="Arial"/>
                <w:sz w:val="22"/>
                <w:szCs w:val="22"/>
                <w:lang w:eastAsia="es-CO"/>
              </w:rPr>
              <w:t xml:space="preserve">El uso de otras herramientas </w:t>
            </w:r>
            <w:proofErr w:type="spellStart"/>
            <w:r w:rsidRPr="00FF435D">
              <w:rPr>
                <w:rFonts w:ascii="Arial" w:eastAsia="Times New Roman" w:hAnsi="Arial" w:cs="Arial"/>
                <w:sz w:val="22"/>
                <w:szCs w:val="22"/>
                <w:lang w:eastAsia="es-CO"/>
              </w:rPr>
              <w:t>pronósticas</w:t>
            </w:r>
            <w:proofErr w:type="spellEnd"/>
            <w:r w:rsidRPr="00FF435D">
              <w:rPr>
                <w:rFonts w:ascii="Arial" w:eastAsia="Times New Roman" w:hAnsi="Arial" w:cs="Arial"/>
                <w:sz w:val="22"/>
                <w:szCs w:val="22"/>
                <w:lang w:eastAsia="es-CO"/>
              </w:rPr>
              <w:t xml:space="preserve"> puede considerarse en ciertas circunstancias (por ejemplo, </w:t>
            </w:r>
            <w:r w:rsidRPr="00FF435D">
              <w:rPr>
                <w:rFonts w:ascii="Arial" w:eastAsia="Times New Roman" w:hAnsi="Arial" w:cs="Arial"/>
                <w:sz w:val="22"/>
                <w:szCs w:val="22"/>
                <w:lang w:eastAsia="es-CO"/>
              </w:rPr>
              <w:lastRenderedPageBreak/>
              <w:t>cuando no hay disponible un experto en predicción clínica (CPS( experto, cuando los puntajes pueden calcularse con datos rutinarios o para fines de investigación) [V, C] </w:t>
            </w:r>
          </w:p>
          <w:p w14:paraId="61B63422"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eastAsia="es-CO"/>
              </w:rPr>
            </w:pPr>
            <w:r w:rsidRPr="00FF435D">
              <w:rPr>
                <w:rFonts w:ascii="Arial" w:eastAsia="Times New Roman" w:hAnsi="Arial" w:cs="Arial"/>
                <w:sz w:val="22"/>
                <w:szCs w:val="22"/>
                <w:lang w:eastAsia="es-CO"/>
              </w:rPr>
              <w:t>  </w:t>
            </w:r>
          </w:p>
          <w:p w14:paraId="25FAD884"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eastAsia="es-CO"/>
              </w:rPr>
            </w:pPr>
            <w:r w:rsidRPr="00FF435D">
              <w:rPr>
                <w:rFonts w:ascii="Arial" w:eastAsia="Times New Roman" w:hAnsi="Arial" w:cs="Arial"/>
                <w:sz w:val="22"/>
                <w:szCs w:val="22"/>
                <w:lang w:eastAsia="es-CO"/>
              </w:rPr>
              <w:t xml:space="preserve">Se sugiere que la elección del modelo pronóstico debe estar influenciada por el tipo de estimación </w:t>
            </w:r>
            <w:proofErr w:type="spellStart"/>
            <w:r w:rsidRPr="00FF435D">
              <w:rPr>
                <w:rFonts w:ascii="Arial" w:eastAsia="Times New Roman" w:hAnsi="Arial" w:cs="Arial"/>
                <w:sz w:val="22"/>
                <w:szCs w:val="22"/>
                <w:lang w:eastAsia="es-CO"/>
              </w:rPr>
              <w:t>pronóstica</w:t>
            </w:r>
            <w:proofErr w:type="spellEnd"/>
            <w:r w:rsidRPr="00FF435D">
              <w:rPr>
                <w:rFonts w:ascii="Arial" w:eastAsia="Times New Roman" w:hAnsi="Arial" w:cs="Arial"/>
                <w:sz w:val="22"/>
                <w:szCs w:val="22"/>
                <w:lang w:eastAsia="es-CO"/>
              </w:rPr>
              <w:t xml:space="preserve"> deseada (por ejemplo, cuánto tiempo o cuán probable), la disponibilidad de los datos requeridos (por ejemplo, resultados de análisis de sangre) y el período de tiempo que se está prediciendo [III, C] </w:t>
            </w:r>
          </w:p>
          <w:p w14:paraId="23510377"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eastAsia="es-CO"/>
              </w:rPr>
            </w:pPr>
            <w:r w:rsidRPr="00FF435D">
              <w:rPr>
                <w:rFonts w:ascii="Arial" w:eastAsia="Times New Roman" w:hAnsi="Arial" w:cs="Arial"/>
                <w:sz w:val="22"/>
                <w:szCs w:val="22"/>
                <w:lang w:eastAsia="es-CO"/>
              </w:rPr>
              <w:t>  </w:t>
            </w:r>
          </w:p>
          <w:p w14:paraId="75FEB8F4"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eastAsia="es-CO"/>
              </w:rPr>
            </w:pPr>
            <w:r w:rsidRPr="00FF435D">
              <w:rPr>
                <w:rFonts w:ascii="Arial" w:eastAsia="Times New Roman" w:hAnsi="Arial" w:cs="Arial"/>
                <w:sz w:val="22"/>
                <w:szCs w:val="22"/>
                <w:lang w:eastAsia="es-CO"/>
              </w:rPr>
              <w:t>Los autores aconsejan condicionalmente en contra del uso de modelos de predicción de riesgo individualizados de forma aislada sin el juicio clínico del pronóstico [V, D], y los modelos no deben ser utilizados por pacientes sin la guía de un médico oncólogo o de cuidados paliativos [V, D] </w:t>
            </w:r>
          </w:p>
          <w:p w14:paraId="480A68D8"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eastAsia="es-CO"/>
              </w:rPr>
            </w:pPr>
            <w:r w:rsidRPr="00FF435D">
              <w:rPr>
                <w:rFonts w:ascii="Arial" w:eastAsia="Times New Roman" w:hAnsi="Arial" w:cs="Arial"/>
                <w:sz w:val="22"/>
                <w:szCs w:val="22"/>
                <w:lang w:eastAsia="es-CO"/>
              </w:rPr>
              <w:t>  </w:t>
            </w:r>
          </w:p>
          <w:p w14:paraId="5264F837"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eastAsia="es-CO"/>
              </w:rPr>
            </w:pPr>
            <w:r w:rsidRPr="00FF435D">
              <w:rPr>
                <w:rFonts w:ascii="Arial" w:eastAsia="Times New Roman" w:hAnsi="Arial" w:cs="Arial"/>
                <w:sz w:val="22"/>
                <w:szCs w:val="22"/>
                <w:lang w:eastAsia="es-CO"/>
              </w:rPr>
              <w:t>Los médicos no deben utilizar modelos de predicción de riesgo individualizados de forma aislada sin el juicio clínico del pronóstico [V, E] </w:t>
            </w:r>
          </w:p>
          <w:p w14:paraId="06933658"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eastAsia="es-CO"/>
              </w:rPr>
            </w:pPr>
            <w:r w:rsidRPr="00FF435D">
              <w:rPr>
                <w:rFonts w:ascii="Arial" w:eastAsia="Times New Roman" w:hAnsi="Arial" w:cs="Arial"/>
                <w:sz w:val="22"/>
                <w:szCs w:val="22"/>
                <w:lang w:eastAsia="es-CO"/>
              </w:rPr>
              <w:t> </w:t>
            </w:r>
          </w:p>
        </w:tc>
      </w:tr>
      <w:tr w:rsidR="00FF435D" w:rsidRPr="00FF435D" w14:paraId="26BB787B" w14:textId="77777777" w:rsidTr="00FF435D">
        <w:trPr>
          <w:trHeight w:val="300"/>
        </w:trPr>
        <w:tc>
          <w:tcPr>
            <w:tcW w:w="1710" w:type="dxa"/>
            <w:tcBorders>
              <w:top w:val="single" w:sz="6" w:space="0" w:color="000000"/>
              <w:left w:val="single" w:sz="6" w:space="0" w:color="000000"/>
              <w:bottom w:val="single" w:sz="6" w:space="0" w:color="000000"/>
              <w:right w:val="single" w:sz="6" w:space="0" w:color="000000"/>
            </w:tcBorders>
            <w:shd w:val="clear" w:color="auto" w:fill="auto"/>
            <w:hideMark/>
          </w:tcPr>
          <w:p w14:paraId="6B4F1F3E"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eastAsia="es-CO"/>
              </w:rPr>
            </w:pPr>
            <w:r w:rsidRPr="00FF435D">
              <w:rPr>
                <w:rFonts w:ascii="Arial" w:eastAsia="Times New Roman" w:hAnsi="Arial" w:cs="Arial"/>
                <w:sz w:val="22"/>
                <w:szCs w:val="22"/>
                <w:lang w:eastAsia="es-CO"/>
              </w:rPr>
              <w:lastRenderedPageBreak/>
              <w:t> </w:t>
            </w:r>
          </w:p>
          <w:p w14:paraId="556E7C57"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val="en-US" w:eastAsia="es-CO"/>
              </w:rPr>
            </w:pPr>
            <w:r w:rsidRPr="00FF435D">
              <w:rPr>
                <w:rFonts w:ascii="Arial" w:eastAsia="Times New Roman" w:hAnsi="Arial" w:cs="Arial"/>
                <w:sz w:val="22"/>
                <w:szCs w:val="22"/>
                <w:lang w:val="en-US" w:eastAsia="es-CO"/>
              </w:rPr>
              <w:t xml:space="preserve">Care of the adult cancer patient at the end of life: ESMO Clinical </w:t>
            </w:r>
            <w:r w:rsidRPr="00FF435D">
              <w:rPr>
                <w:rFonts w:ascii="Arial" w:eastAsia="Times New Roman" w:hAnsi="Arial" w:cs="Arial"/>
                <w:sz w:val="22"/>
                <w:szCs w:val="22"/>
                <w:lang w:val="en-US" w:eastAsia="es-CO"/>
              </w:rPr>
              <w:lastRenderedPageBreak/>
              <w:t>Practice Guidelines  </w:t>
            </w:r>
          </w:p>
          <w:p w14:paraId="0AA50853"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val="en-US" w:eastAsia="es-CO"/>
              </w:rPr>
            </w:pPr>
            <w:r w:rsidRPr="00FF435D">
              <w:rPr>
                <w:rFonts w:ascii="Arial" w:eastAsia="Times New Roman" w:hAnsi="Arial" w:cs="Arial"/>
                <w:sz w:val="22"/>
                <w:szCs w:val="22"/>
                <w:lang w:val="en-US" w:eastAsia="es-CO"/>
              </w:rPr>
              <w:t> </w:t>
            </w:r>
          </w:p>
          <w:p w14:paraId="783D0F26"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val="en-US" w:eastAsia="es-CO"/>
              </w:rPr>
            </w:pPr>
            <w:r w:rsidRPr="00FF435D">
              <w:rPr>
                <w:rFonts w:ascii="Arial" w:eastAsia="Times New Roman" w:hAnsi="Arial" w:cs="Arial"/>
                <w:sz w:val="22"/>
                <w:szCs w:val="22"/>
                <w:lang w:val="en-US" w:eastAsia="es-CO"/>
              </w:rPr>
              <w:t> </w:t>
            </w:r>
          </w:p>
          <w:p w14:paraId="597B0B15"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val="en-US" w:eastAsia="es-CO"/>
              </w:rPr>
            </w:pPr>
            <w:r w:rsidRPr="00FF435D">
              <w:rPr>
                <w:rFonts w:ascii="Arial" w:eastAsia="Times New Roman" w:hAnsi="Arial" w:cs="Arial"/>
                <w:sz w:val="22"/>
                <w:szCs w:val="22"/>
                <w:lang w:val="en-US" w:eastAsia="es-CO"/>
              </w:rPr>
              <w:t> </w:t>
            </w:r>
          </w:p>
          <w:p w14:paraId="6064FC38"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eastAsia="es-CO"/>
              </w:rPr>
            </w:pPr>
            <w:r w:rsidRPr="00FF435D">
              <w:rPr>
                <w:rFonts w:ascii="Arial" w:eastAsia="Times New Roman" w:hAnsi="Arial" w:cs="Arial"/>
                <w:sz w:val="22"/>
                <w:szCs w:val="22"/>
                <w:lang w:eastAsia="es-CO"/>
              </w:rPr>
              <w:t>(2021- ESMO) Europa </w:t>
            </w:r>
          </w:p>
        </w:tc>
        <w:tc>
          <w:tcPr>
            <w:tcW w:w="2250" w:type="dxa"/>
            <w:tcBorders>
              <w:top w:val="single" w:sz="6" w:space="0" w:color="000000"/>
              <w:left w:val="single" w:sz="6" w:space="0" w:color="000000"/>
              <w:bottom w:val="single" w:sz="6" w:space="0" w:color="000000"/>
              <w:right w:val="single" w:sz="6" w:space="0" w:color="000000"/>
            </w:tcBorders>
            <w:shd w:val="clear" w:color="auto" w:fill="auto"/>
            <w:hideMark/>
          </w:tcPr>
          <w:p w14:paraId="1D2CD726"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eastAsia="es-CO"/>
              </w:rPr>
            </w:pPr>
            <w:r w:rsidRPr="00FF435D">
              <w:rPr>
                <w:rFonts w:ascii="Arial" w:eastAsia="Times New Roman" w:hAnsi="Arial" w:cs="Arial"/>
                <w:sz w:val="22"/>
                <w:szCs w:val="22"/>
                <w:lang w:eastAsia="es-CO"/>
              </w:rPr>
              <w:lastRenderedPageBreak/>
              <w:t> </w:t>
            </w:r>
          </w:p>
          <w:p w14:paraId="5C46885F"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eastAsia="es-CO"/>
              </w:rPr>
            </w:pPr>
            <w:r w:rsidRPr="00FF435D">
              <w:rPr>
                <w:rFonts w:ascii="Arial" w:eastAsia="Times New Roman" w:hAnsi="Arial" w:cs="Arial"/>
                <w:sz w:val="22"/>
                <w:szCs w:val="22"/>
                <w:lang w:eastAsia="es-CO"/>
              </w:rPr>
              <w:t>Personas con </w:t>
            </w:r>
          </w:p>
          <w:p w14:paraId="18EA8DDD"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eastAsia="es-CO"/>
              </w:rPr>
            </w:pPr>
            <w:r w:rsidRPr="00FF435D">
              <w:rPr>
                <w:rFonts w:ascii="Arial" w:eastAsia="Times New Roman" w:hAnsi="Arial" w:cs="Arial"/>
                <w:sz w:val="22"/>
                <w:szCs w:val="22"/>
                <w:lang w:eastAsia="es-CO"/>
              </w:rPr>
              <w:t>enfermedad avanzada una vez que han alcanzado un punto de rápida </w:t>
            </w:r>
          </w:p>
          <w:p w14:paraId="79511998"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eastAsia="es-CO"/>
              </w:rPr>
            </w:pPr>
            <w:r w:rsidRPr="00FF435D">
              <w:rPr>
                <w:rFonts w:ascii="Arial" w:eastAsia="Times New Roman" w:hAnsi="Arial" w:cs="Arial"/>
                <w:sz w:val="22"/>
                <w:szCs w:val="22"/>
                <w:lang w:eastAsia="es-CO"/>
              </w:rPr>
              <w:lastRenderedPageBreak/>
              <w:t>deterioro físico, generalmente en las últimas semanas o meses </w:t>
            </w:r>
          </w:p>
          <w:p w14:paraId="374FD2E8"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eastAsia="es-CO"/>
              </w:rPr>
            </w:pPr>
            <w:r w:rsidRPr="00FF435D">
              <w:rPr>
                <w:rFonts w:ascii="Arial" w:eastAsia="Times New Roman" w:hAnsi="Arial" w:cs="Arial"/>
                <w:sz w:val="22"/>
                <w:szCs w:val="22"/>
                <w:lang w:eastAsia="es-CO"/>
              </w:rPr>
              <w:t>ante una muerte inevitable como resultado natural de una enfermedad </w:t>
            </w:r>
          </w:p>
        </w:tc>
        <w:tc>
          <w:tcPr>
            <w:tcW w:w="2025" w:type="dxa"/>
            <w:tcBorders>
              <w:top w:val="single" w:sz="6" w:space="0" w:color="000000"/>
              <w:left w:val="single" w:sz="6" w:space="0" w:color="000000"/>
              <w:bottom w:val="single" w:sz="6" w:space="0" w:color="000000"/>
              <w:right w:val="single" w:sz="6" w:space="0" w:color="000000"/>
            </w:tcBorders>
            <w:shd w:val="clear" w:color="auto" w:fill="auto"/>
            <w:hideMark/>
          </w:tcPr>
          <w:p w14:paraId="0C5ADD56"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eastAsia="es-CO"/>
              </w:rPr>
            </w:pPr>
            <w:r w:rsidRPr="00FF435D">
              <w:rPr>
                <w:rFonts w:ascii="Arial" w:eastAsia="Times New Roman" w:hAnsi="Arial" w:cs="Arial"/>
                <w:sz w:val="22"/>
                <w:szCs w:val="22"/>
                <w:lang w:eastAsia="es-CO"/>
              </w:rPr>
              <w:lastRenderedPageBreak/>
              <w:t> </w:t>
            </w:r>
          </w:p>
          <w:p w14:paraId="14E9D18F"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eastAsia="es-CO"/>
              </w:rPr>
            </w:pPr>
            <w:r w:rsidRPr="00FF435D">
              <w:rPr>
                <w:rFonts w:ascii="Arial" w:eastAsia="Times New Roman" w:hAnsi="Arial" w:cs="Arial"/>
                <w:sz w:val="22"/>
                <w:szCs w:val="22"/>
                <w:lang w:eastAsia="es-CO"/>
              </w:rPr>
              <w:t xml:space="preserve">Las </w:t>
            </w:r>
            <w:proofErr w:type="spellStart"/>
            <w:r w:rsidRPr="00FF435D">
              <w:rPr>
                <w:rFonts w:ascii="Arial" w:eastAsia="Times New Roman" w:hAnsi="Arial" w:cs="Arial"/>
                <w:sz w:val="22"/>
                <w:szCs w:val="22"/>
                <w:lang w:eastAsia="es-CO"/>
              </w:rPr>
              <w:t>ultimas</w:t>
            </w:r>
            <w:proofErr w:type="spellEnd"/>
            <w:r w:rsidRPr="00FF435D">
              <w:rPr>
                <w:rFonts w:ascii="Arial" w:eastAsia="Times New Roman" w:hAnsi="Arial" w:cs="Arial"/>
                <w:sz w:val="22"/>
                <w:szCs w:val="22"/>
                <w:lang w:eastAsia="es-CO"/>
              </w:rPr>
              <w:t xml:space="preserve"> semanas y </w:t>
            </w:r>
            <w:proofErr w:type="spellStart"/>
            <w:r w:rsidRPr="00FF435D">
              <w:rPr>
                <w:rFonts w:ascii="Arial" w:eastAsia="Times New Roman" w:hAnsi="Arial" w:cs="Arial"/>
                <w:sz w:val="22"/>
                <w:szCs w:val="22"/>
                <w:lang w:eastAsia="es-CO"/>
              </w:rPr>
              <w:t>dias</w:t>
            </w:r>
            <w:proofErr w:type="spellEnd"/>
            <w:r w:rsidRPr="00FF435D">
              <w:rPr>
                <w:rFonts w:ascii="Arial" w:eastAsia="Times New Roman" w:hAnsi="Arial" w:cs="Arial"/>
                <w:sz w:val="22"/>
                <w:szCs w:val="22"/>
                <w:lang w:eastAsia="es-CO"/>
              </w:rPr>
              <w:t xml:space="preserve"> de vida del paciente con </w:t>
            </w:r>
            <w:proofErr w:type="spellStart"/>
            <w:r w:rsidRPr="00FF435D">
              <w:rPr>
                <w:rFonts w:ascii="Arial" w:eastAsia="Times New Roman" w:hAnsi="Arial" w:cs="Arial"/>
                <w:sz w:val="22"/>
                <w:szCs w:val="22"/>
                <w:lang w:eastAsia="es-CO"/>
              </w:rPr>
              <w:t>cancer</w:t>
            </w:r>
            <w:proofErr w:type="spellEnd"/>
            <w:r w:rsidRPr="00FF435D">
              <w:rPr>
                <w:rFonts w:ascii="Arial" w:eastAsia="Times New Roman" w:hAnsi="Arial" w:cs="Arial"/>
                <w:sz w:val="22"/>
                <w:szCs w:val="22"/>
                <w:lang w:eastAsia="es-CO"/>
              </w:rPr>
              <w:t xml:space="preserve"> avanzado </w:t>
            </w:r>
          </w:p>
        </w:tc>
        <w:tc>
          <w:tcPr>
            <w:tcW w:w="3090" w:type="dxa"/>
            <w:tcBorders>
              <w:top w:val="single" w:sz="6" w:space="0" w:color="000000"/>
              <w:left w:val="single" w:sz="6" w:space="0" w:color="000000"/>
              <w:bottom w:val="single" w:sz="6" w:space="0" w:color="000000"/>
              <w:right w:val="single" w:sz="6" w:space="0" w:color="000000"/>
            </w:tcBorders>
            <w:shd w:val="clear" w:color="auto" w:fill="auto"/>
            <w:hideMark/>
          </w:tcPr>
          <w:p w14:paraId="69191FF5"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eastAsia="es-CO"/>
              </w:rPr>
            </w:pPr>
            <w:r w:rsidRPr="00FF435D">
              <w:rPr>
                <w:rFonts w:ascii="Arial" w:eastAsia="Times New Roman" w:hAnsi="Arial" w:cs="Arial"/>
                <w:sz w:val="22"/>
                <w:szCs w:val="22"/>
                <w:lang w:eastAsia="es-CO"/>
              </w:rPr>
              <w:t> </w:t>
            </w:r>
          </w:p>
          <w:p w14:paraId="03EBDF03"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eastAsia="es-CO"/>
              </w:rPr>
            </w:pPr>
            <w:r w:rsidRPr="00FF435D">
              <w:rPr>
                <w:rFonts w:ascii="Arial" w:eastAsia="Times New Roman" w:hAnsi="Arial" w:cs="Arial"/>
                <w:sz w:val="22"/>
                <w:szCs w:val="22"/>
                <w:lang w:eastAsia="es-CO"/>
              </w:rPr>
              <w:t xml:space="preserve">Presencia de </w:t>
            </w:r>
            <w:proofErr w:type="spellStart"/>
            <w:r w:rsidRPr="00FF435D">
              <w:rPr>
                <w:rFonts w:ascii="Arial" w:eastAsia="Times New Roman" w:hAnsi="Arial" w:cs="Arial"/>
                <w:sz w:val="22"/>
                <w:szCs w:val="22"/>
                <w:lang w:eastAsia="es-CO"/>
              </w:rPr>
              <w:t>minimo</w:t>
            </w:r>
            <w:proofErr w:type="spellEnd"/>
            <w:r w:rsidRPr="00FF435D">
              <w:rPr>
                <w:rFonts w:ascii="Arial" w:eastAsia="Times New Roman" w:hAnsi="Arial" w:cs="Arial"/>
                <w:sz w:val="22"/>
                <w:szCs w:val="22"/>
                <w:lang w:eastAsia="es-CO"/>
              </w:rPr>
              <w:t xml:space="preserve"> 1 signo temprano  </w:t>
            </w:r>
          </w:p>
          <w:p w14:paraId="0AD723E0"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eastAsia="es-CO"/>
              </w:rPr>
            </w:pPr>
            <w:r w:rsidRPr="00FF435D">
              <w:rPr>
                <w:rFonts w:ascii="Arial" w:eastAsia="Times New Roman" w:hAnsi="Arial" w:cs="Arial"/>
                <w:sz w:val="22"/>
                <w:szCs w:val="22"/>
                <w:lang w:eastAsia="es-CO"/>
              </w:rPr>
              <w:t> </w:t>
            </w:r>
          </w:p>
          <w:p w14:paraId="7A87FB2C"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eastAsia="es-CO"/>
              </w:rPr>
            </w:pPr>
            <w:r w:rsidRPr="00FF435D">
              <w:rPr>
                <w:rFonts w:ascii="Arial" w:eastAsia="Times New Roman" w:hAnsi="Arial" w:cs="Arial"/>
                <w:sz w:val="22"/>
                <w:szCs w:val="22"/>
                <w:lang w:eastAsia="es-CO"/>
              </w:rPr>
              <w:t>PPS &lt; 20% </w:t>
            </w:r>
          </w:p>
          <w:p w14:paraId="4DBBCD08"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eastAsia="es-CO"/>
              </w:rPr>
            </w:pPr>
            <w:r w:rsidRPr="00FF435D">
              <w:rPr>
                <w:rFonts w:ascii="Arial" w:eastAsia="Times New Roman" w:hAnsi="Arial" w:cs="Arial"/>
                <w:sz w:val="22"/>
                <w:szCs w:val="22"/>
                <w:lang w:eastAsia="es-CO"/>
              </w:rPr>
              <w:t> </w:t>
            </w:r>
          </w:p>
          <w:p w14:paraId="38B58419"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eastAsia="es-CO"/>
              </w:rPr>
            </w:pPr>
            <w:r w:rsidRPr="00FF435D">
              <w:rPr>
                <w:rFonts w:ascii="Arial" w:eastAsia="Times New Roman" w:hAnsi="Arial" w:cs="Arial"/>
                <w:sz w:val="22"/>
                <w:szCs w:val="22"/>
                <w:lang w:eastAsia="es-CO"/>
              </w:rPr>
              <w:lastRenderedPageBreak/>
              <w:t xml:space="preserve">Presencia de signos </w:t>
            </w:r>
            <w:proofErr w:type="spellStart"/>
            <w:r w:rsidRPr="00FF435D">
              <w:rPr>
                <w:rFonts w:ascii="Arial" w:eastAsia="Times New Roman" w:hAnsi="Arial" w:cs="Arial"/>
                <w:sz w:val="22"/>
                <w:szCs w:val="22"/>
                <w:lang w:eastAsia="es-CO"/>
              </w:rPr>
              <w:t>tardios</w:t>
            </w:r>
            <w:proofErr w:type="spellEnd"/>
            <w:r w:rsidRPr="00FF435D">
              <w:rPr>
                <w:rFonts w:ascii="Arial" w:eastAsia="Times New Roman" w:hAnsi="Arial" w:cs="Arial"/>
                <w:sz w:val="22"/>
                <w:szCs w:val="22"/>
                <w:lang w:eastAsia="es-CO"/>
              </w:rPr>
              <w:t xml:space="preserve"> de muerte </w:t>
            </w:r>
          </w:p>
          <w:p w14:paraId="269984E8"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eastAsia="es-CO"/>
              </w:rPr>
            </w:pPr>
            <w:r w:rsidRPr="00FF435D">
              <w:rPr>
                <w:rFonts w:ascii="Arial" w:eastAsia="Times New Roman" w:hAnsi="Arial" w:cs="Arial"/>
                <w:sz w:val="22"/>
                <w:szCs w:val="22"/>
                <w:lang w:eastAsia="es-CO"/>
              </w:rPr>
              <w:t> </w:t>
            </w:r>
          </w:p>
        </w:tc>
        <w:tc>
          <w:tcPr>
            <w:tcW w:w="3960" w:type="dxa"/>
            <w:tcBorders>
              <w:top w:val="single" w:sz="6" w:space="0" w:color="000000"/>
              <w:left w:val="single" w:sz="6" w:space="0" w:color="000000"/>
              <w:bottom w:val="single" w:sz="6" w:space="0" w:color="000000"/>
              <w:right w:val="single" w:sz="6" w:space="0" w:color="000000"/>
            </w:tcBorders>
            <w:shd w:val="clear" w:color="auto" w:fill="auto"/>
            <w:hideMark/>
          </w:tcPr>
          <w:p w14:paraId="6A8C793E"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eastAsia="es-CO"/>
              </w:rPr>
            </w:pPr>
            <w:r w:rsidRPr="00FF435D">
              <w:rPr>
                <w:rFonts w:ascii="Arial" w:eastAsia="Times New Roman" w:hAnsi="Arial" w:cs="Arial"/>
                <w:sz w:val="22"/>
                <w:szCs w:val="22"/>
                <w:lang w:eastAsia="es-CO"/>
              </w:rPr>
              <w:lastRenderedPageBreak/>
              <w:t> </w:t>
            </w:r>
          </w:p>
          <w:p w14:paraId="2A142BDF"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eastAsia="es-CO"/>
              </w:rPr>
            </w:pPr>
            <w:r w:rsidRPr="00FF435D">
              <w:rPr>
                <w:rFonts w:ascii="Arial" w:eastAsia="Times New Roman" w:hAnsi="Arial" w:cs="Arial"/>
                <w:sz w:val="22"/>
                <w:szCs w:val="22"/>
                <w:lang w:eastAsia="es-CO"/>
              </w:rPr>
              <w:t>Los médicos deben estar atentos a los síntomas físicos objetivos que indican un pronóstico de días a semanas, especialmente el deterioro del estado de desempeño (PS).(6) (I,A)  </w:t>
            </w:r>
          </w:p>
          <w:p w14:paraId="62E3D683"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eastAsia="es-CO"/>
              </w:rPr>
            </w:pPr>
            <w:r w:rsidRPr="00FF435D">
              <w:rPr>
                <w:rFonts w:ascii="Arial" w:eastAsia="Times New Roman" w:hAnsi="Arial" w:cs="Arial"/>
                <w:sz w:val="22"/>
                <w:szCs w:val="22"/>
                <w:lang w:eastAsia="es-CO"/>
              </w:rPr>
              <w:lastRenderedPageBreak/>
              <w:t>  </w:t>
            </w:r>
          </w:p>
          <w:p w14:paraId="59A94AE3"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eastAsia="es-CO"/>
              </w:rPr>
            </w:pPr>
            <w:r w:rsidRPr="00FF435D">
              <w:rPr>
                <w:rFonts w:ascii="Arial" w:eastAsia="Times New Roman" w:hAnsi="Arial" w:cs="Arial"/>
                <w:sz w:val="22"/>
                <w:szCs w:val="22"/>
                <w:lang w:eastAsia="es-CO"/>
              </w:rPr>
              <w:t>El mal pronóstico está asociado con el deterioro del PS y la aparición o empeoramiento de síntomas como disnea, disfagia, pérdida de peso, xerostomía, anorexia y deterioro cognitivo.(6) </w:t>
            </w:r>
          </w:p>
          <w:p w14:paraId="4EAAC480"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eastAsia="es-CO"/>
              </w:rPr>
            </w:pPr>
            <w:r w:rsidRPr="00FF435D">
              <w:rPr>
                <w:rFonts w:ascii="Arial" w:eastAsia="Times New Roman" w:hAnsi="Arial" w:cs="Arial"/>
                <w:sz w:val="22"/>
                <w:szCs w:val="22"/>
                <w:lang w:eastAsia="es-CO"/>
              </w:rPr>
              <w:t>  </w:t>
            </w:r>
          </w:p>
          <w:p w14:paraId="08413AC5"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eastAsia="es-CO"/>
              </w:rPr>
            </w:pPr>
            <w:r w:rsidRPr="00FF435D">
              <w:rPr>
                <w:rFonts w:ascii="Arial" w:eastAsia="Times New Roman" w:hAnsi="Arial" w:cs="Arial"/>
                <w:sz w:val="22"/>
                <w:szCs w:val="22"/>
                <w:lang w:eastAsia="es-CO"/>
              </w:rPr>
              <w:t xml:space="preserve">El uso rutinario de herramientas </w:t>
            </w:r>
            <w:proofErr w:type="spellStart"/>
            <w:r w:rsidRPr="00FF435D">
              <w:rPr>
                <w:rFonts w:ascii="Arial" w:eastAsia="Times New Roman" w:hAnsi="Arial" w:cs="Arial"/>
                <w:sz w:val="22"/>
                <w:szCs w:val="22"/>
                <w:lang w:eastAsia="es-CO"/>
              </w:rPr>
              <w:t>pronósticas</w:t>
            </w:r>
            <w:proofErr w:type="spellEnd"/>
            <w:r w:rsidRPr="00FF435D">
              <w:rPr>
                <w:rFonts w:ascii="Arial" w:eastAsia="Times New Roman" w:hAnsi="Arial" w:cs="Arial"/>
                <w:sz w:val="22"/>
                <w:szCs w:val="22"/>
                <w:lang w:eastAsia="es-CO"/>
              </w:rPr>
              <w:t xml:space="preserve"> puede mejorar la precisión de las predicciones de los médicos [III, B] </w:t>
            </w:r>
          </w:p>
          <w:p w14:paraId="497849FE"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eastAsia="es-CO"/>
              </w:rPr>
            </w:pPr>
            <w:r w:rsidRPr="00FF435D">
              <w:rPr>
                <w:rFonts w:ascii="Arial" w:eastAsia="Times New Roman" w:hAnsi="Arial" w:cs="Arial"/>
                <w:sz w:val="22"/>
                <w:szCs w:val="22"/>
                <w:lang w:eastAsia="es-CO"/>
              </w:rPr>
              <w:t> </w:t>
            </w:r>
          </w:p>
        </w:tc>
      </w:tr>
      <w:tr w:rsidR="00FF435D" w:rsidRPr="00FF435D" w14:paraId="663F64A5" w14:textId="77777777" w:rsidTr="00FF435D">
        <w:trPr>
          <w:trHeight w:val="300"/>
        </w:trPr>
        <w:tc>
          <w:tcPr>
            <w:tcW w:w="1710" w:type="dxa"/>
            <w:tcBorders>
              <w:top w:val="single" w:sz="6" w:space="0" w:color="000000"/>
              <w:left w:val="single" w:sz="6" w:space="0" w:color="000000"/>
              <w:bottom w:val="single" w:sz="6" w:space="0" w:color="000000"/>
              <w:right w:val="single" w:sz="6" w:space="0" w:color="000000"/>
            </w:tcBorders>
            <w:shd w:val="clear" w:color="auto" w:fill="auto"/>
            <w:hideMark/>
          </w:tcPr>
          <w:p w14:paraId="0109CD0C"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eastAsia="es-CO"/>
              </w:rPr>
            </w:pPr>
            <w:r w:rsidRPr="00FF435D">
              <w:rPr>
                <w:rFonts w:ascii="Arial" w:eastAsia="Times New Roman" w:hAnsi="Arial" w:cs="Arial"/>
                <w:sz w:val="22"/>
                <w:szCs w:val="22"/>
                <w:lang w:eastAsia="es-CO"/>
              </w:rPr>
              <w:lastRenderedPageBreak/>
              <w:t> </w:t>
            </w:r>
          </w:p>
          <w:p w14:paraId="700BE7F9"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val="en-US" w:eastAsia="es-CO"/>
              </w:rPr>
            </w:pPr>
            <w:r w:rsidRPr="00FF435D">
              <w:rPr>
                <w:rFonts w:ascii="Arial" w:eastAsia="Times New Roman" w:hAnsi="Arial" w:cs="Arial"/>
                <w:sz w:val="22"/>
                <w:szCs w:val="22"/>
                <w:lang w:val="en-US" w:eastAsia="es-CO"/>
              </w:rPr>
              <w:t>Care of dying adults in the last days of life  </w:t>
            </w:r>
          </w:p>
          <w:p w14:paraId="13CF3884"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val="en-US" w:eastAsia="es-CO"/>
              </w:rPr>
            </w:pPr>
            <w:r w:rsidRPr="00FF435D">
              <w:rPr>
                <w:rFonts w:ascii="Arial" w:eastAsia="Times New Roman" w:hAnsi="Arial" w:cs="Arial"/>
                <w:sz w:val="22"/>
                <w:szCs w:val="22"/>
                <w:lang w:val="en-US" w:eastAsia="es-CO"/>
              </w:rPr>
              <w:t> </w:t>
            </w:r>
          </w:p>
          <w:p w14:paraId="0FB7E51D"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eastAsia="es-CO"/>
              </w:rPr>
            </w:pPr>
            <w:r w:rsidRPr="00FF435D">
              <w:rPr>
                <w:rFonts w:ascii="Arial" w:eastAsia="Times New Roman" w:hAnsi="Arial" w:cs="Arial"/>
                <w:sz w:val="22"/>
                <w:szCs w:val="22"/>
                <w:lang w:eastAsia="es-CO"/>
              </w:rPr>
              <w:t>( 2015 – NICE) Reino Unido  </w:t>
            </w:r>
          </w:p>
        </w:tc>
        <w:tc>
          <w:tcPr>
            <w:tcW w:w="2250" w:type="dxa"/>
            <w:tcBorders>
              <w:top w:val="single" w:sz="6" w:space="0" w:color="000000"/>
              <w:left w:val="single" w:sz="6" w:space="0" w:color="000000"/>
              <w:bottom w:val="single" w:sz="6" w:space="0" w:color="000000"/>
              <w:right w:val="single" w:sz="6" w:space="0" w:color="000000"/>
            </w:tcBorders>
            <w:shd w:val="clear" w:color="auto" w:fill="auto"/>
            <w:hideMark/>
          </w:tcPr>
          <w:p w14:paraId="1CDD561D"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eastAsia="es-CO"/>
              </w:rPr>
            </w:pPr>
            <w:r w:rsidRPr="00FF435D">
              <w:rPr>
                <w:rFonts w:ascii="Arial" w:eastAsia="Times New Roman" w:hAnsi="Arial" w:cs="Arial"/>
                <w:sz w:val="22"/>
                <w:szCs w:val="22"/>
                <w:lang w:eastAsia="es-CO"/>
              </w:rPr>
              <w:t> </w:t>
            </w:r>
          </w:p>
          <w:p w14:paraId="723D626F"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eastAsia="es-CO"/>
              </w:rPr>
            </w:pPr>
            <w:r w:rsidRPr="00FF435D">
              <w:rPr>
                <w:rFonts w:ascii="Arial" w:eastAsia="Times New Roman" w:hAnsi="Arial" w:cs="Arial"/>
                <w:sz w:val="22"/>
                <w:szCs w:val="22"/>
                <w:lang w:eastAsia="es-CO"/>
              </w:rPr>
              <w:t>Adultos que están falleciendo durante los últimos 2 o 3 días de vida </w:t>
            </w:r>
          </w:p>
        </w:tc>
        <w:tc>
          <w:tcPr>
            <w:tcW w:w="2025" w:type="dxa"/>
            <w:tcBorders>
              <w:top w:val="single" w:sz="6" w:space="0" w:color="000000"/>
              <w:left w:val="single" w:sz="6" w:space="0" w:color="000000"/>
              <w:bottom w:val="single" w:sz="6" w:space="0" w:color="000000"/>
              <w:right w:val="single" w:sz="6" w:space="0" w:color="000000"/>
            </w:tcBorders>
            <w:shd w:val="clear" w:color="auto" w:fill="auto"/>
            <w:hideMark/>
          </w:tcPr>
          <w:p w14:paraId="37F63C9A"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eastAsia="es-CO"/>
              </w:rPr>
            </w:pPr>
            <w:r w:rsidRPr="00FF435D">
              <w:rPr>
                <w:rFonts w:ascii="Arial" w:eastAsia="Times New Roman" w:hAnsi="Arial" w:cs="Arial"/>
                <w:sz w:val="22"/>
                <w:szCs w:val="22"/>
                <w:lang w:eastAsia="es-CO"/>
              </w:rPr>
              <w:t> </w:t>
            </w:r>
          </w:p>
          <w:p w14:paraId="7C7FB895"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eastAsia="es-CO"/>
              </w:rPr>
            </w:pPr>
            <w:r w:rsidRPr="00FF435D">
              <w:rPr>
                <w:rFonts w:ascii="Arial" w:eastAsia="Times New Roman" w:hAnsi="Arial" w:cs="Arial"/>
                <w:sz w:val="22"/>
                <w:szCs w:val="22"/>
                <w:lang w:eastAsia="es-CO"/>
              </w:rPr>
              <w:t>Últimos 2 o 3 días de vida </w:t>
            </w:r>
          </w:p>
        </w:tc>
        <w:tc>
          <w:tcPr>
            <w:tcW w:w="3090" w:type="dxa"/>
            <w:tcBorders>
              <w:top w:val="single" w:sz="6" w:space="0" w:color="000000"/>
              <w:left w:val="single" w:sz="6" w:space="0" w:color="000000"/>
              <w:bottom w:val="single" w:sz="6" w:space="0" w:color="000000"/>
              <w:right w:val="single" w:sz="6" w:space="0" w:color="000000"/>
            </w:tcBorders>
            <w:shd w:val="clear" w:color="auto" w:fill="auto"/>
            <w:hideMark/>
          </w:tcPr>
          <w:p w14:paraId="4AD927C3"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eastAsia="es-CO"/>
              </w:rPr>
            </w:pPr>
            <w:r w:rsidRPr="00FF435D">
              <w:rPr>
                <w:rFonts w:ascii="Arial" w:eastAsia="Times New Roman" w:hAnsi="Arial" w:cs="Arial"/>
                <w:sz w:val="22"/>
                <w:szCs w:val="22"/>
                <w:lang w:eastAsia="es-CO"/>
              </w:rPr>
              <w:t> </w:t>
            </w:r>
          </w:p>
          <w:p w14:paraId="07D73298"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eastAsia="es-CO"/>
              </w:rPr>
            </w:pPr>
            <w:r w:rsidRPr="00FF435D">
              <w:rPr>
                <w:rFonts w:ascii="Arial" w:eastAsia="Times New Roman" w:hAnsi="Arial" w:cs="Arial"/>
                <w:sz w:val="22"/>
                <w:szCs w:val="22"/>
                <w:lang w:eastAsia="es-CO"/>
              </w:rPr>
              <w:t xml:space="preserve">Agitación, respiración de </w:t>
            </w:r>
            <w:proofErr w:type="spellStart"/>
            <w:r w:rsidRPr="00FF435D">
              <w:rPr>
                <w:rFonts w:ascii="Arial" w:eastAsia="Times New Roman" w:hAnsi="Arial" w:cs="Arial"/>
                <w:sz w:val="22"/>
                <w:szCs w:val="22"/>
                <w:lang w:eastAsia="es-CO"/>
              </w:rPr>
              <w:t>Cheyne</w:t>
            </w:r>
            <w:proofErr w:type="spellEnd"/>
            <w:r w:rsidRPr="00FF435D">
              <w:rPr>
                <w:rFonts w:ascii="Arial" w:eastAsia="Times New Roman" w:hAnsi="Arial" w:cs="Arial"/>
                <w:sz w:val="22"/>
                <w:szCs w:val="22"/>
                <w:lang w:eastAsia="es-CO"/>
              </w:rPr>
              <w:t xml:space="preserve"> Stokes, deterioro del estado de conciencia, piel moteada, respiración ruidosa, pérdida de peso </w:t>
            </w:r>
            <w:proofErr w:type="spellStart"/>
            <w:r w:rsidRPr="00FF435D">
              <w:rPr>
                <w:rFonts w:ascii="Arial" w:eastAsia="Times New Roman" w:hAnsi="Arial" w:cs="Arial"/>
                <w:sz w:val="22"/>
                <w:szCs w:val="22"/>
                <w:lang w:eastAsia="es-CO"/>
              </w:rPr>
              <w:t>progresiva.Pérdida</w:t>
            </w:r>
            <w:proofErr w:type="spellEnd"/>
            <w:r w:rsidRPr="00FF435D">
              <w:rPr>
                <w:rFonts w:ascii="Arial" w:eastAsia="Times New Roman" w:hAnsi="Arial" w:cs="Arial"/>
                <w:sz w:val="22"/>
                <w:szCs w:val="22"/>
                <w:lang w:eastAsia="es-CO"/>
              </w:rPr>
              <w:t xml:space="preserve"> de apetito y aumento de fatiga. Cambios en comunicación, deterioro de la movilidad o estado funcional, o retiro social </w:t>
            </w:r>
          </w:p>
        </w:tc>
        <w:tc>
          <w:tcPr>
            <w:tcW w:w="3960" w:type="dxa"/>
            <w:tcBorders>
              <w:top w:val="single" w:sz="6" w:space="0" w:color="000000"/>
              <w:left w:val="single" w:sz="6" w:space="0" w:color="000000"/>
              <w:bottom w:val="single" w:sz="6" w:space="0" w:color="000000"/>
              <w:right w:val="single" w:sz="6" w:space="0" w:color="000000"/>
            </w:tcBorders>
            <w:shd w:val="clear" w:color="auto" w:fill="auto"/>
            <w:hideMark/>
          </w:tcPr>
          <w:p w14:paraId="65BCA105"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eastAsia="es-CO"/>
              </w:rPr>
            </w:pPr>
            <w:r w:rsidRPr="00FF435D">
              <w:rPr>
                <w:rFonts w:ascii="Arial" w:eastAsia="Times New Roman" w:hAnsi="Arial" w:cs="Arial"/>
                <w:sz w:val="22"/>
                <w:szCs w:val="22"/>
                <w:lang w:eastAsia="es-CO"/>
              </w:rPr>
              <w:t> </w:t>
            </w:r>
          </w:p>
          <w:p w14:paraId="107A38AD"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eastAsia="es-CO"/>
              </w:rPr>
            </w:pPr>
            <w:r w:rsidRPr="00FF435D">
              <w:rPr>
                <w:rFonts w:ascii="Arial" w:eastAsia="Times New Roman" w:hAnsi="Arial" w:cs="Arial"/>
                <w:sz w:val="22"/>
                <w:szCs w:val="22"/>
                <w:lang w:eastAsia="es-CO"/>
              </w:rPr>
              <w:t>Evaluar los cambios en los signos y síntomas de la persona y revisar los resultados de cualquier estudio que ya se haya reportado y que pueda sugerir que está entrando en los últimos días de vida.  </w:t>
            </w:r>
          </w:p>
          <w:p w14:paraId="3BDD01FD"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eastAsia="es-CO"/>
              </w:rPr>
            </w:pPr>
            <w:r w:rsidRPr="00FF435D">
              <w:rPr>
                <w:rFonts w:ascii="Arial" w:eastAsia="Times New Roman" w:hAnsi="Arial" w:cs="Arial"/>
                <w:sz w:val="22"/>
                <w:szCs w:val="22"/>
                <w:lang w:eastAsia="es-CO"/>
              </w:rPr>
              <w:t> </w:t>
            </w:r>
          </w:p>
          <w:p w14:paraId="28A22925"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eastAsia="es-CO"/>
              </w:rPr>
            </w:pPr>
            <w:r w:rsidRPr="00FF435D">
              <w:rPr>
                <w:rFonts w:ascii="Arial" w:eastAsia="Times New Roman" w:hAnsi="Arial" w:cs="Arial"/>
                <w:sz w:val="22"/>
                <w:szCs w:val="22"/>
                <w:lang w:eastAsia="es-CO"/>
              </w:rPr>
              <w:t>Estos cambios incluyen lo siguiente:  </w:t>
            </w:r>
          </w:p>
          <w:p w14:paraId="701128EF"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eastAsia="es-CO"/>
              </w:rPr>
            </w:pPr>
            <w:r w:rsidRPr="00FF435D">
              <w:rPr>
                <w:rFonts w:ascii="Arial" w:eastAsia="Times New Roman" w:hAnsi="Arial" w:cs="Arial"/>
                <w:sz w:val="22"/>
                <w:szCs w:val="22"/>
                <w:lang w:eastAsia="es-CO"/>
              </w:rPr>
              <w:t xml:space="preserve">Signos como agitación, respiración de </w:t>
            </w:r>
            <w:proofErr w:type="spellStart"/>
            <w:r w:rsidRPr="00FF435D">
              <w:rPr>
                <w:rFonts w:ascii="Arial" w:eastAsia="Times New Roman" w:hAnsi="Arial" w:cs="Arial"/>
                <w:sz w:val="22"/>
                <w:szCs w:val="22"/>
                <w:lang w:eastAsia="es-CO"/>
              </w:rPr>
              <w:t>Cheyne</w:t>
            </w:r>
            <w:proofErr w:type="spellEnd"/>
            <w:r w:rsidRPr="00FF435D">
              <w:rPr>
                <w:rFonts w:ascii="Arial" w:eastAsia="Times New Roman" w:hAnsi="Arial" w:cs="Arial"/>
                <w:sz w:val="22"/>
                <w:szCs w:val="22"/>
                <w:lang w:eastAsia="es-CO"/>
              </w:rPr>
              <w:t>-Stokes, deterioro del nivel de conciencia, piel moteada, secreciones respiratorias ruidosas y pérdida de peso progresiva. Síntomas como fatiga creciente y pérdida de apetito.  </w:t>
            </w:r>
          </w:p>
          <w:p w14:paraId="5D5C5760"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eastAsia="es-CO"/>
              </w:rPr>
            </w:pPr>
            <w:r w:rsidRPr="00FF435D">
              <w:rPr>
                <w:rFonts w:ascii="Arial" w:eastAsia="Times New Roman" w:hAnsi="Arial" w:cs="Arial"/>
                <w:sz w:val="22"/>
                <w:szCs w:val="22"/>
                <w:lang w:eastAsia="es-CO"/>
              </w:rPr>
              <w:t>Observaciones funcionales como cambios en la comunicación, deterioro de la movilidad o estado funcional, o retraimiento social (4) </w:t>
            </w:r>
          </w:p>
          <w:p w14:paraId="3A90F623"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eastAsia="es-CO"/>
              </w:rPr>
            </w:pPr>
            <w:r w:rsidRPr="00FF435D">
              <w:rPr>
                <w:rFonts w:ascii="Arial" w:eastAsia="Times New Roman" w:hAnsi="Arial" w:cs="Arial"/>
                <w:sz w:val="22"/>
                <w:szCs w:val="22"/>
                <w:lang w:eastAsia="es-CO"/>
              </w:rPr>
              <w:t> </w:t>
            </w:r>
          </w:p>
        </w:tc>
      </w:tr>
      <w:tr w:rsidR="00FF435D" w:rsidRPr="00FF435D" w14:paraId="7E5FEEA3" w14:textId="77777777" w:rsidTr="00FF435D">
        <w:trPr>
          <w:trHeight w:val="300"/>
        </w:trPr>
        <w:tc>
          <w:tcPr>
            <w:tcW w:w="1710" w:type="dxa"/>
            <w:tcBorders>
              <w:top w:val="single" w:sz="6" w:space="0" w:color="000000"/>
              <w:left w:val="single" w:sz="6" w:space="0" w:color="000000"/>
              <w:bottom w:val="single" w:sz="6" w:space="0" w:color="000000"/>
              <w:right w:val="single" w:sz="6" w:space="0" w:color="000000"/>
            </w:tcBorders>
            <w:shd w:val="clear" w:color="auto" w:fill="auto"/>
            <w:hideMark/>
          </w:tcPr>
          <w:p w14:paraId="2904F62B"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eastAsia="es-CO"/>
              </w:rPr>
            </w:pPr>
            <w:r w:rsidRPr="00FF435D">
              <w:rPr>
                <w:rFonts w:ascii="Arial" w:eastAsia="Times New Roman" w:hAnsi="Arial" w:cs="Arial"/>
                <w:sz w:val="22"/>
                <w:szCs w:val="22"/>
                <w:lang w:eastAsia="es-CO"/>
              </w:rPr>
              <w:t> </w:t>
            </w:r>
          </w:p>
          <w:p w14:paraId="3E649C7F"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val="en-US" w:eastAsia="es-CO"/>
              </w:rPr>
            </w:pPr>
            <w:r w:rsidRPr="00FF435D">
              <w:rPr>
                <w:rFonts w:ascii="Arial" w:eastAsia="Times New Roman" w:hAnsi="Arial" w:cs="Arial"/>
                <w:sz w:val="22"/>
                <w:szCs w:val="22"/>
                <w:lang w:val="en-US" w:eastAsia="es-CO"/>
              </w:rPr>
              <w:t>End-of-life Care </w:t>
            </w:r>
          </w:p>
          <w:p w14:paraId="34D49BEA"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val="en-US" w:eastAsia="es-CO"/>
              </w:rPr>
            </w:pPr>
            <w:r w:rsidRPr="00FF435D">
              <w:rPr>
                <w:rFonts w:ascii="Arial" w:eastAsia="Times New Roman" w:hAnsi="Arial" w:cs="Arial"/>
                <w:sz w:val="22"/>
                <w:szCs w:val="22"/>
                <w:lang w:val="en-US" w:eastAsia="es-CO"/>
              </w:rPr>
              <w:lastRenderedPageBreak/>
              <w:t>During the Last Days and Hours    </w:t>
            </w:r>
          </w:p>
          <w:p w14:paraId="5B6E2970"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val="en-US" w:eastAsia="es-CO"/>
              </w:rPr>
            </w:pPr>
            <w:r w:rsidRPr="00FF435D">
              <w:rPr>
                <w:rFonts w:ascii="Arial" w:eastAsia="Times New Roman" w:hAnsi="Arial" w:cs="Arial"/>
                <w:sz w:val="22"/>
                <w:szCs w:val="22"/>
                <w:lang w:val="en-US" w:eastAsia="es-CO"/>
              </w:rPr>
              <w:t> </w:t>
            </w:r>
          </w:p>
          <w:p w14:paraId="2C3887D4"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val="en-US" w:eastAsia="es-CO"/>
              </w:rPr>
            </w:pPr>
            <w:r w:rsidRPr="00FF435D">
              <w:rPr>
                <w:rFonts w:ascii="Arial" w:eastAsia="Times New Roman" w:hAnsi="Arial" w:cs="Arial"/>
                <w:sz w:val="22"/>
                <w:szCs w:val="22"/>
                <w:lang w:val="en-US" w:eastAsia="es-CO"/>
              </w:rPr>
              <w:t>(2011, RNAO Registered Nurses Association of Ontario)  Canada </w:t>
            </w:r>
          </w:p>
        </w:tc>
        <w:tc>
          <w:tcPr>
            <w:tcW w:w="2250" w:type="dxa"/>
            <w:tcBorders>
              <w:top w:val="single" w:sz="6" w:space="0" w:color="000000"/>
              <w:left w:val="single" w:sz="6" w:space="0" w:color="000000"/>
              <w:bottom w:val="single" w:sz="6" w:space="0" w:color="000000"/>
              <w:right w:val="single" w:sz="6" w:space="0" w:color="000000"/>
            </w:tcBorders>
            <w:shd w:val="clear" w:color="auto" w:fill="auto"/>
            <w:hideMark/>
          </w:tcPr>
          <w:p w14:paraId="0FBF9733"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val="en-US" w:eastAsia="es-CO"/>
              </w:rPr>
            </w:pPr>
            <w:r w:rsidRPr="00FF435D">
              <w:rPr>
                <w:rFonts w:ascii="Arial" w:eastAsia="Times New Roman" w:hAnsi="Arial" w:cs="Arial"/>
                <w:sz w:val="22"/>
                <w:szCs w:val="22"/>
                <w:lang w:val="en-US" w:eastAsia="es-CO"/>
              </w:rPr>
              <w:lastRenderedPageBreak/>
              <w:t> </w:t>
            </w:r>
          </w:p>
          <w:p w14:paraId="4418486F"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eastAsia="es-CO"/>
              </w:rPr>
            </w:pPr>
            <w:r w:rsidRPr="00FF435D">
              <w:rPr>
                <w:rFonts w:ascii="Arial" w:eastAsia="Times New Roman" w:hAnsi="Arial" w:cs="Arial"/>
                <w:sz w:val="22"/>
                <w:szCs w:val="22"/>
                <w:lang w:eastAsia="es-CO"/>
              </w:rPr>
              <w:t xml:space="preserve">Pacientes mayores de 18 años que hayan </w:t>
            </w:r>
            <w:r w:rsidRPr="00FF435D">
              <w:rPr>
                <w:rFonts w:ascii="Arial" w:eastAsia="Times New Roman" w:hAnsi="Arial" w:cs="Arial"/>
                <w:sz w:val="22"/>
                <w:szCs w:val="22"/>
                <w:lang w:eastAsia="es-CO"/>
              </w:rPr>
              <w:lastRenderedPageBreak/>
              <w:t xml:space="preserve">llegado a la trayectoria de la enfermedad donde solo tienen </w:t>
            </w:r>
            <w:proofErr w:type="spellStart"/>
            <w:r w:rsidRPr="00FF435D">
              <w:rPr>
                <w:rFonts w:ascii="Arial" w:eastAsia="Times New Roman" w:hAnsi="Arial" w:cs="Arial"/>
                <w:sz w:val="22"/>
                <w:szCs w:val="22"/>
                <w:lang w:eastAsia="es-CO"/>
              </w:rPr>
              <w:t>dias</w:t>
            </w:r>
            <w:proofErr w:type="spellEnd"/>
            <w:r w:rsidRPr="00FF435D">
              <w:rPr>
                <w:rFonts w:ascii="Arial" w:eastAsia="Times New Roman" w:hAnsi="Arial" w:cs="Arial"/>
                <w:sz w:val="22"/>
                <w:szCs w:val="22"/>
                <w:lang w:eastAsia="es-CO"/>
              </w:rPr>
              <w:t xml:space="preserve"> o horas de vida </w:t>
            </w:r>
          </w:p>
        </w:tc>
        <w:tc>
          <w:tcPr>
            <w:tcW w:w="2025" w:type="dxa"/>
            <w:tcBorders>
              <w:top w:val="single" w:sz="6" w:space="0" w:color="000000"/>
              <w:left w:val="single" w:sz="6" w:space="0" w:color="000000"/>
              <w:bottom w:val="single" w:sz="6" w:space="0" w:color="000000"/>
              <w:right w:val="single" w:sz="6" w:space="0" w:color="000000"/>
            </w:tcBorders>
            <w:shd w:val="clear" w:color="auto" w:fill="auto"/>
            <w:hideMark/>
          </w:tcPr>
          <w:p w14:paraId="729F9A0C"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eastAsia="es-CO"/>
              </w:rPr>
            </w:pPr>
            <w:r w:rsidRPr="00FF435D">
              <w:rPr>
                <w:rFonts w:ascii="Arial" w:eastAsia="Times New Roman" w:hAnsi="Arial" w:cs="Arial"/>
                <w:sz w:val="22"/>
                <w:szCs w:val="22"/>
                <w:lang w:eastAsia="es-CO"/>
              </w:rPr>
              <w:lastRenderedPageBreak/>
              <w:t> </w:t>
            </w:r>
          </w:p>
          <w:p w14:paraId="6FE5A263"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eastAsia="es-CO"/>
              </w:rPr>
            </w:pPr>
            <w:proofErr w:type="spellStart"/>
            <w:r w:rsidRPr="00FF435D">
              <w:rPr>
                <w:rFonts w:ascii="Arial" w:eastAsia="Times New Roman" w:hAnsi="Arial" w:cs="Arial"/>
                <w:sz w:val="22"/>
                <w:szCs w:val="22"/>
                <w:lang w:eastAsia="es-CO"/>
              </w:rPr>
              <w:t>Ultimos</w:t>
            </w:r>
            <w:proofErr w:type="spellEnd"/>
            <w:r w:rsidRPr="00FF435D">
              <w:rPr>
                <w:rFonts w:ascii="Arial" w:eastAsia="Times New Roman" w:hAnsi="Arial" w:cs="Arial"/>
                <w:sz w:val="22"/>
                <w:szCs w:val="22"/>
                <w:lang w:eastAsia="es-CO"/>
              </w:rPr>
              <w:t xml:space="preserve"> </w:t>
            </w:r>
            <w:proofErr w:type="spellStart"/>
            <w:r w:rsidRPr="00FF435D">
              <w:rPr>
                <w:rFonts w:ascii="Arial" w:eastAsia="Times New Roman" w:hAnsi="Arial" w:cs="Arial"/>
                <w:sz w:val="22"/>
                <w:szCs w:val="22"/>
                <w:lang w:eastAsia="es-CO"/>
              </w:rPr>
              <w:t>dias</w:t>
            </w:r>
            <w:proofErr w:type="spellEnd"/>
            <w:r w:rsidRPr="00FF435D">
              <w:rPr>
                <w:rFonts w:ascii="Arial" w:eastAsia="Times New Roman" w:hAnsi="Arial" w:cs="Arial"/>
                <w:sz w:val="22"/>
                <w:szCs w:val="22"/>
                <w:lang w:eastAsia="es-CO"/>
              </w:rPr>
              <w:t xml:space="preserve"> u horas de vida </w:t>
            </w:r>
          </w:p>
        </w:tc>
        <w:tc>
          <w:tcPr>
            <w:tcW w:w="3090" w:type="dxa"/>
            <w:tcBorders>
              <w:top w:val="single" w:sz="6" w:space="0" w:color="000000"/>
              <w:left w:val="single" w:sz="6" w:space="0" w:color="000000"/>
              <w:bottom w:val="single" w:sz="6" w:space="0" w:color="000000"/>
              <w:right w:val="single" w:sz="6" w:space="0" w:color="000000"/>
            </w:tcBorders>
            <w:shd w:val="clear" w:color="auto" w:fill="auto"/>
            <w:hideMark/>
          </w:tcPr>
          <w:p w14:paraId="57939CAF"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eastAsia="es-CO"/>
              </w:rPr>
            </w:pPr>
            <w:r w:rsidRPr="00FF435D">
              <w:rPr>
                <w:rFonts w:ascii="Arial" w:eastAsia="Times New Roman" w:hAnsi="Arial" w:cs="Arial"/>
                <w:sz w:val="22"/>
                <w:szCs w:val="22"/>
                <w:lang w:eastAsia="es-CO"/>
              </w:rPr>
              <w:t> </w:t>
            </w:r>
          </w:p>
          <w:p w14:paraId="54EED4FE"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eastAsia="es-CO"/>
              </w:rPr>
            </w:pPr>
            <w:proofErr w:type="spellStart"/>
            <w:r w:rsidRPr="00FF435D">
              <w:rPr>
                <w:rFonts w:ascii="Arial" w:eastAsia="Times New Roman" w:hAnsi="Arial" w:cs="Arial"/>
                <w:sz w:val="22"/>
                <w:szCs w:val="22"/>
                <w:lang w:eastAsia="es-CO"/>
              </w:rPr>
              <w:t>Progresion</w:t>
            </w:r>
            <w:proofErr w:type="spellEnd"/>
            <w:r w:rsidRPr="00FF435D">
              <w:rPr>
                <w:rFonts w:ascii="Arial" w:eastAsia="Times New Roman" w:hAnsi="Arial" w:cs="Arial"/>
                <w:sz w:val="22"/>
                <w:szCs w:val="22"/>
                <w:lang w:eastAsia="es-CO"/>
              </w:rPr>
              <w:t xml:space="preserve"> de la debilidad, </w:t>
            </w:r>
            <w:proofErr w:type="spellStart"/>
            <w:r w:rsidRPr="00FF435D">
              <w:rPr>
                <w:rFonts w:ascii="Arial" w:eastAsia="Times New Roman" w:hAnsi="Arial" w:cs="Arial"/>
                <w:sz w:val="22"/>
                <w:szCs w:val="22"/>
                <w:lang w:eastAsia="es-CO"/>
              </w:rPr>
              <w:t>postracion</w:t>
            </w:r>
            <w:proofErr w:type="spellEnd"/>
            <w:r w:rsidRPr="00FF435D">
              <w:rPr>
                <w:rFonts w:ascii="Arial" w:eastAsia="Times New Roman" w:hAnsi="Arial" w:cs="Arial"/>
                <w:sz w:val="22"/>
                <w:szCs w:val="22"/>
                <w:lang w:eastAsia="es-CO"/>
              </w:rPr>
              <w:t xml:space="preserve"> en cama, </w:t>
            </w:r>
            <w:r w:rsidRPr="00FF435D">
              <w:rPr>
                <w:rFonts w:ascii="Arial" w:eastAsia="Times New Roman" w:hAnsi="Arial" w:cs="Arial"/>
                <w:sz w:val="22"/>
                <w:szCs w:val="22"/>
                <w:lang w:eastAsia="es-CO"/>
              </w:rPr>
              <w:lastRenderedPageBreak/>
              <w:t xml:space="preserve">somnolencia, </w:t>
            </w:r>
            <w:proofErr w:type="spellStart"/>
            <w:r w:rsidRPr="00FF435D">
              <w:rPr>
                <w:rFonts w:ascii="Arial" w:eastAsia="Times New Roman" w:hAnsi="Arial" w:cs="Arial"/>
                <w:sz w:val="22"/>
                <w:szCs w:val="22"/>
                <w:lang w:eastAsia="es-CO"/>
              </w:rPr>
              <w:t>disminucion</w:t>
            </w:r>
            <w:proofErr w:type="spellEnd"/>
            <w:r w:rsidRPr="00FF435D">
              <w:rPr>
                <w:rFonts w:ascii="Arial" w:eastAsia="Times New Roman" w:hAnsi="Arial" w:cs="Arial"/>
                <w:sz w:val="22"/>
                <w:szCs w:val="22"/>
                <w:lang w:eastAsia="es-CO"/>
              </w:rPr>
              <w:t xml:space="preserve"> de ingesta de alimentos, oliguria, disfagia, delirium no reversible, </w:t>
            </w:r>
            <w:proofErr w:type="spellStart"/>
            <w:r w:rsidRPr="00FF435D">
              <w:rPr>
                <w:rFonts w:ascii="Arial" w:eastAsia="Times New Roman" w:hAnsi="Arial" w:cs="Arial"/>
                <w:sz w:val="22"/>
                <w:szCs w:val="22"/>
                <w:lang w:eastAsia="es-CO"/>
              </w:rPr>
              <w:t>respiracion</w:t>
            </w:r>
            <w:proofErr w:type="spellEnd"/>
            <w:r w:rsidRPr="00FF435D">
              <w:rPr>
                <w:rFonts w:ascii="Arial" w:eastAsia="Times New Roman" w:hAnsi="Arial" w:cs="Arial"/>
                <w:sz w:val="22"/>
                <w:szCs w:val="22"/>
                <w:lang w:eastAsia="es-CO"/>
              </w:rPr>
              <w:t xml:space="preserve"> ruidosa, aumento de secreciones respiratorias, </w:t>
            </w:r>
            <w:proofErr w:type="spellStart"/>
            <w:r w:rsidRPr="00FF435D">
              <w:rPr>
                <w:rFonts w:ascii="Arial" w:eastAsia="Times New Roman" w:hAnsi="Arial" w:cs="Arial"/>
                <w:sz w:val="22"/>
                <w:szCs w:val="22"/>
                <w:lang w:eastAsia="es-CO"/>
              </w:rPr>
              <w:t>patron</w:t>
            </w:r>
            <w:proofErr w:type="spellEnd"/>
            <w:r w:rsidRPr="00FF435D">
              <w:rPr>
                <w:rFonts w:ascii="Arial" w:eastAsia="Times New Roman" w:hAnsi="Arial" w:cs="Arial"/>
                <w:sz w:val="22"/>
                <w:szCs w:val="22"/>
                <w:lang w:eastAsia="es-CO"/>
              </w:rPr>
              <w:t xml:space="preserve"> respiratorio </w:t>
            </w:r>
            <w:proofErr w:type="spellStart"/>
            <w:r w:rsidRPr="00FF435D">
              <w:rPr>
                <w:rFonts w:ascii="Arial" w:eastAsia="Times New Roman" w:hAnsi="Arial" w:cs="Arial"/>
                <w:sz w:val="22"/>
                <w:szCs w:val="22"/>
                <w:lang w:eastAsia="es-CO"/>
              </w:rPr>
              <w:t>Cheyne-Strokes</w:t>
            </w:r>
            <w:proofErr w:type="spellEnd"/>
            <w:r w:rsidRPr="00FF435D">
              <w:rPr>
                <w:rFonts w:ascii="Arial" w:eastAsia="Times New Roman" w:hAnsi="Arial" w:cs="Arial"/>
                <w:sz w:val="22"/>
                <w:szCs w:val="22"/>
                <w:lang w:eastAsia="es-CO"/>
              </w:rPr>
              <w:t xml:space="preserve">, presencia de apneas, piel moteada y extremidades </w:t>
            </w:r>
            <w:proofErr w:type="spellStart"/>
            <w:r w:rsidRPr="00FF435D">
              <w:rPr>
                <w:rFonts w:ascii="Arial" w:eastAsia="Times New Roman" w:hAnsi="Arial" w:cs="Arial"/>
                <w:sz w:val="22"/>
                <w:szCs w:val="22"/>
                <w:lang w:eastAsia="es-CO"/>
              </w:rPr>
              <w:t>frias</w:t>
            </w:r>
            <w:proofErr w:type="spellEnd"/>
            <w:r w:rsidRPr="00FF435D">
              <w:rPr>
                <w:rFonts w:ascii="Arial" w:eastAsia="Times New Roman" w:hAnsi="Arial" w:cs="Arial"/>
                <w:sz w:val="22"/>
                <w:szCs w:val="22"/>
                <w:lang w:eastAsia="es-CO"/>
              </w:rPr>
              <w:t> </w:t>
            </w:r>
          </w:p>
        </w:tc>
        <w:tc>
          <w:tcPr>
            <w:tcW w:w="3960" w:type="dxa"/>
            <w:tcBorders>
              <w:top w:val="single" w:sz="6" w:space="0" w:color="000000"/>
              <w:left w:val="single" w:sz="6" w:space="0" w:color="000000"/>
              <w:bottom w:val="single" w:sz="6" w:space="0" w:color="000000"/>
              <w:right w:val="single" w:sz="6" w:space="0" w:color="000000"/>
            </w:tcBorders>
            <w:shd w:val="clear" w:color="auto" w:fill="auto"/>
            <w:hideMark/>
          </w:tcPr>
          <w:p w14:paraId="696DF1EE"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eastAsia="es-CO"/>
              </w:rPr>
            </w:pPr>
            <w:r w:rsidRPr="00FF435D">
              <w:rPr>
                <w:rFonts w:ascii="Arial" w:eastAsia="Times New Roman" w:hAnsi="Arial" w:cs="Arial"/>
                <w:sz w:val="22"/>
                <w:szCs w:val="22"/>
                <w:lang w:eastAsia="es-CO"/>
              </w:rPr>
              <w:lastRenderedPageBreak/>
              <w:t> </w:t>
            </w:r>
          </w:p>
          <w:p w14:paraId="39E7399D"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eastAsia="es-CO"/>
              </w:rPr>
            </w:pPr>
            <w:r w:rsidRPr="00FF435D">
              <w:rPr>
                <w:rFonts w:ascii="Arial" w:eastAsia="Times New Roman" w:hAnsi="Arial" w:cs="Arial"/>
                <w:sz w:val="22"/>
                <w:szCs w:val="22"/>
                <w:lang w:eastAsia="es-CO"/>
              </w:rPr>
              <w:t xml:space="preserve">Las enfermeras deben identificar a los pacientes que se encuentran en los </w:t>
            </w:r>
            <w:r w:rsidRPr="00FF435D">
              <w:rPr>
                <w:rFonts w:ascii="Arial" w:eastAsia="Times New Roman" w:hAnsi="Arial" w:cs="Arial"/>
                <w:sz w:val="22"/>
                <w:szCs w:val="22"/>
                <w:lang w:eastAsia="es-CO"/>
              </w:rPr>
              <w:lastRenderedPageBreak/>
              <w:t xml:space="preserve">últimos días y horas de vida. Nivel de evidencia: </w:t>
            </w:r>
            <w:proofErr w:type="spellStart"/>
            <w:r w:rsidRPr="00FF435D">
              <w:rPr>
                <w:rFonts w:ascii="Arial" w:eastAsia="Times New Roman" w:hAnsi="Arial" w:cs="Arial"/>
                <w:sz w:val="22"/>
                <w:szCs w:val="22"/>
                <w:lang w:eastAsia="es-CO"/>
              </w:rPr>
              <w:t>IIa</w:t>
            </w:r>
            <w:proofErr w:type="spellEnd"/>
            <w:r w:rsidRPr="00FF435D">
              <w:rPr>
                <w:rFonts w:ascii="Arial" w:eastAsia="Times New Roman" w:hAnsi="Arial" w:cs="Arial"/>
                <w:sz w:val="22"/>
                <w:szCs w:val="22"/>
                <w:lang w:eastAsia="es-CO"/>
              </w:rPr>
              <w:t>–IV (5)   </w:t>
            </w:r>
          </w:p>
          <w:p w14:paraId="769A0310"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eastAsia="es-CO"/>
              </w:rPr>
            </w:pPr>
            <w:r w:rsidRPr="00FF435D">
              <w:rPr>
                <w:rFonts w:ascii="Arial" w:eastAsia="Times New Roman" w:hAnsi="Arial" w:cs="Arial"/>
                <w:sz w:val="22"/>
                <w:szCs w:val="22"/>
                <w:lang w:eastAsia="es-CO"/>
              </w:rPr>
              <w:t>  </w:t>
            </w:r>
          </w:p>
          <w:p w14:paraId="0D748483"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eastAsia="es-CO"/>
              </w:rPr>
            </w:pPr>
            <w:r w:rsidRPr="00FF435D">
              <w:rPr>
                <w:rFonts w:ascii="Arial" w:eastAsia="Times New Roman" w:hAnsi="Arial" w:cs="Arial"/>
                <w:sz w:val="22"/>
                <w:szCs w:val="22"/>
                <w:lang w:eastAsia="es-CO"/>
              </w:rPr>
              <w:t xml:space="preserve">Las enfermeras deben reconocer y responder a los factores que influyen en la participación de los pacientes y sus familias en la toma de decisiones al final de la vida. Nivel de evidencia: </w:t>
            </w:r>
            <w:proofErr w:type="spellStart"/>
            <w:r w:rsidRPr="00FF435D">
              <w:rPr>
                <w:rFonts w:ascii="Arial" w:eastAsia="Times New Roman" w:hAnsi="Arial" w:cs="Arial"/>
                <w:sz w:val="22"/>
                <w:szCs w:val="22"/>
                <w:lang w:eastAsia="es-CO"/>
              </w:rPr>
              <w:t>Ib</w:t>
            </w:r>
            <w:proofErr w:type="spellEnd"/>
            <w:r w:rsidRPr="00FF435D">
              <w:rPr>
                <w:rFonts w:ascii="Arial" w:eastAsia="Times New Roman" w:hAnsi="Arial" w:cs="Arial"/>
                <w:sz w:val="22"/>
                <w:szCs w:val="22"/>
                <w:lang w:eastAsia="es-CO"/>
              </w:rPr>
              <w:t>, IV, IV. (5)   </w:t>
            </w:r>
          </w:p>
          <w:p w14:paraId="4A0C4744"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eastAsia="es-CO"/>
              </w:rPr>
            </w:pPr>
            <w:r w:rsidRPr="00FF435D">
              <w:rPr>
                <w:rFonts w:ascii="Arial" w:eastAsia="Times New Roman" w:hAnsi="Arial" w:cs="Arial"/>
                <w:sz w:val="22"/>
                <w:szCs w:val="22"/>
                <w:lang w:eastAsia="es-CO"/>
              </w:rPr>
              <w:t>  </w:t>
            </w:r>
          </w:p>
          <w:p w14:paraId="5416E5F3"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eastAsia="es-CO"/>
              </w:rPr>
            </w:pPr>
            <w:r w:rsidRPr="00FF435D">
              <w:rPr>
                <w:rFonts w:ascii="Arial" w:eastAsia="Times New Roman" w:hAnsi="Arial" w:cs="Arial"/>
                <w:sz w:val="22"/>
                <w:szCs w:val="22"/>
                <w:lang w:eastAsia="es-CO"/>
              </w:rPr>
              <w:t xml:space="preserve">Las enfermeras deben comprender los signos y síntomas comunes presentes durante los últimos días y horas de vida. Nivel de evidencia: </w:t>
            </w:r>
            <w:proofErr w:type="spellStart"/>
            <w:r w:rsidRPr="00FF435D">
              <w:rPr>
                <w:rFonts w:ascii="Arial" w:eastAsia="Times New Roman" w:hAnsi="Arial" w:cs="Arial"/>
                <w:sz w:val="22"/>
                <w:szCs w:val="22"/>
                <w:lang w:eastAsia="es-CO"/>
              </w:rPr>
              <w:t>IIb</w:t>
            </w:r>
            <w:proofErr w:type="spellEnd"/>
            <w:r w:rsidRPr="00FF435D">
              <w:rPr>
                <w:rFonts w:ascii="Arial" w:eastAsia="Times New Roman" w:hAnsi="Arial" w:cs="Arial"/>
                <w:sz w:val="22"/>
                <w:szCs w:val="22"/>
                <w:lang w:eastAsia="es-CO"/>
              </w:rPr>
              <w:t>–IV (5)  </w:t>
            </w:r>
          </w:p>
          <w:p w14:paraId="0D808AD9"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eastAsia="es-CO"/>
              </w:rPr>
            </w:pPr>
            <w:r w:rsidRPr="00FF435D">
              <w:rPr>
                <w:rFonts w:ascii="Arial" w:eastAsia="Times New Roman" w:hAnsi="Arial" w:cs="Arial"/>
                <w:sz w:val="22"/>
                <w:szCs w:val="22"/>
                <w:lang w:eastAsia="es-CO"/>
              </w:rPr>
              <w:t>  </w:t>
            </w:r>
          </w:p>
          <w:p w14:paraId="175B6C12"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eastAsia="es-CO"/>
              </w:rPr>
            </w:pPr>
            <w:r w:rsidRPr="00FF435D">
              <w:rPr>
                <w:rFonts w:ascii="Arial" w:eastAsia="Times New Roman" w:hAnsi="Arial" w:cs="Arial"/>
                <w:sz w:val="22"/>
                <w:szCs w:val="22"/>
                <w:lang w:eastAsia="es-CO"/>
              </w:rPr>
              <w:t xml:space="preserve">Las enfermeras deben realizar una evaluación holística y completa de los pacientes y sus familias, basada en los Dominios de Cuidado de la Asociación Canadiense de Cuidados Paliativos (CHPCA) Nivel de evidencia: </w:t>
            </w:r>
            <w:proofErr w:type="spellStart"/>
            <w:r w:rsidRPr="00FF435D">
              <w:rPr>
                <w:rFonts w:ascii="Arial" w:eastAsia="Times New Roman" w:hAnsi="Arial" w:cs="Arial"/>
                <w:sz w:val="22"/>
                <w:szCs w:val="22"/>
                <w:lang w:eastAsia="es-CO"/>
              </w:rPr>
              <w:t>IIb</w:t>
            </w:r>
            <w:proofErr w:type="spellEnd"/>
            <w:r w:rsidRPr="00FF435D">
              <w:rPr>
                <w:rFonts w:ascii="Arial" w:eastAsia="Times New Roman" w:hAnsi="Arial" w:cs="Arial"/>
                <w:sz w:val="22"/>
                <w:szCs w:val="22"/>
                <w:lang w:eastAsia="es-CO"/>
              </w:rPr>
              <w:t>–IV.(5)  </w:t>
            </w:r>
          </w:p>
          <w:p w14:paraId="294D9BB9"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eastAsia="es-CO"/>
              </w:rPr>
            </w:pPr>
            <w:r w:rsidRPr="00FF435D">
              <w:rPr>
                <w:rFonts w:ascii="Arial" w:eastAsia="Times New Roman" w:hAnsi="Arial" w:cs="Arial"/>
                <w:sz w:val="22"/>
                <w:szCs w:val="22"/>
                <w:lang w:eastAsia="es-CO"/>
              </w:rPr>
              <w:t>  </w:t>
            </w:r>
          </w:p>
          <w:p w14:paraId="215BCFFE"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eastAsia="es-CO"/>
              </w:rPr>
            </w:pPr>
            <w:r w:rsidRPr="00FF435D">
              <w:rPr>
                <w:rFonts w:ascii="Arial" w:eastAsia="Times New Roman" w:hAnsi="Arial" w:cs="Arial"/>
                <w:sz w:val="22"/>
                <w:szCs w:val="22"/>
                <w:lang w:eastAsia="es-CO"/>
              </w:rPr>
              <w:t>Uso de la experiencia clínica, indicadores específicos de la enfermedad y herramientas validadas para identificar a los pacientes en los últimos días de vida. Nivel de evidencia: IV (5)  </w:t>
            </w:r>
          </w:p>
          <w:p w14:paraId="5A46F733"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eastAsia="es-CO"/>
              </w:rPr>
            </w:pPr>
            <w:r w:rsidRPr="00FF435D">
              <w:rPr>
                <w:rFonts w:ascii="Arial" w:eastAsia="Times New Roman" w:hAnsi="Arial" w:cs="Arial"/>
                <w:sz w:val="22"/>
                <w:szCs w:val="22"/>
                <w:lang w:eastAsia="es-CO"/>
              </w:rPr>
              <w:t>  </w:t>
            </w:r>
          </w:p>
          <w:p w14:paraId="6F8634A5"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eastAsia="es-CO"/>
              </w:rPr>
            </w:pPr>
            <w:r w:rsidRPr="00FF435D">
              <w:rPr>
                <w:rFonts w:ascii="Arial" w:eastAsia="Times New Roman" w:hAnsi="Arial" w:cs="Arial"/>
                <w:sz w:val="22"/>
                <w:szCs w:val="22"/>
                <w:lang w:eastAsia="es-CO"/>
              </w:rPr>
              <w:t>Comprensión de las trayectorias de fin de vida (por ejemplo, cáncer, enfermedades crónicas y fragilidad Nivel de evidencia: IV.(5) </w:t>
            </w:r>
          </w:p>
          <w:p w14:paraId="0A9E84F9" w14:textId="77777777" w:rsidR="00FF435D" w:rsidRPr="00FF435D" w:rsidRDefault="00FF435D" w:rsidP="00FF435D">
            <w:pPr>
              <w:spacing w:after="0" w:line="240" w:lineRule="auto"/>
              <w:jc w:val="both"/>
              <w:textAlignment w:val="baseline"/>
              <w:rPr>
                <w:rFonts w:ascii="Segoe UI" w:eastAsia="Times New Roman" w:hAnsi="Segoe UI" w:cs="Segoe UI"/>
                <w:sz w:val="18"/>
                <w:szCs w:val="18"/>
                <w:lang w:eastAsia="es-CO"/>
              </w:rPr>
            </w:pPr>
            <w:r w:rsidRPr="00FF435D">
              <w:rPr>
                <w:rFonts w:ascii="Arial" w:eastAsia="Times New Roman" w:hAnsi="Arial" w:cs="Arial"/>
                <w:sz w:val="22"/>
                <w:szCs w:val="22"/>
                <w:lang w:eastAsia="es-CO"/>
              </w:rPr>
              <w:t> </w:t>
            </w:r>
          </w:p>
        </w:tc>
      </w:tr>
    </w:tbl>
    <w:p w14:paraId="43FF0294" w14:textId="2ADE3790" w:rsidR="00FF435D" w:rsidRDefault="00FF435D" w:rsidP="6968984F">
      <w:pPr>
        <w:jc w:val="both"/>
        <w:rPr>
          <w:rFonts w:ascii="Arial" w:eastAsia="Arial" w:hAnsi="Arial" w:cs="Arial"/>
        </w:rPr>
      </w:pPr>
    </w:p>
    <w:p w14:paraId="44DA95F5" w14:textId="77777777" w:rsidR="00FF435D" w:rsidRDefault="00FF435D" w:rsidP="6968984F">
      <w:pPr>
        <w:jc w:val="both"/>
        <w:rPr>
          <w:rFonts w:ascii="Arial" w:eastAsia="Arial" w:hAnsi="Arial" w:cs="Arial"/>
        </w:rPr>
        <w:sectPr w:rsidR="00FF435D" w:rsidSect="00FF435D">
          <w:pgSz w:w="15840" w:h="12240" w:orient="landscape" w:code="1"/>
          <w:pgMar w:top="1440" w:right="1440" w:bottom="1440" w:left="1440" w:header="720" w:footer="720" w:gutter="0"/>
          <w:cols w:space="720"/>
          <w:docGrid w:linePitch="360"/>
        </w:sectPr>
      </w:pPr>
    </w:p>
    <w:p w14:paraId="543FC7D8" w14:textId="745B7B55" w:rsidR="008D0028" w:rsidRDefault="008D0028" w:rsidP="67996DA1">
      <w:pPr>
        <w:jc w:val="both"/>
        <w:rPr>
          <w:rFonts w:ascii="Arial" w:eastAsia="Arial" w:hAnsi="Arial" w:cs="Arial"/>
        </w:rPr>
      </w:pPr>
    </w:p>
    <w:p w14:paraId="25870796" w14:textId="72B19A9A" w:rsidR="016EF951" w:rsidRDefault="016EF951" w:rsidP="502784EB">
      <w:pPr>
        <w:jc w:val="both"/>
        <w:rPr>
          <w:rFonts w:ascii="Arial" w:eastAsia="Arial" w:hAnsi="Arial" w:cs="Arial"/>
          <w:b/>
          <w:bCs/>
        </w:rPr>
      </w:pPr>
      <w:r w:rsidRPr="502784EB">
        <w:rPr>
          <w:rFonts w:ascii="Arial" w:eastAsia="Arial" w:hAnsi="Arial" w:cs="Arial"/>
          <w:b/>
          <w:bCs/>
        </w:rPr>
        <w:t>Análisis de calidad</w:t>
      </w:r>
    </w:p>
    <w:p w14:paraId="62DC6B10" w14:textId="60F81723" w:rsidR="016EF951" w:rsidRDefault="016EF951" w:rsidP="502784EB">
      <w:pPr>
        <w:jc w:val="both"/>
        <w:rPr>
          <w:rFonts w:ascii="Arial" w:eastAsia="Arial" w:hAnsi="Arial" w:cs="Arial"/>
        </w:rPr>
      </w:pPr>
      <w:r w:rsidRPr="502784EB">
        <w:rPr>
          <w:rFonts w:ascii="Arial" w:eastAsia="Arial" w:hAnsi="Arial" w:cs="Arial"/>
        </w:rPr>
        <w:t>De las 6 guías de práctica clínica analizadas, 5 de ellas obtuvieron criterios de alta calidad de acuerdo al AGREE-II. Sólo una de estas guías obtuvo puntuación de baja calidad al obtener un puntaje menor al 60% en 4 de sus 6 dominios. Adicionalmente esta guía no ofrecía recomendaciones puntuales respecto a la identificación de pacientes en fin de vida, por lo cual no fue incluida en el reporte de resultados.</w:t>
      </w:r>
    </w:p>
    <w:tbl>
      <w:tblPr>
        <w:tblStyle w:val="Tablaconcuadrcula"/>
        <w:tblW w:w="0" w:type="auto"/>
        <w:tblBorders>
          <w:top w:val="single" w:sz="6" w:space="0" w:color="auto"/>
          <w:left w:val="single" w:sz="6" w:space="0" w:color="auto"/>
          <w:bottom w:val="single" w:sz="6" w:space="0" w:color="auto"/>
          <w:right w:val="single" w:sz="6" w:space="0" w:color="auto"/>
        </w:tblBorders>
        <w:tblLook w:val="06A0" w:firstRow="1" w:lastRow="0" w:firstColumn="1" w:lastColumn="0" w:noHBand="1" w:noVBand="1"/>
      </w:tblPr>
      <w:tblGrid>
        <w:gridCol w:w="3042"/>
        <w:gridCol w:w="1873"/>
        <w:gridCol w:w="345"/>
        <w:gridCol w:w="345"/>
        <w:gridCol w:w="371"/>
        <w:gridCol w:w="345"/>
        <w:gridCol w:w="345"/>
        <w:gridCol w:w="371"/>
        <w:gridCol w:w="2307"/>
      </w:tblGrid>
      <w:tr w:rsidR="502784EB" w14:paraId="560D47C0" w14:textId="77777777" w:rsidTr="21DE038B">
        <w:trPr>
          <w:trHeight w:val="300"/>
        </w:trPr>
        <w:tc>
          <w:tcPr>
            <w:tcW w:w="3045" w:type="dxa"/>
            <w:tcMar>
              <w:left w:w="105" w:type="dxa"/>
              <w:right w:w="105" w:type="dxa"/>
            </w:tcMar>
          </w:tcPr>
          <w:p w14:paraId="30C7CC90" w14:textId="18ED7FBC" w:rsidR="502784EB" w:rsidRDefault="502784EB" w:rsidP="502784EB">
            <w:pPr>
              <w:rPr>
                <w:rFonts w:ascii="Aptos" w:eastAsia="Aptos" w:hAnsi="Aptos" w:cs="Aptos"/>
                <w:color w:val="000000" w:themeColor="text1"/>
              </w:rPr>
            </w:pPr>
            <w:proofErr w:type="spellStart"/>
            <w:r w:rsidRPr="502784EB">
              <w:rPr>
                <w:rFonts w:ascii="Aptos" w:eastAsia="Aptos" w:hAnsi="Aptos" w:cs="Aptos"/>
                <w:color w:val="000000" w:themeColor="text1"/>
              </w:rPr>
              <w:t>Titulo</w:t>
            </w:r>
            <w:proofErr w:type="spellEnd"/>
            <w:r w:rsidRPr="502784EB">
              <w:rPr>
                <w:rFonts w:ascii="Aptos" w:eastAsia="Aptos" w:hAnsi="Aptos" w:cs="Aptos"/>
                <w:color w:val="000000" w:themeColor="text1"/>
              </w:rPr>
              <w:t xml:space="preserve"> de </w:t>
            </w:r>
            <w:proofErr w:type="spellStart"/>
            <w:r w:rsidRPr="502784EB">
              <w:rPr>
                <w:rFonts w:ascii="Aptos" w:eastAsia="Aptos" w:hAnsi="Aptos" w:cs="Aptos"/>
                <w:color w:val="000000" w:themeColor="text1"/>
              </w:rPr>
              <w:t>guia</w:t>
            </w:r>
            <w:proofErr w:type="spellEnd"/>
            <w:r w:rsidRPr="502784EB">
              <w:rPr>
                <w:rFonts w:ascii="Aptos" w:eastAsia="Aptos" w:hAnsi="Aptos" w:cs="Aptos"/>
                <w:color w:val="000000" w:themeColor="text1"/>
              </w:rPr>
              <w:t xml:space="preserve"> de practica </w:t>
            </w:r>
            <w:proofErr w:type="spellStart"/>
            <w:r w:rsidRPr="502784EB">
              <w:rPr>
                <w:rFonts w:ascii="Aptos" w:eastAsia="Aptos" w:hAnsi="Aptos" w:cs="Aptos"/>
                <w:color w:val="000000" w:themeColor="text1"/>
              </w:rPr>
              <w:t>clinica</w:t>
            </w:r>
            <w:proofErr w:type="spellEnd"/>
            <w:r w:rsidRPr="502784EB">
              <w:rPr>
                <w:rFonts w:ascii="Aptos" w:eastAsia="Aptos" w:hAnsi="Aptos" w:cs="Aptos"/>
                <w:color w:val="000000" w:themeColor="text1"/>
              </w:rPr>
              <w:t xml:space="preserve"> </w:t>
            </w:r>
          </w:p>
        </w:tc>
        <w:tc>
          <w:tcPr>
            <w:tcW w:w="1875" w:type="dxa"/>
            <w:tcMar>
              <w:left w:w="105" w:type="dxa"/>
              <w:right w:w="105" w:type="dxa"/>
            </w:tcMar>
          </w:tcPr>
          <w:p w14:paraId="4E04973C" w14:textId="66D94494" w:rsidR="502784EB" w:rsidRDefault="502784EB" w:rsidP="502784EB">
            <w:pPr>
              <w:rPr>
                <w:rFonts w:ascii="Aptos" w:eastAsia="Aptos" w:hAnsi="Aptos" w:cs="Aptos"/>
                <w:color w:val="000000" w:themeColor="text1"/>
              </w:rPr>
            </w:pPr>
            <w:r w:rsidRPr="502784EB">
              <w:rPr>
                <w:rFonts w:ascii="Aptos" w:eastAsia="Aptos" w:hAnsi="Aptos" w:cs="Aptos"/>
                <w:color w:val="000000" w:themeColor="text1"/>
              </w:rPr>
              <w:t xml:space="preserve">0 – Calidad </w:t>
            </w:r>
            <w:proofErr w:type="spellStart"/>
            <w:r w:rsidRPr="502784EB">
              <w:rPr>
                <w:rFonts w:ascii="Aptos" w:eastAsia="Aptos" w:hAnsi="Aptos" w:cs="Aptos"/>
                <w:color w:val="000000" w:themeColor="text1"/>
              </w:rPr>
              <w:t>mas</w:t>
            </w:r>
            <w:proofErr w:type="spellEnd"/>
            <w:r w:rsidRPr="502784EB">
              <w:rPr>
                <w:rFonts w:ascii="Aptos" w:eastAsia="Aptos" w:hAnsi="Aptos" w:cs="Aptos"/>
                <w:color w:val="000000" w:themeColor="text1"/>
              </w:rPr>
              <w:t xml:space="preserve"> baja posible </w:t>
            </w:r>
          </w:p>
        </w:tc>
        <w:tc>
          <w:tcPr>
            <w:tcW w:w="345" w:type="dxa"/>
            <w:tcMar>
              <w:left w:w="105" w:type="dxa"/>
              <w:right w:w="105" w:type="dxa"/>
            </w:tcMar>
          </w:tcPr>
          <w:p w14:paraId="5AA9C236" w14:textId="584A1856" w:rsidR="502784EB" w:rsidRDefault="502784EB" w:rsidP="502784EB">
            <w:pPr>
              <w:rPr>
                <w:rFonts w:ascii="Aptos" w:eastAsia="Aptos" w:hAnsi="Aptos" w:cs="Aptos"/>
                <w:color w:val="000000" w:themeColor="text1"/>
              </w:rPr>
            </w:pPr>
            <w:r w:rsidRPr="502784EB">
              <w:rPr>
                <w:rFonts w:ascii="Aptos" w:eastAsia="Aptos" w:hAnsi="Aptos" w:cs="Aptos"/>
                <w:color w:val="000000" w:themeColor="text1"/>
              </w:rPr>
              <w:t>1</w:t>
            </w:r>
          </w:p>
        </w:tc>
        <w:tc>
          <w:tcPr>
            <w:tcW w:w="345" w:type="dxa"/>
            <w:tcMar>
              <w:left w:w="105" w:type="dxa"/>
              <w:right w:w="105" w:type="dxa"/>
            </w:tcMar>
          </w:tcPr>
          <w:p w14:paraId="5E658238" w14:textId="78CB40DA" w:rsidR="502784EB" w:rsidRDefault="502784EB" w:rsidP="502784EB">
            <w:pPr>
              <w:rPr>
                <w:rFonts w:ascii="Aptos" w:eastAsia="Aptos" w:hAnsi="Aptos" w:cs="Aptos"/>
                <w:color w:val="000000" w:themeColor="text1"/>
              </w:rPr>
            </w:pPr>
            <w:r w:rsidRPr="502784EB">
              <w:rPr>
                <w:rFonts w:ascii="Aptos" w:eastAsia="Aptos" w:hAnsi="Aptos" w:cs="Aptos"/>
                <w:color w:val="000000" w:themeColor="text1"/>
              </w:rPr>
              <w:t>2</w:t>
            </w:r>
          </w:p>
        </w:tc>
        <w:tc>
          <w:tcPr>
            <w:tcW w:w="345" w:type="dxa"/>
            <w:tcMar>
              <w:left w:w="105" w:type="dxa"/>
              <w:right w:w="105" w:type="dxa"/>
            </w:tcMar>
          </w:tcPr>
          <w:p w14:paraId="78FAA1CB" w14:textId="1DE1DAAF" w:rsidR="502784EB" w:rsidRDefault="502784EB" w:rsidP="502784EB">
            <w:pPr>
              <w:rPr>
                <w:rFonts w:ascii="Aptos" w:eastAsia="Aptos" w:hAnsi="Aptos" w:cs="Aptos"/>
                <w:color w:val="000000" w:themeColor="text1"/>
              </w:rPr>
            </w:pPr>
            <w:r w:rsidRPr="502784EB">
              <w:rPr>
                <w:rFonts w:ascii="Aptos" w:eastAsia="Aptos" w:hAnsi="Aptos" w:cs="Aptos"/>
                <w:color w:val="000000" w:themeColor="text1"/>
              </w:rPr>
              <w:t>3</w:t>
            </w:r>
          </w:p>
        </w:tc>
        <w:tc>
          <w:tcPr>
            <w:tcW w:w="345" w:type="dxa"/>
            <w:tcMar>
              <w:left w:w="105" w:type="dxa"/>
              <w:right w:w="105" w:type="dxa"/>
            </w:tcMar>
          </w:tcPr>
          <w:p w14:paraId="16E63AC1" w14:textId="42018932" w:rsidR="502784EB" w:rsidRDefault="502784EB" w:rsidP="502784EB">
            <w:pPr>
              <w:rPr>
                <w:rFonts w:ascii="Aptos" w:eastAsia="Aptos" w:hAnsi="Aptos" w:cs="Aptos"/>
                <w:color w:val="000000" w:themeColor="text1"/>
              </w:rPr>
            </w:pPr>
            <w:r w:rsidRPr="502784EB">
              <w:rPr>
                <w:rFonts w:ascii="Aptos" w:eastAsia="Aptos" w:hAnsi="Aptos" w:cs="Aptos"/>
                <w:color w:val="000000" w:themeColor="text1"/>
              </w:rPr>
              <w:t>4</w:t>
            </w:r>
          </w:p>
        </w:tc>
        <w:tc>
          <w:tcPr>
            <w:tcW w:w="345" w:type="dxa"/>
            <w:tcMar>
              <w:left w:w="105" w:type="dxa"/>
              <w:right w:w="105" w:type="dxa"/>
            </w:tcMar>
          </w:tcPr>
          <w:p w14:paraId="1CA0DED8" w14:textId="371549E8" w:rsidR="502784EB" w:rsidRDefault="502784EB" w:rsidP="502784EB">
            <w:pPr>
              <w:rPr>
                <w:rFonts w:ascii="Aptos" w:eastAsia="Aptos" w:hAnsi="Aptos" w:cs="Aptos"/>
                <w:color w:val="000000" w:themeColor="text1"/>
              </w:rPr>
            </w:pPr>
            <w:r w:rsidRPr="502784EB">
              <w:rPr>
                <w:rFonts w:ascii="Aptos" w:eastAsia="Aptos" w:hAnsi="Aptos" w:cs="Aptos"/>
                <w:color w:val="000000" w:themeColor="text1"/>
              </w:rPr>
              <w:t>5</w:t>
            </w:r>
          </w:p>
        </w:tc>
        <w:tc>
          <w:tcPr>
            <w:tcW w:w="360" w:type="dxa"/>
            <w:tcMar>
              <w:left w:w="105" w:type="dxa"/>
              <w:right w:w="105" w:type="dxa"/>
            </w:tcMar>
          </w:tcPr>
          <w:p w14:paraId="37A2A23D" w14:textId="5CB03B69" w:rsidR="502784EB" w:rsidRDefault="502784EB" w:rsidP="502784EB">
            <w:pPr>
              <w:rPr>
                <w:rFonts w:ascii="Aptos" w:eastAsia="Aptos" w:hAnsi="Aptos" w:cs="Aptos"/>
                <w:color w:val="000000" w:themeColor="text1"/>
              </w:rPr>
            </w:pPr>
            <w:r w:rsidRPr="502784EB">
              <w:rPr>
                <w:rFonts w:ascii="Aptos" w:eastAsia="Aptos" w:hAnsi="Aptos" w:cs="Aptos"/>
                <w:color w:val="000000" w:themeColor="text1"/>
              </w:rPr>
              <w:t>6</w:t>
            </w:r>
          </w:p>
        </w:tc>
        <w:tc>
          <w:tcPr>
            <w:tcW w:w="2310" w:type="dxa"/>
            <w:tcMar>
              <w:left w:w="105" w:type="dxa"/>
              <w:right w:w="105" w:type="dxa"/>
            </w:tcMar>
          </w:tcPr>
          <w:p w14:paraId="0C9E423A" w14:textId="70F9A30F" w:rsidR="502784EB" w:rsidRDefault="502784EB" w:rsidP="502784EB">
            <w:pPr>
              <w:rPr>
                <w:rFonts w:ascii="Aptos" w:eastAsia="Aptos" w:hAnsi="Aptos" w:cs="Aptos"/>
                <w:color w:val="000000" w:themeColor="text1"/>
              </w:rPr>
            </w:pPr>
            <w:r w:rsidRPr="502784EB">
              <w:rPr>
                <w:rFonts w:ascii="Aptos" w:eastAsia="Aptos" w:hAnsi="Aptos" w:cs="Aptos"/>
                <w:color w:val="000000" w:themeColor="text1"/>
              </w:rPr>
              <w:t xml:space="preserve">7 – Calidad </w:t>
            </w:r>
            <w:proofErr w:type="spellStart"/>
            <w:r w:rsidRPr="502784EB">
              <w:rPr>
                <w:rFonts w:ascii="Aptos" w:eastAsia="Aptos" w:hAnsi="Aptos" w:cs="Aptos"/>
                <w:color w:val="000000" w:themeColor="text1"/>
              </w:rPr>
              <w:t>mas</w:t>
            </w:r>
            <w:proofErr w:type="spellEnd"/>
            <w:r w:rsidRPr="502784EB">
              <w:rPr>
                <w:rFonts w:ascii="Aptos" w:eastAsia="Aptos" w:hAnsi="Aptos" w:cs="Aptos"/>
                <w:color w:val="000000" w:themeColor="text1"/>
              </w:rPr>
              <w:t xml:space="preserve"> alta posible </w:t>
            </w:r>
          </w:p>
        </w:tc>
      </w:tr>
      <w:tr w:rsidR="502784EB" w14:paraId="55254690" w14:textId="77777777" w:rsidTr="21DE038B">
        <w:trPr>
          <w:trHeight w:val="300"/>
        </w:trPr>
        <w:tc>
          <w:tcPr>
            <w:tcW w:w="3045" w:type="dxa"/>
            <w:tcMar>
              <w:left w:w="105" w:type="dxa"/>
              <w:right w:w="105" w:type="dxa"/>
            </w:tcMar>
          </w:tcPr>
          <w:p w14:paraId="4A82BE16" w14:textId="209DF064" w:rsidR="502784EB" w:rsidRPr="00FF435D" w:rsidRDefault="502784EB" w:rsidP="502784EB">
            <w:pPr>
              <w:rPr>
                <w:rFonts w:ascii="Aptos" w:eastAsia="Aptos" w:hAnsi="Aptos" w:cs="Aptos"/>
                <w:color w:val="000000" w:themeColor="text1"/>
                <w:lang w:val="en-US"/>
              </w:rPr>
            </w:pPr>
            <w:r w:rsidRPr="00FF435D">
              <w:rPr>
                <w:rFonts w:ascii="Aptos" w:eastAsia="Aptos" w:hAnsi="Aptos" w:cs="Aptos"/>
                <w:color w:val="000000" w:themeColor="text1"/>
                <w:lang w:val="en-US"/>
              </w:rPr>
              <w:t>Overview | End of life care for adults: service delivery | Guidance - NICE</w:t>
            </w:r>
          </w:p>
        </w:tc>
        <w:tc>
          <w:tcPr>
            <w:tcW w:w="1875" w:type="dxa"/>
            <w:tcMar>
              <w:left w:w="105" w:type="dxa"/>
              <w:right w:w="105" w:type="dxa"/>
            </w:tcMar>
          </w:tcPr>
          <w:p w14:paraId="01F8B0A9" w14:textId="66C7913F" w:rsidR="502784EB" w:rsidRPr="00FF435D" w:rsidRDefault="502784EB" w:rsidP="502784EB">
            <w:pPr>
              <w:rPr>
                <w:rFonts w:ascii="Aptos" w:eastAsia="Aptos" w:hAnsi="Aptos" w:cs="Aptos"/>
                <w:color w:val="000000" w:themeColor="text1"/>
                <w:lang w:val="en-US"/>
              </w:rPr>
            </w:pPr>
          </w:p>
        </w:tc>
        <w:tc>
          <w:tcPr>
            <w:tcW w:w="345" w:type="dxa"/>
            <w:tcMar>
              <w:left w:w="105" w:type="dxa"/>
              <w:right w:w="105" w:type="dxa"/>
            </w:tcMar>
          </w:tcPr>
          <w:p w14:paraId="272C426A" w14:textId="72246627" w:rsidR="502784EB" w:rsidRPr="00FF435D" w:rsidRDefault="502784EB" w:rsidP="502784EB">
            <w:pPr>
              <w:rPr>
                <w:rFonts w:ascii="Aptos" w:eastAsia="Aptos" w:hAnsi="Aptos" w:cs="Aptos"/>
                <w:color w:val="000000" w:themeColor="text1"/>
                <w:lang w:val="en-US"/>
              </w:rPr>
            </w:pPr>
          </w:p>
        </w:tc>
        <w:tc>
          <w:tcPr>
            <w:tcW w:w="345" w:type="dxa"/>
            <w:tcMar>
              <w:left w:w="105" w:type="dxa"/>
              <w:right w:w="105" w:type="dxa"/>
            </w:tcMar>
          </w:tcPr>
          <w:p w14:paraId="2F21874A" w14:textId="229DEFA2" w:rsidR="502784EB" w:rsidRPr="00FF435D" w:rsidRDefault="502784EB" w:rsidP="502784EB">
            <w:pPr>
              <w:rPr>
                <w:rFonts w:ascii="Aptos" w:eastAsia="Aptos" w:hAnsi="Aptos" w:cs="Aptos"/>
                <w:color w:val="000000" w:themeColor="text1"/>
                <w:lang w:val="en-US"/>
              </w:rPr>
            </w:pPr>
          </w:p>
        </w:tc>
        <w:tc>
          <w:tcPr>
            <w:tcW w:w="345" w:type="dxa"/>
            <w:tcMar>
              <w:left w:w="105" w:type="dxa"/>
              <w:right w:w="105" w:type="dxa"/>
            </w:tcMar>
          </w:tcPr>
          <w:p w14:paraId="6FBCE3BF" w14:textId="51A83150" w:rsidR="502784EB" w:rsidRPr="00FF435D" w:rsidRDefault="502784EB" w:rsidP="502784EB">
            <w:pPr>
              <w:rPr>
                <w:rFonts w:ascii="Aptos" w:eastAsia="Aptos" w:hAnsi="Aptos" w:cs="Aptos"/>
                <w:color w:val="000000" w:themeColor="text1"/>
                <w:lang w:val="en-US"/>
              </w:rPr>
            </w:pPr>
          </w:p>
        </w:tc>
        <w:tc>
          <w:tcPr>
            <w:tcW w:w="345" w:type="dxa"/>
            <w:tcMar>
              <w:left w:w="105" w:type="dxa"/>
              <w:right w:w="105" w:type="dxa"/>
            </w:tcMar>
          </w:tcPr>
          <w:p w14:paraId="39D3516E" w14:textId="6C6BC040" w:rsidR="502784EB" w:rsidRPr="00FF435D" w:rsidRDefault="502784EB" w:rsidP="502784EB">
            <w:pPr>
              <w:rPr>
                <w:rFonts w:ascii="Aptos" w:eastAsia="Aptos" w:hAnsi="Aptos" w:cs="Aptos"/>
                <w:color w:val="000000" w:themeColor="text1"/>
                <w:lang w:val="en-US"/>
              </w:rPr>
            </w:pPr>
          </w:p>
        </w:tc>
        <w:tc>
          <w:tcPr>
            <w:tcW w:w="345" w:type="dxa"/>
            <w:tcMar>
              <w:left w:w="105" w:type="dxa"/>
              <w:right w:w="105" w:type="dxa"/>
            </w:tcMar>
          </w:tcPr>
          <w:p w14:paraId="087E5CAE" w14:textId="4474F925" w:rsidR="502784EB" w:rsidRPr="00FF435D" w:rsidRDefault="502784EB" w:rsidP="502784EB">
            <w:pPr>
              <w:rPr>
                <w:rFonts w:ascii="Aptos" w:eastAsia="Aptos" w:hAnsi="Aptos" w:cs="Aptos"/>
                <w:color w:val="000000" w:themeColor="text1"/>
                <w:lang w:val="en-US"/>
              </w:rPr>
            </w:pPr>
          </w:p>
        </w:tc>
        <w:tc>
          <w:tcPr>
            <w:tcW w:w="360" w:type="dxa"/>
            <w:tcMar>
              <w:left w:w="105" w:type="dxa"/>
              <w:right w:w="105" w:type="dxa"/>
            </w:tcMar>
          </w:tcPr>
          <w:p w14:paraId="7A9378D3" w14:textId="095D37AE" w:rsidR="502784EB" w:rsidRDefault="502784EB" w:rsidP="502784EB">
            <w:pPr>
              <w:rPr>
                <w:rFonts w:ascii="Aptos" w:eastAsia="Aptos" w:hAnsi="Aptos" w:cs="Aptos"/>
                <w:color w:val="000000" w:themeColor="text1"/>
              </w:rPr>
            </w:pPr>
            <w:r w:rsidRPr="502784EB">
              <w:rPr>
                <w:rFonts w:ascii="Aptos" w:eastAsia="Aptos" w:hAnsi="Aptos" w:cs="Aptos"/>
                <w:color w:val="000000" w:themeColor="text1"/>
              </w:rPr>
              <w:t>X</w:t>
            </w:r>
          </w:p>
        </w:tc>
        <w:tc>
          <w:tcPr>
            <w:tcW w:w="2310" w:type="dxa"/>
            <w:tcMar>
              <w:left w:w="105" w:type="dxa"/>
              <w:right w:w="105" w:type="dxa"/>
            </w:tcMar>
          </w:tcPr>
          <w:p w14:paraId="638ABF21" w14:textId="6377EAA6" w:rsidR="502784EB" w:rsidRDefault="502784EB" w:rsidP="502784EB">
            <w:pPr>
              <w:rPr>
                <w:rFonts w:ascii="Aptos" w:eastAsia="Aptos" w:hAnsi="Aptos" w:cs="Aptos"/>
                <w:color w:val="000000" w:themeColor="text1"/>
              </w:rPr>
            </w:pPr>
          </w:p>
        </w:tc>
      </w:tr>
      <w:tr w:rsidR="502784EB" w14:paraId="363076CF" w14:textId="77777777" w:rsidTr="21DE038B">
        <w:trPr>
          <w:trHeight w:val="300"/>
        </w:trPr>
        <w:tc>
          <w:tcPr>
            <w:tcW w:w="3045" w:type="dxa"/>
            <w:tcMar>
              <w:left w:w="105" w:type="dxa"/>
              <w:right w:w="105" w:type="dxa"/>
            </w:tcMar>
          </w:tcPr>
          <w:p w14:paraId="04D7B722" w14:textId="575A4904" w:rsidR="502784EB" w:rsidRPr="00FF435D" w:rsidRDefault="502784EB" w:rsidP="502784EB">
            <w:pPr>
              <w:rPr>
                <w:rFonts w:ascii="Aptos" w:eastAsia="Aptos" w:hAnsi="Aptos" w:cs="Aptos"/>
                <w:color w:val="000000" w:themeColor="text1"/>
                <w:lang w:val="en-US"/>
              </w:rPr>
            </w:pPr>
            <w:r w:rsidRPr="00FF435D">
              <w:rPr>
                <w:rFonts w:ascii="Aptos" w:eastAsia="Aptos" w:hAnsi="Aptos" w:cs="Aptos"/>
                <w:color w:val="000000" w:themeColor="text1"/>
                <w:lang w:val="en-US"/>
              </w:rPr>
              <w:t>Prognostic evaluation in patients with advanced cancer in the last months of life: ESMO Clinical Practice Guideline</w:t>
            </w:r>
          </w:p>
        </w:tc>
        <w:tc>
          <w:tcPr>
            <w:tcW w:w="1875" w:type="dxa"/>
            <w:tcMar>
              <w:left w:w="105" w:type="dxa"/>
              <w:right w:w="105" w:type="dxa"/>
            </w:tcMar>
          </w:tcPr>
          <w:p w14:paraId="60B3F789" w14:textId="4EF9D4F9" w:rsidR="502784EB" w:rsidRPr="00FF435D" w:rsidRDefault="502784EB" w:rsidP="502784EB">
            <w:pPr>
              <w:rPr>
                <w:rFonts w:ascii="Aptos" w:eastAsia="Aptos" w:hAnsi="Aptos" w:cs="Aptos"/>
                <w:color w:val="000000" w:themeColor="text1"/>
                <w:lang w:val="en-US"/>
              </w:rPr>
            </w:pPr>
          </w:p>
        </w:tc>
        <w:tc>
          <w:tcPr>
            <w:tcW w:w="345" w:type="dxa"/>
            <w:tcMar>
              <w:left w:w="105" w:type="dxa"/>
              <w:right w:w="105" w:type="dxa"/>
            </w:tcMar>
          </w:tcPr>
          <w:p w14:paraId="20AD40CA" w14:textId="2AE9DC89" w:rsidR="502784EB" w:rsidRPr="00FF435D" w:rsidRDefault="502784EB" w:rsidP="502784EB">
            <w:pPr>
              <w:rPr>
                <w:rFonts w:ascii="Aptos" w:eastAsia="Aptos" w:hAnsi="Aptos" w:cs="Aptos"/>
                <w:color w:val="000000" w:themeColor="text1"/>
                <w:lang w:val="en-US"/>
              </w:rPr>
            </w:pPr>
          </w:p>
        </w:tc>
        <w:tc>
          <w:tcPr>
            <w:tcW w:w="345" w:type="dxa"/>
            <w:tcMar>
              <w:left w:w="105" w:type="dxa"/>
              <w:right w:w="105" w:type="dxa"/>
            </w:tcMar>
          </w:tcPr>
          <w:p w14:paraId="42E64CE3" w14:textId="198A8168" w:rsidR="502784EB" w:rsidRPr="00FF435D" w:rsidRDefault="502784EB" w:rsidP="502784EB">
            <w:pPr>
              <w:rPr>
                <w:rFonts w:ascii="Aptos" w:eastAsia="Aptos" w:hAnsi="Aptos" w:cs="Aptos"/>
                <w:color w:val="000000" w:themeColor="text1"/>
                <w:lang w:val="en-US"/>
              </w:rPr>
            </w:pPr>
          </w:p>
        </w:tc>
        <w:tc>
          <w:tcPr>
            <w:tcW w:w="345" w:type="dxa"/>
            <w:tcMar>
              <w:left w:w="105" w:type="dxa"/>
              <w:right w:w="105" w:type="dxa"/>
            </w:tcMar>
          </w:tcPr>
          <w:p w14:paraId="6198C851" w14:textId="14FF6ACD" w:rsidR="502784EB" w:rsidRPr="00FF435D" w:rsidRDefault="502784EB" w:rsidP="502784EB">
            <w:pPr>
              <w:rPr>
                <w:rFonts w:ascii="Aptos" w:eastAsia="Aptos" w:hAnsi="Aptos" w:cs="Aptos"/>
                <w:color w:val="000000" w:themeColor="text1"/>
                <w:lang w:val="en-US"/>
              </w:rPr>
            </w:pPr>
          </w:p>
        </w:tc>
        <w:tc>
          <w:tcPr>
            <w:tcW w:w="345" w:type="dxa"/>
            <w:tcMar>
              <w:left w:w="105" w:type="dxa"/>
              <w:right w:w="105" w:type="dxa"/>
            </w:tcMar>
          </w:tcPr>
          <w:p w14:paraId="04D371C3" w14:textId="3E6D2D15" w:rsidR="502784EB" w:rsidRPr="00FF435D" w:rsidRDefault="502784EB" w:rsidP="502784EB">
            <w:pPr>
              <w:rPr>
                <w:rFonts w:ascii="Aptos" w:eastAsia="Aptos" w:hAnsi="Aptos" w:cs="Aptos"/>
                <w:color w:val="000000" w:themeColor="text1"/>
                <w:lang w:val="en-US"/>
              </w:rPr>
            </w:pPr>
          </w:p>
        </w:tc>
        <w:tc>
          <w:tcPr>
            <w:tcW w:w="345" w:type="dxa"/>
            <w:tcMar>
              <w:left w:w="105" w:type="dxa"/>
              <w:right w:w="105" w:type="dxa"/>
            </w:tcMar>
          </w:tcPr>
          <w:p w14:paraId="327BB6D5" w14:textId="3A1C71C2" w:rsidR="502784EB" w:rsidRPr="00FF435D" w:rsidRDefault="502784EB" w:rsidP="502784EB">
            <w:pPr>
              <w:rPr>
                <w:rFonts w:ascii="Aptos" w:eastAsia="Aptos" w:hAnsi="Aptos" w:cs="Aptos"/>
                <w:color w:val="000000" w:themeColor="text1"/>
                <w:lang w:val="en-US"/>
              </w:rPr>
            </w:pPr>
          </w:p>
        </w:tc>
        <w:tc>
          <w:tcPr>
            <w:tcW w:w="360" w:type="dxa"/>
            <w:tcMar>
              <w:left w:w="105" w:type="dxa"/>
              <w:right w:w="105" w:type="dxa"/>
            </w:tcMar>
          </w:tcPr>
          <w:p w14:paraId="1B3C324F" w14:textId="3D1F5AB3" w:rsidR="502784EB" w:rsidRPr="00FF435D" w:rsidRDefault="502784EB" w:rsidP="502784EB">
            <w:pPr>
              <w:rPr>
                <w:rFonts w:ascii="Aptos" w:eastAsia="Aptos" w:hAnsi="Aptos" w:cs="Aptos"/>
                <w:color w:val="000000" w:themeColor="text1"/>
                <w:lang w:val="en-US"/>
              </w:rPr>
            </w:pPr>
          </w:p>
        </w:tc>
        <w:tc>
          <w:tcPr>
            <w:tcW w:w="2310" w:type="dxa"/>
            <w:tcMar>
              <w:left w:w="105" w:type="dxa"/>
              <w:right w:w="105" w:type="dxa"/>
            </w:tcMar>
          </w:tcPr>
          <w:p w14:paraId="71C567E5" w14:textId="0392661E" w:rsidR="502784EB" w:rsidRDefault="502784EB" w:rsidP="502784EB">
            <w:pPr>
              <w:rPr>
                <w:rFonts w:ascii="Aptos" w:eastAsia="Aptos" w:hAnsi="Aptos" w:cs="Aptos"/>
                <w:color w:val="000000" w:themeColor="text1"/>
              </w:rPr>
            </w:pPr>
            <w:r w:rsidRPr="502784EB">
              <w:rPr>
                <w:rFonts w:ascii="Aptos" w:eastAsia="Aptos" w:hAnsi="Aptos" w:cs="Aptos"/>
                <w:color w:val="000000" w:themeColor="text1"/>
              </w:rPr>
              <w:t>X</w:t>
            </w:r>
          </w:p>
        </w:tc>
      </w:tr>
      <w:tr w:rsidR="502784EB" w14:paraId="1564C0D9" w14:textId="77777777" w:rsidTr="21DE038B">
        <w:trPr>
          <w:trHeight w:val="300"/>
        </w:trPr>
        <w:tc>
          <w:tcPr>
            <w:tcW w:w="3045" w:type="dxa"/>
            <w:tcMar>
              <w:left w:w="105" w:type="dxa"/>
              <w:right w:w="105" w:type="dxa"/>
            </w:tcMar>
          </w:tcPr>
          <w:p w14:paraId="6D2A6EE6" w14:textId="793F79B0" w:rsidR="502784EB" w:rsidRPr="00FF435D" w:rsidRDefault="502784EB" w:rsidP="502784EB">
            <w:pPr>
              <w:rPr>
                <w:rFonts w:ascii="Aptos" w:eastAsia="Aptos" w:hAnsi="Aptos" w:cs="Aptos"/>
                <w:color w:val="000000" w:themeColor="text1"/>
                <w:lang w:val="en-US"/>
              </w:rPr>
            </w:pPr>
            <w:r w:rsidRPr="00FF435D">
              <w:rPr>
                <w:rFonts w:ascii="Aptos" w:eastAsia="Aptos" w:hAnsi="Aptos" w:cs="Aptos"/>
                <w:color w:val="000000" w:themeColor="text1"/>
                <w:lang w:val="en-US"/>
              </w:rPr>
              <w:t>Care of the adult cancer patient at the end of life: ESMO Clinical Practice Guidelines</w:t>
            </w:r>
          </w:p>
        </w:tc>
        <w:tc>
          <w:tcPr>
            <w:tcW w:w="1875" w:type="dxa"/>
            <w:tcMar>
              <w:left w:w="105" w:type="dxa"/>
              <w:right w:w="105" w:type="dxa"/>
            </w:tcMar>
          </w:tcPr>
          <w:p w14:paraId="4B5D545B" w14:textId="390AF9BC" w:rsidR="502784EB" w:rsidRPr="00FF435D" w:rsidRDefault="502784EB" w:rsidP="502784EB">
            <w:pPr>
              <w:rPr>
                <w:rFonts w:ascii="Aptos" w:eastAsia="Aptos" w:hAnsi="Aptos" w:cs="Aptos"/>
                <w:color w:val="000000" w:themeColor="text1"/>
                <w:lang w:val="en-US"/>
              </w:rPr>
            </w:pPr>
          </w:p>
        </w:tc>
        <w:tc>
          <w:tcPr>
            <w:tcW w:w="345" w:type="dxa"/>
            <w:tcMar>
              <w:left w:w="105" w:type="dxa"/>
              <w:right w:w="105" w:type="dxa"/>
            </w:tcMar>
          </w:tcPr>
          <w:p w14:paraId="3377DAAD" w14:textId="27933FCC" w:rsidR="502784EB" w:rsidRPr="00FF435D" w:rsidRDefault="502784EB" w:rsidP="502784EB">
            <w:pPr>
              <w:rPr>
                <w:rFonts w:ascii="Aptos" w:eastAsia="Aptos" w:hAnsi="Aptos" w:cs="Aptos"/>
                <w:color w:val="000000" w:themeColor="text1"/>
                <w:lang w:val="en-US"/>
              </w:rPr>
            </w:pPr>
          </w:p>
        </w:tc>
        <w:tc>
          <w:tcPr>
            <w:tcW w:w="345" w:type="dxa"/>
            <w:tcMar>
              <w:left w:w="105" w:type="dxa"/>
              <w:right w:w="105" w:type="dxa"/>
            </w:tcMar>
          </w:tcPr>
          <w:p w14:paraId="07C2AF98" w14:textId="0655C547" w:rsidR="502784EB" w:rsidRPr="00FF435D" w:rsidRDefault="502784EB" w:rsidP="502784EB">
            <w:pPr>
              <w:rPr>
                <w:rFonts w:ascii="Aptos" w:eastAsia="Aptos" w:hAnsi="Aptos" w:cs="Aptos"/>
                <w:color w:val="000000" w:themeColor="text1"/>
                <w:lang w:val="en-US"/>
              </w:rPr>
            </w:pPr>
          </w:p>
        </w:tc>
        <w:tc>
          <w:tcPr>
            <w:tcW w:w="345" w:type="dxa"/>
            <w:tcMar>
              <w:left w:w="105" w:type="dxa"/>
              <w:right w:w="105" w:type="dxa"/>
            </w:tcMar>
          </w:tcPr>
          <w:p w14:paraId="2263E36E" w14:textId="49DA29F2" w:rsidR="502784EB" w:rsidRPr="00FF435D" w:rsidRDefault="502784EB" w:rsidP="502784EB">
            <w:pPr>
              <w:rPr>
                <w:rFonts w:ascii="Aptos" w:eastAsia="Aptos" w:hAnsi="Aptos" w:cs="Aptos"/>
                <w:color w:val="000000" w:themeColor="text1"/>
                <w:lang w:val="en-US"/>
              </w:rPr>
            </w:pPr>
          </w:p>
        </w:tc>
        <w:tc>
          <w:tcPr>
            <w:tcW w:w="345" w:type="dxa"/>
            <w:tcMar>
              <w:left w:w="105" w:type="dxa"/>
              <w:right w:w="105" w:type="dxa"/>
            </w:tcMar>
          </w:tcPr>
          <w:p w14:paraId="024B57D9" w14:textId="18EFF4B5" w:rsidR="502784EB" w:rsidRPr="00FF435D" w:rsidRDefault="502784EB" w:rsidP="502784EB">
            <w:pPr>
              <w:rPr>
                <w:rFonts w:ascii="Aptos" w:eastAsia="Aptos" w:hAnsi="Aptos" w:cs="Aptos"/>
                <w:color w:val="000000" w:themeColor="text1"/>
                <w:lang w:val="en-US"/>
              </w:rPr>
            </w:pPr>
          </w:p>
        </w:tc>
        <w:tc>
          <w:tcPr>
            <w:tcW w:w="345" w:type="dxa"/>
            <w:tcMar>
              <w:left w:w="105" w:type="dxa"/>
              <w:right w:w="105" w:type="dxa"/>
            </w:tcMar>
          </w:tcPr>
          <w:p w14:paraId="6C7E1C0C" w14:textId="578F5BE5" w:rsidR="502784EB" w:rsidRPr="00FF435D" w:rsidRDefault="502784EB" w:rsidP="502784EB">
            <w:pPr>
              <w:rPr>
                <w:rFonts w:ascii="Aptos" w:eastAsia="Aptos" w:hAnsi="Aptos" w:cs="Aptos"/>
                <w:color w:val="000000" w:themeColor="text1"/>
                <w:lang w:val="en-US"/>
              </w:rPr>
            </w:pPr>
          </w:p>
        </w:tc>
        <w:tc>
          <w:tcPr>
            <w:tcW w:w="360" w:type="dxa"/>
            <w:tcMar>
              <w:left w:w="105" w:type="dxa"/>
              <w:right w:w="105" w:type="dxa"/>
            </w:tcMar>
          </w:tcPr>
          <w:p w14:paraId="5DF3960F" w14:textId="0E682528" w:rsidR="502784EB" w:rsidRDefault="502784EB" w:rsidP="502784EB">
            <w:pPr>
              <w:rPr>
                <w:rFonts w:ascii="Aptos" w:eastAsia="Aptos" w:hAnsi="Aptos" w:cs="Aptos"/>
                <w:color w:val="000000" w:themeColor="text1"/>
              </w:rPr>
            </w:pPr>
            <w:r w:rsidRPr="502784EB">
              <w:rPr>
                <w:rFonts w:ascii="Aptos" w:eastAsia="Aptos" w:hAnsi="Aptos" w:cs="Aptos"/>
                <w:color w:val="000000" w:themeColor="text1"/>
              </w:rPr>
              <w:t>X</w:t>
            </w:r>
          </w:p>
        </w:tc>
        <w:tc>
          <w:tcPr>
            <w:tcW w:w="2310" w:type="dxa"/>
            <w:tcMar>
              <w:left w:w="105" w:type="dxa"/>
              <w:right w:w="105" w:type="dxa"/>
            </w:tcMar>
          </w:tcPr>
          <w:p w14:paraId="544C6352" w14:textId="4C5BC244" w:rsidR="502784EB" w:rsidRDefault="502784EB" w:rsidP="502784EB">
            <w:pPr>
              <w:rPr>
                <w:rFonts w:ascii="Aptos" w:eastAsia="Aptos" w:hAnsi="Aptos" w:cs="Aptos"/>
                <w:color w:val="000000" w:themeColor="text1"/>
              </w:rPr>
            </w:pPr>
          </w:p>
        </w:tc>
      </w:tr>
      <w:tr w:rsidR="502784EB" w14:paraId="1C31F879" w14:textId="77777777" w:rsidTr="21DE038B">
        <w:trPr>
          <w:trHeight w:val="300"/>
        </w:trPr>
        <w:tc>
          <w:tcPr>
            <w:tcW w:w="3045" w:type="dxa"/>
            <w:tcMar>
              <w:left w:w="105" w:type="dxa"/>
              <w:right w:w="105" w:type="dxa"/>
            </w:tcMar>
          </w:tcPr>
          <w:p w14:paraId="09DDBDCF" w14:textId="3C08BF40" w:rsidR="502784EB" w:rsidRDefault="502784EB" w:rsidP="502784EB">
            <w:pPr>
              <w:rPr>
                <w:rFonts w:ascii="Aptos" w:eastAsia="Aptos" w:hAnsi="Aptos" w:cs="Aptos"/>
                <w:color w:val="000000" w:themeColor="text1"/>
              </w:rPr>
            </w:pPr>
            <w:r w:rsidRPr="502784EB">
              <w:rPr>
                <w:rFonts w:ascii="Aptos" w:eastAsia="Aptos" w:hAnsi="Aptos" w:cs="Aptos"/>
                <w:color w:val="000000" w:themeColor="text1"/>
              </w:rPr>
              <w:t xml:space="preserve">Atención domiciliaria al paciente en situación terminal en la Comunidad Autónoma del País Vasco  </w:t>
            </w:r>
            <w:proofErr w:type="spellStart"/>
            <w:r w:rsidRPr="502784EB">
              <w:rPr>
                <w:rFonts w:ascii="Aptos" w:eastAsia="Aptos" w:hAnsi="Aptos" w:cs="Aptos"/>
                <w:color w:val="000000" w:themeColor="text1"/>
              </w:rPr>
              <w:t>Guidelines</w:t>
            </w:r>
            <w:proofErr w:type="spellEnd"/>
            <w:r w:rsidRPr="502784EB">
              <w:rPr>
                <w:rFonts w:ascii="Aptos" w:eastAsia="Aptos" w:hAnsi="Aptos" w:cs="Aptos"/>
                <w:color w:val="000000" w:themeColor="text1"/>
              </w:rPr>
              <w:t xml:space="preserve"> International Network (GIN)</w:t>
            </w:r>
          </w:p>
        </w:tc>
        <w:tc>
          <w:tcPr>
            <w:tcW w:w="1875" w:type="dxa"/>
            <w:tcMar>
              <w:left w:w="105" w:type="dxa"/>
              <w:right w:w="105" w:type="dxa"/>
            </w:tcMar>
          </w:tcPr>
          <w:p w14:paraId="3881A7D8" w14:textId="52A0F6A2" w:rsidR="502784EB" w:rsidRDefault="502784EB" w:rsidP="502784EB">
            <w:pPr>
              <w:rPr>
                <w:rFonts w:ascii="Aptos" w:eastAsia="Aptos" w:hAnsi="Aptos" w:cs="Aptos"/>
                <w:color w:val="000000" w:themeColor="text1"/>
              </w:rPr>
            </w:pPr>
          </w:p>
        </w:tc>
        <w:tc>
          <w:tcPr>
            <w:tcW w:w="345" w:type="dxa"/>
            <w:tcMar>
              <w:left w:w="105" w:type="dxa"/>
              <w:right w:w="105" w:type="dxa"/>
            </w:tcMar>
          </w:tcPr>
          <w:p w14:paraId="59152F78" w14:textId="6AEC58D2" w:rsidR="502784EB" w:rsidRDefault="502784EB" w:rsidP="502784EB">
            <w:pPr>
              <w:rPr>
                <w:rFonts w:ascii="Aptos" w:eastAsia="Aptos" w:hAnsi="Aptos" w:cs="Aptos"/>
                <w:color w:val="000000" w:themeColor="text1"/>
              </w:rPr>
            </w:pPr>
          </w:p>
        </w:tc>
        <w:tc>
          <w:tcPr>
            <w:tcW w:w="345" w:type="dxa"/>
            <w:tcMar>
              <w:left w:w="105" w:type="dxa"/>
              <w:right w:w="105" w:type="dxa"/>
            </w:tcMar>
          </w:tcPr>
          <w:p w14:paraId="67145BC5" w14:textId="75EBE9DC" w:rsidR="502784EB" w:rsidRDefault="502784EB" w:rsidP="502784EB">
            <w:pPr>
              <w:rPr>
                <w:rFonts w:ascii="Aptos" w:eastAsia="Aptos" w:hAnsi="Aptos" w:cs="Aptos"/>
                <w:color w:val="000000" w:themeColor="text1"/>
              </w:rPr>
            </w:pPr>
          </w:p>
        </w:tc>
        <w:tc>
          <w:tcPr>
            <w:tcW w:w="345" w:type="dxa"/>
            <w:tcMar>
              <w:left w:w="105" w:type="dxa"/>
              <w:right w:w="105" w:type="dxa"/>
            </w:tcMar>
          </w:tcPr>
          <w:p w14:paraId="5AFCDE7B" w14:textId="6E845D4F" w:rsidR="502784EB" w:rsidRDefault="502784EB" w:rsidP="502784EB">
            <w:pPr>
              <w:rPr>
                <w:rFonts w:ascii="Aptos" w:eastAsia="Aptos" w:hAnsi="Aptos" w:cs="Aptos"/>
                <w:color w:val="000000" w:themeColor="text1"/>
              </w:rPr>
            </w:pPr>
            <w:r w:rsidRPr="502784EB">
              <w:rPr>
                <w:rFonts w:ascii="Aptos" w:eastAsia="Aptos" w:hAnsi="Aptos" w:cs="Aptos"/>
                <w:color w:val="000000" w:themeColor="text1"/>
              </w:rPr>
              <w:t>X</w:t>
            </w:r>
          </w:p>
        </w:tc>
        <w:tc>
          <w:tcPr>
            <w:tcW w:w="345" w:type="dxa"/>
            <w:tcMar>
              <w:left w:w="105" w:type="dxa"/>
              <w:right w:w="105" w:type="dxa"/>
            </w:tcMar>
          </w:tcPr>
          <w:p w14:paraId="5CBE13D6" w14:textId="33DFA98E" w:rsidR="502784EB" w:rsidRDefault="502784EB" w:rsidP="502784EB">
            <w:pPr>
              <w:rPr>
                <w:rFonts w:ascii="Aptos" w:eastAsia="Aptos" w:hAnsi="Aptos" w:cs="Aptos"/>
                <w:color w:val="000000" w:themeColor="text1"/>
              </w:rPr>
            </w:pPr>
          </w:p>
        </w:tc>
        <w:tc>
          <w:tcPr>
            <w:tcW w:w="345" w:type="dxa"/>
            <w:tcMar>
              <w:left w:w="105" w:type="dxa"/>
              <w:right w:w="105" w:type="dxa"/>
            </w:tcMar>
          </w:tcPr>
          <w:p w14:paraId="58A75B52" w14:textId="2A424BDC" w:rsidR="502784EB" w:rsidRDefault="502784EB" w:rsidP="502784EB">
            <w:pPr>
              <w:rPr>
                <w:rFonts w:ascii="Aptos" w:eastAsia="Aptos" w:hAnsi="Aptos" w:cs="Aptos"/>
                <w:color w:val="000000" w:themeColor="text1"/>
              </w:rPr>
            </w:pPr>
          </w:p>
        </w:tc>
        <w:tc>
          <w:tcPr>
            <w:tcW w:w="360" w:type="dxa"/>
            <w:tcMar>
              <w:left w:w="105" w:type="dxa"/>
              <w:right w:w="105" w:type="dxa"/>
            </w:tcMar>
          </w:tcPr>
          <w:p w14:paraId="0EA07CC3" w14:textId="0F401314" w:rsidR="502784EB" w:rsidRDefault="502784EB" w:rsidP="502784EB">
            <w:pPr>
              <w:rPr>
                <w:rFonts w:ascii="Aptos" w:eastAsia="Aptos" w:hAnsi="Aptos" w:cs="Aptos"/>
                <w:color w:val="000000" w:themeColor="text1"/>
              </w:rPr>
            </w:pPr>
          </w:p>
        </w:tc>
        <w:tc>
          <w:tcPr>
            <w:tcW w:w="2310" w:type="dxa"/>
            <w:tcMar>
              <w:left w:w="105" w:type="dxa"/>
              <w:right w:w="105" w:type="dxa"/>
            </w:tcMar>
          </w:tcPr>
          <w:p w14:paraId="1DC205B6" w14:textId="0C26DEF0" w:rsidR="502784EB" w:rsidRDefault="502784EB" w:rsidP="502784EB">
            <w:pPr>
              <w:rPr>
                <w:rFonts w:ascii="Aptos" w:eastAsia="Aptos" w:hAnsi="Aptos" w:cs="Aptos"/>
                <w:color w:val="000000" w:themeColor="text1"/>
              </w:rPr>
            </w:pPr>
          </w:p>
        </w:tc>
      </w:tr>
      <w:tr w:rsidR="502784EB" w14:paraId="2E1AEC0F" w14:textId="77777777" w:rsidTr="21DE038B">
        <w:trPr>
          <w:trHeight w:val="300"/>
        </w:trPr>
        <w:tc>
          <w:tcPr>
            <w:tcW w:w="3045" w:type="dxa"/>
            <w:tcMar>
              <w:left w:w="105" w:type="dxa"/>
              <w:right w:w="105" w:type="dxa"/>
            </w:tcMar>
          </w:tcPr>
          <w:p w14:paraId="19AA536A" w14:textId="440C6AE2" w:rsidR="502784EB" w:rsidRPr="00FF435D" w:rsidRDefault="502784EB" w:rsidP="502784EB">
            <w:pPr>
              <w:rPr>
                <w:rFonts w:ascii="Aptos" w:eastAsia="Aptos" w:hAnsi="Aptos" w:cs="Aptos"/>
                <w:color w:val="000000" w:themeColor="text1"/>
                <w:lang w:val="en-US"/>
              </w:rPr>
            </w:pPr>
            <w:r w:rsidRPr="00FF435D">
              <w:rPr>
                <w:rFonts w:ascii="Aptos" w:eastAsia="Aptos" w:hAnsi="Aptos" w:cs="Aptos"/>
                <w:color w:val="000000" w:themeColor="text1"/>
                <w:lang w:val="en-US"/>
              </w:rPr>
              <w:t>Care of dying adults in the last days of life - NICE</w:t>
            </w:r>
          </w:p>
        </w:tc>
        <w:tc>
          <w:tcPr>
            <w:tcW w:w="1875" w:type="dxa"/>
            <w:tcMar>
              <w:left w:w="105" w:type="dxa"/>
              <w:right w:w="105" w:type="dxa"/>
            </w:tcMar>
          </w:tcPr>
          <w:p w14:paraId="6BC1790C" w14:textId="55AB5101" w:rsidR="502784EB" w:rsidRPr="00FF435D" w:rsidRDefault="502784EB" w:rsidP="502784EB">
            <w:pPr>
              <w:rPr>
                <w:rFonts w:ascii="Aptos" w:eastAsia="Aptos" w:hAnsi="Aptos" w:cs="Aptos"/>
                <w:color w:val="000000" w:themeColor="text1"/>
                <w:lang w:val="en-US"/>
              </w:rPr>
            </w:pPr>
          </w:p>
        </w:tc>
        <w:tc>
          <w:tcPr>
            <w:tcW w:w="345" w:type="dxa"/>
            <w:tcMar>
              <w:left w:w="105" w:type="dxa"/>
              <w:right w:w="105" w:type="dxa"/>
            </w:tcMar>
          </w:tcPr>
          <w:p w14:paraId="6D82F38F" w14:textId="73B0E97B" w:rsidR="502784EB" w:rsidRPr="00FF435D" w:rsidRDefault="502784EB" w:rsidP="502784EB">
            <w:pPr>
              <w:rPr>
                <w:rFonts w:ascii="Aptos" w:eastAsia="Aptos" w:hAnsi="Aptos" w:cs="Aptos"/>
                <w:color w:val="000000" w:themeColor="text1"/>
                <w:lang w:val="en-US"/>
              </w:rPr>
            </w:pPr>
          </w:p>
        </w:tc>
        <w:tc>
          <w:tcPr>
            <w:tcW w:w="345" w:type="dxa"/>
            <w:tcMar>
              <w:left w:w="105" w:type="dxa"/>
              <w:right w:w="105" w:type="dxa"/>
            </w:tcMar>
          </w:tcPr>
          <w:p w14:paraId="7469327F" w14:textId="3F1B6C8C" w:rsidR="502784EB" w:rsidRPr="00FF435D" w:rsidRDefault="502784EB" w:rsidP="502784EB">
            <w:pPr>
              <w:rPr>
                <w:rFonts w:ascii="Aptos" w:eastAsia="Aptos" w:hAnsi="Aptos" w:cs="Aptos"/>
                <w:color w:val="000000" w:themeColor="text1"/>
                <w:lang w:val="en-US"/>
              </w:rPr>
            </w:pPr>
          </w:p>
        </w:tc>
        <w:tc>
          <w:tcPr>
            <w:tcW w:w="345" w:type="dxa"/>
            <w:tcMar>
              <w:left w:w="105" w:type="dxa"/>
              <w:right w:w="105" w:type="dxa"/>
            </w:tcMar>
          </w:tcPr>
          <w:p w14:paraId="4E3785A2" w14:textId="67EF5944" w:rsidR="502784EB" w:rsidRPr="00FF435D" w:rsidRDefault="502784EB" w:rsidP="502784EB">
            <w:pPr>
              <w:rPr>
                <w:rFonts w:ascii="Aptos" w:eastAsia="Aptos" w:hAnsi="Aptos" w:cs="Aptos"/>
                <w:color w:val="000000" w:themeColor="text1"/>
                <w:lang w:val="en-US"/>
              </w:rPr>
            </w:pPr>
          </w:p>
        </w:tc>
        <w:tc>
          <w:tcPr>
            <w:tcW w:w="345" w:type="dxa"/>
            <w:tcMar>
              <w:left w:w="105" w:type="dxa"/>
              <w:right w:w="105" w:type="dxa"/>
            </w:tcMar>
          </w:tcPr>
          <w:p w14:paraId="053400B5" w14:textId="19B7ABFD" w:rsidR="502784EB" w:rsidRPr="00FF435D" w:rsidRDefault="502784EB" w:rsidP="502784EB">
            <w:pPr>
              <w:rPr>
                <w:rFonts w:ascii="Aptos" w:eastAsia="Aptos" w:hAnsi="Aptos" w:cs="Aptos"/>
                <w:color w:val="000000" w:themeColor="text1"/>
                <w:lang w:val="en-US"/>
              </w:rPr>
            </w:pPr>
          </w:p>
        </w:tc>
        <w:tc>
          <w:tcPr>
            <w:tcW w:w="345" w:type="dxa"/>
            <w:tcMar>
              <w:left w:w="105" w:type="dxa"/>
              <w:right w:w="105" w:type="dxa"/>
            </w:tcMar>
          </w:tcPr>
          <w:p w14:paraId="06E30F02" w14:textId="50FEB842" w:rsidR="502784EB" w:rsidRPr="00FF435D" w:rsidRDefault="502784EB" w:rsidP="502784EB">
            <w:pPr>
              <w:rPr>
                <w:rFonts w:ascii="Aptos" w:eastAsia="Aptos" w:hAnsi="Aptos" w:cs="Aptos"/>
                <w:color w:val="000000" w:themeColor="text1"/>
                <w:lang w:val="en-US"/>
              </w:rPr>
            </w:pPr>
          </w:p>
        </w:tc>
        <w:tc>
          <w:tcPr>
            <w:tcW w:w="360" w:type="dxa"/>
            <w:tcMar>
              <w:left w:w="105" w:type="dxa"/>
              <w:right w:w="105" w:type="dxa"/>
            </w:tcMar>
          </w:tcPr>
          <w:p w14:paraId="207E4523" w14:textId="519D2D72" w:rsidR="502784EB" w:rsidRDefault="502784EB" w:rsidP="502784EB">
            <w:pPr>
              <w:rPr>
                <w:rFonts w:ascii="Aptos" w:eastAsia="Aptos" w:hAnsi="Aptos" w:cs="Aptos"/>
                <w:color w:val="000000" w:themeColor="text1"/>
              </w:rPr>
            </w:pPr>
            <w:r w:rsidRPr="502784EB">
              <w:rPr>
                <w:rFonts w:ascii="Aptos" w:eastAsia="Aptos" w:hAnsi="Aptos" w:cs="Aptos"/>
                <w:color w:val="000000" w:themeColor="text1"/>
              </w:rPr>
              <w:t>X</w:t>
            </w:r>
          </w:p>
        </w:tc>
        <w:tc>
          <w:tcPr>
            <w:tcW w:w="2310" w:type="dxa"/>
            <w:tcMar>
              <w:left w:w="105" w:type="dxa"/>
              <w:right w:w="105" w:type="dxa"/>
            </w:tcMar>
          </w:tcPr>
          <w:p w14:paraId="1E721E06" w14:textId="26E620F7" w:rsidR="502784EB" w:rsidRDefault="502784EB" w:rsidP="502784EB">
            <w:pPr>
              <w:rPr>
                <w:rFonts w:ascii="Aptos" w:eastAsia="Aptos" w:hAnsi="Aptos" w:cs="Aptos"/>
                <w:color w:val="000000" w:themeColor="text1"/>
              </w:rPr>
            </w:pPr>
          </w:p>
        </w:tc>
      </w:tr>
      <w:tr w:rsidR="502784EB" w14:paraId="3D8EEC7C" w14:textId="77777777" w:rsidTr="21DE038B">
        <w:trPr>
          <w:trHeight w:val="300"/>
        </w:trPr>
        <w:tc>
          <w:tcPr>
            <w:tcW w:w="3045" w:type="dxa"/>
            <w:tcMar>
              <w:left w:w="105" w:type="dxa"/>
              <w:right w:w="105" w:type="dxa"/>
            </w:tcMar>
          </w:tcPr>
          <w:p w14:paraId="325A14FD" w14:textId="5A711B18" w:rsidR="502784EB" w:rsidRPr="00FF435D" w:rsidRDefault="502784EB" w:rsidP="502784EB">
            <w:pPr>
              <w:rPr>
                <w:rFonts w:ascii="Aptos" w:eastAsia="Aptos" w:hAnsi="Aptos" w:cs="Aptos"/>
                <w:color w:val="000000" w:themeColor="text1"/>
                <w:lang w:val="en-US"/>
              </w:rPr>
            </w:pPr>
            <w:r w:rsidRPr="00FF435D">
              <w:rPr>
                <w:rFonts w:ascii="Aptos" w:eastAsia="Aptos" w:hAnsi="Aptos" w:cs="Aptos"/>
                <w:color w:val="000000" w:themeColor="text1"/>
                <w:lang w:val="en-US"/>
              </w:rPr>
              <w:t>End-of-life Care</w:t>
            </w:r>
          </w:p>
          <w:p w14:paraId="580215AC" w14:textId="7D9F71F7" w:rsidR="502784EB" w:rsidRDefault="502784EB" w:rsidP="502784EB">
            <w:pPr>
              <w:rPr>
                <w:rFonts w:ascii="Aptos" w:eastAsia="Aptos" w:hAnsi="Aptos" w:cs="Aptos"/>
                <w:color w:val="000000" w:themeColor="text1"/>
                <w:lang w:val="en-US"/>
              </w:rPr>
            </w:pPr>
            <w:r w:rsidRPr="00FF435D">
              <w:rPr>
                <w:rFonts w:ascii="Aptos" w:eastAsia="Aptos" w:hAnsi="Aptos" w:cs="Aptos"/>
                <w:color w:val="000000" w:themeColor="text1"/>
                <w:lang w:val="en-US"/>
              </w:rPr>
              <w:t>During the Last Days and Hours</w:t>
            </w:r>
          </w:p>
        </w:tc>
        <w:tc>
          <w:tcPr>
            <w:tcW w:w="1875" w:type="dxa"/>
            <w:tcMar>
              <w:left w:w="105" w:type="dxa"/>
              <w:right w:w="105" w:type="dxa"/>
            </w:tcMar>
          </w:tcPr>
          <w:p w14:paraId="41999FD6" w14:textId="700A2877" w:rsidR="502784EB" w:rsidRPr="00FF435D" w:rsidRDefault="502784EB" w:rsidP="502784EB">
            <w:pPr>
              <w:rPr>
                <w:rFonts w:ascii="Aptos" w:eastAsia="Aptos" w:hAnsi="Aptos" w:cs="Aptos"/>
                <w:color w:val="000000" w:themeColor="text1"/>
                <w:lang w:val="en-US"/>
              </w:rPr>
            </w:pPr>
          </w:p>
        </w:tc>
        <w:tc>
          <w:tcPr>
            <w:tcW w:w="345" w:type="dxa"/>
            <w:tcMar>
              <w:left w:w="105" w:type="dxa"/>
              <w:right w:w="105" w:type="dxa"/>
            </w:tcMar>
          </w:tcPr>
          <w:p w14:paraId="153AC7C5" w14:textId="66CA4B73" w:rsidR="502784EB" w:rsidRPr="00FF435D" w:rsidRDefault="502784EB" w:rsidP="502784EB">
            <w:pPr>
              <w:rPr>
                <w:rFonts w:ascii="Aptos" w:eastAsia="Aptos" w:hAnsi="Aptos" w:cs="Aptos"/>
                <w:color w:val="000000" w:themeColor="text1"/>
                <w:lang w:val="en-US"/>
              </w:rPr>
            </w:pPr>
          </w:p>
        </w:tc>
        <w:tc>
          <w:tcPr>
            <w:tcW w:w="345" w:type="dxa"/>
            <w:tcMar>
              <w:left w:w="105" w:type="dxa"/>
              <w:right w:w="105" w:type="dxa"/>
            </w:tcMar>
          </w:tcPr>
          <w:p w14:paraId="23076575" w14:textId="6BC42644" w:rsidR="502784EB" w:rsidRPr="00FF435D" w:rsidRDefault="502784EB" w:rsidP="502784EB">
            <w:pPr>
              <w:rPr>
                <w:rFonts w:ascii="Aptos" w:eastAsia="Aptos" w:hAnsi="Aptos" w:cs="Aptos"/>
                <w:color w:val="000000" w:themeColor="text1"/>
                <w:lang w:val="en-US"/>
              </w:rPr>
            </w:pPr>
          </w:p>
        </w:tc>
        <w:tc>
          <w:tcPr>
            <w:tcW w:w="345" w:type="dxa"/>
            <w:tcMar>
              <w:left w:w="105" w:type="dxa"/>
              <w:right w:w="105" w:type="dxa"/>
            </w:tcMar>
          </w:tcPr>
          <w:p w14:paraId="24DDE516" w14:textId="2E603101" w:rsidR="502784EB" w:rsidRPr="00FF435D" w:rsidRDefault="502784EB" w:rsidP="502784EB">
            <w:pPr>
              <w:rPr>
                <w:rFonts w:ascii="Aptos" w:eastAsia="Aptos" w:hAnsi="Aptos" w:cs="Aptos"/>
                <w:color w:val="000000" w:themeColor="text1"/>
                <w:lang w:val="en-US"/>
              </w:rPr>
            </w:pPr>
          </w:p>
        </w:tc>
        <w:tc>
          <w:tcPr>
            <w:tcW w:w="345" w:type="dxa"/>
            <w:tcMar>
              <w:left w:w="105" w:type="dxa"/>
              <w:right w:w="105" w:type="dxa"/>
            </w:tcMar>
          </w:tcPr>
          <w:p w14:paraId="67328B93" w14:textId="2ED67BF6" w:rsidR="502784EB" w:rsidRPr="00FF435D" w:rsidRDefault="502784EB" w:rsidP="502784EB">
            <w:pPr>
              <w:rPr>
                <w:rFonts w:ascii="Aptos" w:eastAsia="Aptos" w:hAnsi="Aptos" w:cs="Aptos"/>
                <w:color w:val="000000" w:themeColor="text1"/>
                <w:lang w:val="en-US"/>
              </w:rPr>
            </w:pPr>
          </w:p>
        </w:tc>
        <w:tc>
          <w:tcPr>
            <w:tcW w:w="345" w:type="dxa"/>
            <w:tcMar>
              <w:left w:w="105" w:type="dxa"/>
              <w:right w:w="105" w:type="dxa"/>
            </w:tcMar>
          </w:tcPr>
          <w:p w14:paraId="5BE8AF18" w14:textId="526B179F" w:rsidR="502784EB" w:rsidRPr="00FF435D" w:rsidRDefault="502784EB" w:rsidP="502784EB">
            <w:pPr>
              <w:rPr>
                <w:rFonts w:ascii="Aptos" w:eastAsia="Aptos" w:hAnsi="Aptos" w:cs="Aptos"/>
                <w:color w:val="000000" w:themeColor="text1"/>
                <w:lang w:val="en-US"/>
              </w:rPr>
            </w:pPr>
          </w:p>
        </w:tc>
        <w:tc>
          <w:tcPr>
            <w:tcW w:w="360" w:type="dxa"/>
            <w:tcMar>
              <w:left w:w="105" w:type="dxa"/>
              <w:right w:w="105" w:type="dxa"/>
            </w:tcMar>
          </w:tcPr>
          <w:p w14:paraId="034C200D" w14:textId="56E4D92C" w:rsidR="502784EB" w:rsidRPr="00FF435D" w:rsidRDefault="502784EB" w:rsidP="502784EB">
            <w:pPr>
              <w:rPr>
                <w:rFonts w:ascii="Aptos" w:eastAsia="Aptos" w:hAnsi="Aptos" w:cs="Aptos"/>
                <w:color w:val="000000" w:themeColor="text1"/>
                <w:lang w:val="en-US"/>
              </w:rPr>
            </w:pPr>
          </w:p>
        </w:tc>
        <w:tc>
          <w:tcPr>
            <w:tcW w:w="2310" w:type="dxa"/>
            <w:tcMar>
              <w:left w:w="105" w:type="dxa"/>
              <w:right w:w="105" w:type="dxa"/>
            </w:tcMar>
          </w:tcPr>
          <w:p w14:paraId="75A6F2EB" w14:textId="40864F5A" w:rsidR="502784EB" w:rsidRDefault="502784EB" w:rsidP="502784EB">
            <w:pPr>
              <w:rPr>
                <w:rFonts w:ascii="Aptos" w:eastAsia="Aptos" w:hAnsi="Aptos" w:cs="Aptos"/>
                <w:color w:val="000000" w:themeColor="text1"/>
              </w:rPr>
            </w:pPr>
            <w:r w:rsidRPr="502784EB">
              <w:rPr>
                <w:rFonts w:ascii="Aptos" w:eastAsia="Aptos" w:hAnsi="Aptos" w:cs="Aptos"/>
                <w:color w:val="000000" w:themeColor="text1"/>
              </w:rPr>
              <w:t>X</w:t>
            </w:r>
          </w:p>
        </w:tc>
      </w:tr>
    </w:tbl>
    <w:p w14:paraId="516DA6EA" w14:textId="577F3874" w:rsidR="502784EB" w:rsidRDefault="502784EB" w:rsidP="502784EB">
      <w:pPr>
        <w:jc w:val="both"/>
        <w:rPr>
          <w:rFonts w:ascii="Arial" w:eastAsia="Arial" w:hAnsi="Arial" w:cs="Arial"/>
          <w:b/>
          <w:bCs/>
        </w:rPr>
      </w:pPr>
    </w:p>
    <w:p w14:paraId="1976B38B" w14:textId="46C4C8AE" w:rsidR="76914576" w:rsidRDefault="4E3BD944" w:rsidP="6968984F">
      <w:pPr>
        <w:jc w:val="both"/>
        <w:rPr>
          <w:rFonts w:ascii="Arial" w:eastAsia="Arial" w:hAnsi="Arial" w:cs="Arial"/>
          <w:b/>
          <w:bCs/>
        </w:rPr>
      </w:pPr>
      <w:r w:rsidRPr="6968984F">
        <w:rPr>
          <w:rFonts w:ascii="Arial" w:eastAsia="Arial" w:hAnsi="Arial" w:cs="Arial"/>
          <w:b/>
          <w:bCs/>
        </w:rPr>
        <w:t>Definición de fin de vida</w:t>
      </w:r>
    </w:p>
    <w:p w14:paraId="18CB2527" w14:textId="4053E979" w:rsidR="76914576" w:rsidRDefault="00A31620" w:rsidP="502784EB">
      <w:pPr>
        <w:jc w:val="both"/>
        <w:rPr>
          <w:rFonts w:ascii="Arial" w:eastAsia="Arial" w:hAnsi="Arial" w:cs="Arial"/>
          <w:color w:val="000000" w:themeColor="text1"/>
        </w:rPr>
      </w:pPr>
      <w:r w:rsidRPr="502784EB">
        <w:rPr>
          <w:rFonts w:ascii="Arial" w:eastAsia="Arial" w:hAnsi="Arial" w:cs="Arial"/>
        </w:rPr>
        <w:t xml:space="preserve">Las definiciones de fin de vida varían ampliamente entre las diferentes guías de práctica clínica en cuanto a temporalidad principalmente. La definición más amplia provee de las guías NICE, las cuales definen el fin de vida </w:t>
      </w:r>
      <w:r w:rsidR="6198D634" w:rsidRPr="502784EB">
        <w:rPr>
          <w:rFonts w:ascii="Arial" w:eastAsia="Arial" w:hAnsi="Arial" w:cs="Arial"/>
        </w:rPr>
        <w:t>como las</w:t>
      </w:r>
      <w:r w:rsidR="77617A8E" w:rsidRPr="502784EB">
        <w:rPr>
          <w:rFonts w:ascii="Arial" w:eastAsia="Arial" w:hAnsi="Arial" w:cs="Arial"/>
          <w:color w:val="000000" w:themeColor="text1"/>
        </w:rPr>
        <w:t xml:space="preserve"> últimas semanas o meses</w:t>
      </w:r>
      <w:r w:rsidR="3630199C" w:rsidRPr="502784EB">
        <w:rPr>
          <w:rFonts w:ascii="Arial" w:eastAsia="Arial" w:hAnsi="Arial" w:cs="Arial"/>
          <w:color w:val="000000" w:themeColor="text1"/>
        </w:rPr>
        <w:t xml:space="preserve"> de vida</w:t>
      </w:r>
      <w:r w:rsidR="77617A8E" w:rsidRPr="502784EB">
        <w:rPr>
          <w:rFonts w:ascii="Arial" w:eastAsia="Arial" w:hAnsi="Arial" w:cs="Arial"/>
          <w:color w:val="000000" w:themeColor="text1"/>
        </w:rPr>
        <w:t>, incluso para</w:t>
      </w:r>
      <w:r w:rsidRPr="502784EB">
        <w:rPr>
          <w:rFonts w:ascii="Arial" w:eastAsia="Arial" w:hAnsi="Arial" w:cs="Arial"/>
          <w:color w:val="000000" w:themeColor="text1"/>
        </w:rPr>
        <w:t xml:space="preserve"> algunas condiciones s</w:t>
      </w:r>
      <w:r w:rsidR="36D6070C" w:rsidRPr="502784EB">
        <w:rPr>
          <w:rFonts w:ascii="Arial" w:eastAsia="Arial" w:hAnsi="Arial" w:cs="Arial"/>
          <w:color w:val="000000" w:themeColor="text1"/>
        </w:rPr>
        <w:t>e trata de años. Esta</w:t>
      </w:r>
      <w:r w:rsidR="13664345" w:rsidRPr="502784EB">
        <w:rPr>
          <w:rFonts w:ascii="Arial" w:eastAsia="Arial" w:hAnsi="Arial" w:cs="Arial"/>
          <w:color w:val="000000" w:themeColor="text1"/>
        </w:rPr>
        <w:t xml:space="preserve"> d</w:t>
      </w:r>
      <w:r w:rsidR="36D6070C" w:rsidRPr="502784EB">
        <w:rPr>
          <w:rFonts w:ascii="Arial" w:eastAsia="Arial" w:hAnsi="Arial" w:cs="Arial"/>
          <w:color w:val="000000" w:themeColor="text1"/>
        </w:rPr>
        <w:t>e</w:t>
      </w:r>
      <w:r w:rsidR="13664345" w:rsidRPr="502784EB">
        <w:rPr>
          <w:rFonts w:ascii="Arial" w:eastAsia="Arial" w:hAnsi="Arial" w:cs="Arial"/>
          <w:color w:val="000000" w:themeColor="text1"/>
        </w:rPr>
        <w:t>finición incluye a pacientes con condiciones avanzadas, incurables, progresivas, frágiles, con comorbilidades que aumentan su riesgo de fallecer</w:t>
      </w:r>
      <w:r w:rsidR="714AB0C5" w:rsidRPr="502784EB">
        <w:rPr>
          <w:rFonts w:ascii="Arial" w:eastAsia="Arial" w:hAnsi="Arial" w:cs="Arial"/>
          <w:color w:val="000000" w:themeColor="text1"/>
        </w:rPr>
        <w:t xml:space="preserve"> (7)</w:t>
      </w:r>
      <w:r w:rsidR="13664345" w:rsidRPr="502784EB">
        <w:rPr>
          <w:rFonts w:ascii="Arial" w:eastAsia="Arial" w:hAnsi="Arial" w:cs="Arial"/>
          <w:color w:val="000000" w:themeColor="text1"/>
        </w:rPr>
        <w:t>.</w:t>
      </w:r>
      <w:r w:rsidR="36D6070C" w:rsidRPr="502784EB">
        <w:rPr>
          <w:rFonts w:ascii="Arial" w:eastAsia="Arial" w:hAnsi="Arial" w:cs="Arial"/>
          <w:color w:val="000000" w:themeColor="text1"/>
        </w:rPr>
        <w:t xml:space="preserve"> </w:t>
      </w:r>
      <w:r w:rsidR="58470CB0" w:rsidRPr="502784EB">
        <w:rPr>
          <w:rFonts w:ascii="Arial" w:eastAsia="Arial" w:hAnsi="Arial" w:cs="Arial"/>
          <w:color w:val="000000" w:themeColor="text1"/>
        </w:rPr>
        <w:t xml:space="preserve">Otra guía emitida por NICE establece este tiempo </w:t>
      </w:r>
      <w:r w:rsidR="58470CB0" w:rsidRPr="502784EB">
        <w:rPr>
          <w:rFonts w:ascii="Arial" w:eastAsia="Arial" w:hAnsi="Arial" w:cs="Arial"/>
          <w:color w:val="000000" w:themeColor="text1"/>
        </w:rPr>
        <w:lastRenderedPageBreak/>
        <w:t xml:space="preserve">como los últimos 2 o 3 días previos a fallecer (4). </w:t>
      </w:r>
      <w:r w:rsidR="51DEFAA3" w:rsidRPr="502784EB">
        <w:rPr>
          <w:rFonts w:ascii="Arial" w:eastAsia="Arial" w:hAnsi="Arial" w:cs="Arial"/>
          <w:color w:val="000000" w:themeColor="text1"/>
        </w:rPr>
        <w:t>Las guías ESMO sobre cuidado al paciente con cáncer en fin de vida defin</w:t>
      </w:r>
      <w:r w:rsidR="7B0F1BC3" w:rsidRPr="502784EB">
        <w:rPr>
          <w:rFonts w:ascii="Arial" w:eastAsia="Arial" w:hAnsi="Arial" w:cs="Arial"/>
          <w:color w:val="000000" w:themeColor="text1"/>
        </w:rPr>
        <w:t>en el fin de vida como el momento de la enfermedad avanzada en que se alcanza un rápido deterioro físico, típicamente las últimas semanas o meses antes de una muerte inevitable como resultado de la enfermedad</w:t>
      </w:r>
      <w:r w:rsidR="403374DB" w:rsidRPr="502784EB">
        <w:rPr>
          <w:rFonts w:ascii="Arial" w:eastAsia="Arial" w:hAnsi="Arial" w:cs="Arial"/>
          <w:color w:val="000000" w:themeColor="text1"/>
        </w:rPr>
        <w:t xml:space="preserve"> (6)</w:t>
      </w:r>
      <w:r w:rsidR="7B0F1BC3" w:rsidRPr="502784EB">
        <w:rPr>
          <w:rFonts w:ascii="Arial" w:eastAsia="Arial" w:hAnsi="Arial" w:cs="Arial"/>
          <w:color w:val="000000" w:themeColor="text1"/>
        </w:rPr>
        <w:t>.</w:t>
      </w:r>
      <w:r w:rsidR="23AB01BD" w:rsidRPr="502784EB">
        <w:rPr>
          <w:rFonts w:ascii="Arial" w:eastAsia="Arial" w:hAnsi="Arial" w:cs="Arial"/>
          <w:color w:val="000000" w:themeColor="text1"/>
        </w:rPr>
        <w:t xml:space="preserve"> </w:t>
      </w:r>
      <w:r w:rsidR="1530E7F2" w:rsidRPr="502784EB">
        <w:rPr>
          <w:rFonts w:ascii="Arial" w:eastAsia="Arial" w:hAnsi="Arial" w:cs="Arial"/>
          <w:color w:val="000000" w:themeColor="text1"/>
        </w:rPr>
        <w:t>La guía de RNAO establece el fin de vida como el momento en la trayectoria de la enfermedad donde los pacientes solo tienen días u horas de vida.</w:t>
      </w:r>
    </w:p>
    <w:p w14:paraId="268590FE" w14:textId="20CFF715" w:rsidR="76914576" w:rsidRDefault="467CD584" w:rsidP="37FB81F5">
      <w:pPr>
        <w:jc w:val="both"/>
        <w:rPr>
          <w:rFonts w:ascii="Arial" w:eastAsia="Arial" w:hAnsi="Arial" w:cs="Arial"/>
        </w:rPr>
      </w:pPr>
      <w:r w:rsidRPr="37FB81F5">
        <w:rPr>
          <w:rFonts w:ascii="Arial" w:eastAsia="Arial" w:hAnsi="Arial" w:cs="Arial"/>
          <w:b/>
          <w:bCs/>
        </w:rPr>
        <w:t>Factores identificados en guías de práctica clínica para la identificación de pacientes en fin de vida</w:t>
      </w:r>
    </w:p>
    <w:p w14:paraId="46D58EDC" w14:textId="55FE34F3" w:rsidR="40195434" w:rsidRDefault="42947FC7" w:rsidP="502784EB">
      <w:pPr>
        <w:jc w:val="both"/>
        <w:rPr>
          <w:rFonts w:ascii="Arial" w:eastAsia="Arial" w:hAnsi="Arial" w:cs="Arial"/>
        </w:rPr>
      </w:pPr>
      <w:r w:rsidRPr="502784EB">
        <w:rPr>
          <w:rFonts w:ascii="Arial" w:eastAsia="Arial" w:hAnsi="Arial" w:cs="Arial"/>
        </w:rPr>
        <w:t>Las diferentes guías analizadas establecen las recomendaciones para la identificación de pacientes en fin de vida a través de signos clínicos, esc</w:t>
      </w:r>
      <w:r w:rsidR="55E0F5FE" w:rsidRPr="502784EB">
        <w:rPr>
          <w:rFonts w:ascii="Arial" w:eastAsia="Arial" w:hAnsi="Arial" w:cs="Arial"/>
        </w:rPr>
        <w:t>alas y herramientas a utilizar.</w:t>
      </w:r>
    </w:p>
    <w:p w14:paraId="3C6CB6D9" w14:textId="518760D3" w:rsidR="40195434" w:rsidRDefault="4AD86E6B" w:rsidP="6968984F">
      <w:pPr>
        <w:jc w:val="both"/>
        <w:rPr>
          <w:rFonts w:ascii="Arial" w:eastAsia="Arial" w:hAnsi="Arial" w:cs="Arial"/>
          <w:b/>
          <w:bCs/>
        </w:rPr>
      </w:pPr>
      <w:r w:rsidRPr="37FB81F5">
        <w:rPr>
          <w:rFonts w:ascii="Arial" w:eastAsia="Arial" w:hAnsi="Arial" w:cs="Arial"/>
          <w:b/>
          <w:bCs/>
        </w:rPr>
        <w:t>Signos clínicos</w:t>
      </w:r>
    </w:p>
    <w:p w14:paraId="140474CD" w14:textId="428A2A6F" w:rsidR="64BA0D3F" w:rsidRPr="00FF435D" w:rsidRDefault="3662DAB0" w:rsidP="6968984F">
      <w:pPr>
        <w:jc w:val="both"/>
        <w:rPr>
          <w:rFonts w:ascii="Arial" w:eastAsia="Arial" w:hAnsi="Arial" w:cs="Arial"/>
          <w:color w:val="000000" w:themeColor="text1"/>
          <w:lang w:val="en-US"/>
        </w:rPr>
      </w:pPr>
      <w:r w:rsidRPr="502784EB">
        <w:rPr>
          <w:rFonts w:ascii="Arial" w:eastAsia="Arial" w:hAnsi="Arial" w:cs="Arial"/>
        </w:rPr>
        <w:t>Los signos clínicos</w:t>
      </w:r>
      <w:r w:rsidR="0DC2F129" w:rsidRPr="502784EB">
        <w:rPr>
          <w:rFonts w:ascii="Arial" w:eastAsia="Arial" w:hAnsi="Arial" w:cs="Arial"/>
        </w:rPr>
        <w:t xml:space="preserve"> en el paciente que se encuentra en fin de vida</w:t>
      </w:r>
      <w:r w:rsidRPr="502784EB">
        <w:rPr>
          <w:rFonts w:ascii="Arial" w:eastAsia="Arial" w:hAnsi="Arial" w:cs="Arial"/>
        </w:rPr>
        <w:t xml:space="preserve"> </w:t>
      </w:r>
      <w:r w:rsidR="657B0FF2" w:rsidRPr="502784EB">
        <w:rPr>
          <w:rFonts w:ascii="Arial" w:eastAsia="Arial" w:hAnsi="Arial" w:cs="Arial"/>
        </w:rPr>
        <w:t xml:space="preserve">identificados en las guías </w:t>
      </w:r>
      <w:r w:rsidRPr="502784EB">
        <w:rPr>
          <w:rFonts w:ascii="Arial" w:eastAsia="Arial" w:hAnsi="Arial" w:cs="Arial"/>
        </w:rPr>
        <w:t xml:space="preserve">son: agitación, respiración de </w:t>
      </w:r>
      <w:proofErr w:type="spellStart"/>
      <w:r w:rsidRPr="502784EB">
        <w:rPr>
          <w:rFonts w:ascii="Arial" w:eastAsia="Arial" w:hAnsi="Arial" w:cs="Arial"/>
        </w:rPr>
        <w:t>Cheyne</w:t>
      </w:r>
      <w:proofErr w:type="spellEnd"/>
      <w:r w:rsidRPr="502784EB">
        <w:rPr>
          <w:rFonts w:ascii="Arial" w:eastAsia="Arial" w:hAnsi="Arial" w:cs="Arial"/>
        </w:rPr>
        <w:t xml:space="preserve"> Stokes, deterioro del estado de conciencia, piel moteada, respiración ruidosa, pérdida de peso progresiva</w:t>
      </w:r>
      <w:r w:rsidR="441AFF36" w:rsidRPr="502784EB">
        <w:rPr>
          <w:rFonts w:ascii="Arial" w:eastAsia="Arial" w:hAnsi="Arial" w:cs="Arial"/>
        </w:rPr>
        <w:t>, p</w:t>
      </w:r>
      <w:r w:rsidRPr="502784EB">
        <w:rPr>
          <w:rFonts w:ascii="Arial" w:eastAsia="Arial" w:hAnsi="Arial" w:cs="Arial"/>
        </w:rPr>
        <w:t>érdida de apetito</w:t>
      </w:r>
      <w:r w:rsidR="3D87F72D" w:rsidRPr="502784EB">
        <w:rPr>
          <w:rFonts w:ascii="Arial" w:eastAsia="Arial" w:hAnsi="Arial" w:cs="Arial"/>
        </w:rPr>
        <w:t>,</w:t>
      </w:r>
      <w:r w:rsidRPr="502784EB">
        <w:rPr>
          <w:rFonts w:ascii="Arial" w:eastAsia="Arial" w:hAnsi="Arial" w:cs="Arial"/>
        </w:rPr>
        <w:t xml:space="preserve"> aumento de fatiga</w:t>
      </w:r>
      <w:r w:rsidR="40FAF735" w:rsidRPr="502784EB">
        <w:rPr>
          <w:rFonts w:ascii="Arial" w:eastAsia="Arial" w:hAnsi="Arial" w:cs="Arial"/>
        </w:rPr>
        <w:t>,</w:t>
      </w:r>
      <w:r w:rsidRPr="502784EB">
        <w:rPr>
          <w:rFonts w:ascii="Arial" w:eastAsia="Arial" w:hAnsi="Arial" w:cs="Arial"/>
        </w:rPr>
        <w:t xml:space="preserve"> </w:t>
      </w:r>
      <w:r w:rsidR="3BD3ED71" w:rsidRPr="502784EB">
        <w:rPr>
          <w:rFonts w:ascii="Arial" w:eastAsia="Arial" w:hAnsi="Arial" w:cs="Arial"/>
        </w:rPr>
        <w:t>c</w:t>
      </w:r>
      <w:r w:rsidRPr="502784EB">
        <w:rPr>
          <w:rFonts w:ascii="Arial" w:eastAsia="Arial" w:hAnsi="Arial" w:cs="Arial"/>
        </w:rPr>
        <w:t>ambios en comunicación, deterioro de la movilidad o estado funcional, ret</w:t>
      </w:r>
      <w:r w:rsidR="4246FA43" w:rsidRPr="502784EB">
        <w:rPr>
          <w:rFonts w:ascii="Arial" w:eastAsia="Arial" w:hAnsi="Arial" w:cs="Arial"/>
        </w:rPr>
        <w:t>raimiento</w:t>
      </w:r>
      <w:r w:rsidRPr="502784EB">
        <w:rPr>
          <w:rFonts w:ascii="Arial" w:eastAsia="Arial" w:hAnsi="Arial" w:cs="Arial"/>
        </w:rPr>
        <w:t xml:space="preserve"> social</w:t>
      </w:r>
      <w:r w:rsidR="5E31EF73" w:rsidRPr="502784EB">
        <w:rPr>
          <w:rFonts w:ascii="Arial" w:eastAsia="Arial" w:hAnsi="Arial" w:cs="Arial"/>
        </w:rPr>
        <w:t>, debilidad progresiva, oliguria, disfagia, delirium no reversible, aumento de secreciones respiratorias, presencia de apneas, piel moteada y extremidades frías</w:t>
      </w:r>
      <w:r w:rsidR="5706A0A5" w:rsidRPr="502784EB">
        <w:rPr>
          <w:rFonts w:ascii="Arial" w:eastAsia="Arial" w:hAnsi="Arial" w:cs="Arial"/>
        </w:rPr>
        <w:t xml:space="preserve">. </w:t>
      </w:r>
      <w:sdt>
        <w:sdtPr>
          <w:rPr>
            <w:rFonts w:ascii="Arial" w:eastAsia="Arial" w:hAnsi="Arial" w:cs="Arial"/>
            <w:color w:val="000000" w:themeColor="text1"/>
          </w:rPr>
          <w:tag w:val="MENDELEY_CITATION_v3_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"/>
          <w:id w:val="1396537225"/>
          <w:placeholder>
            <w:docPart w:val="DefaultPlaceholder_-1854013440"/>
          </w:placeholder>
        </w:sdtPr>
        <w:sdtEndPr/>
        <w:sdtContent>
          <w:r w:rsidR="502784EB" w:rsidRPr="00FF435D">
            <w:rPr>
              <w:rFonts w:ascii="Arial" w:eastAsia="Arial" w:hAnsi="Arial" w:cs="Arial"/>
              <w:color w:val="000000" w:themeColor="text1"/>
              <w:lang w:val="en-US"/>
            </w:rPr>
            <w:t>(Care of Dying Adults in the Last Days of Life NICE Guideline, 2015; End-of-Life Care During the Last Days and Hours Clinical Best Practice Guidelines, 2011)</w:t>
          </w:r>
        </w:sdtContent>
      </w:sdt>
    </w:p>
    <w:p w14:paraId="52F628E2" w14:textId="3182ADE3" w:rsidR="38939E51" w:rsidRDefault="5E31EF73" w:rsidP="6968984F">
      <w:pPr>
        <w:jc w:val="both"/>
        <w:rPr>
          <w:rFonts w:ascii="Arial" w:eastAsia="Arial" w:hAnsi="Arial" w:cs="Arial"/>
        </w:rPr>
      </w:pPr>
      <w:r w:rsidRPr="502784EB">
        <w:rPr>
          <w:rFonts w:ascii="Arial" w:eastAsia="Arial" w:hAnsi="Arial" w:cs="Arial"/>
        </w:rPr>
        <w:t>Los signos clínicos a su vez pueden agruparse en signos clínicos tempranos y tardíos, de acuerdo a su presencia</w:t>
      </w:r>
      <w:r w:rsidR="2113234D" w:rsidRPr="502784EB">
        <w:rPr>
          <w:rFonts w:ascii="Arial" w:eastAsia="Arial" w:hAnsi="Arial" w:cs="Arial"/>
        </w:rPr>
        <w:t xml:space="preserve"> una semana previa al fallecimiento en el caso de los tempranos, y 3 días previos al fallecimiento en el caso de los tardíos</w:t>
      </w:r>
      <w:sdt>
        <w:sdtPr>
          <w:rPr>
            <w:rFonts w:ascii="Arial" w:eastAsia="Arial" w:hAnsi="Arial" w:cs="Arial"/>
            <w:color w:val="000000" w:themeColor="text1"/>
          </w:rPr>
          <w:tag w:val="MENDELEY_CITATION_v3_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"/>
          <w:id w:val="1126343621"/>
          <w:placeholder>
            <w:docPart w:val="DefaultPlaceholder_-1854013440"/>
          </w:placeholder>
        </w:sdtPr>
        <w:sdtEndPr/>
        <w:sdtContent>
          <w:r w:rsidR="502784EB" w:rsidRPr="502784EB">
            <w:rPr>
              <w:rFonts w:ascii="Arial" w:eastAsia="Arial" w:hAnsi="Arial" w:cs="Arial"/>
              <w:color w:val="000000" w:themeColor="text1"/>
            </w:rPr>
            <w:t>(Crawford et al., 2021)</w:t>
          </w:r>
        </w:sdtContent>
      </w:sdt>
      <w:r w:rsidR="2113234D" w:rsidRPr="502784EB">
        <w:rPr>
          <w:rFonts w:ascii="Arial" w:eastAsia="Arial" w:hAnsi="Arial" w:cs="Arial"/>
        </w:rPr>
        <w:t>.</w:t>
      </w:r>
    </w:p>
    <w:p w14:paraId="5A2A72C4" w14:textId="3464D26E" w:rsidR="7F19A98D" w:rsidRDefault="2113234D" w:rsidP="6968984F">
      <w:pPr>
        <w:jc w:val="both"/>
        <w:rPr>
          <w:rFonts w:ascii="Arial" w:eastAsia="Arial" w:hAnsi="Arial" w:cs="Arial"/>
        </w:rPr>
      </w:pPr>
      <w:r w:rsidRPr="502784EB">
        <w:rPr>
          <w:rFonts w:ascii="Arial" w:eastAsia="Arial" w:hAnsi="Arial" w:cs="Arial"/>
        </w:rPr>
        <w:t>En el caso de los signos clínicos tempranos se encuentra la alteración del estado de conciencia, los signos que componen un puntaje PPS &lt;20% (postración en cama, dependencia funcional total, disminución del apetito hasta hacerse nulo) y la disfagia pa</w:t>
      </w:r>
      <w:r w:rsidR="7F1BEFA4" w:rsidRPr="502784EB">
        <w:rPr>
          <w:rFonts w:ascii="Arial" w:eastAsia="Arial" w:hAnsi="Arial" w:cs="Arial"/>
        </w:rPr>
        <w:t>ra líquidos</w:t>
      </w:r>
      <w:sdt>
        <w:sdtPr>
          <w:rPr>
            <w:rFonts w:ascii="Arial" w:eastAsia="Arial" w:hAnsi="Arial" w:cs="Arial"/>
            <w:color w:val="000000" w:themeColor="text1"/>
          </w:rPr>
          <w:tag w:val="MENDELEY_CITATION_v3_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"/>
          <w:id w:val="2028315114"/>
          <w:placeholder>
            <w:docPart w:val="DefaultPlaceholder_-1854013440"/>
          </w:placeholder>
        </w:sdtPr>
        <w:sdtEndPr/>
        <w:sdtContent>
          <w:r w:rsidR="502784EB" w:rsidRPr="502784EB">
            <w:rPr>
              <w:rFonts w:ascii="Arial" w:eastAsia="Arial" w:hAnsi="Arial" w:cs="Arial"/>
              <w:color w:val="000000" w:themeColor="text1"/>
            </w:rPr>
            <w:t>(Crawford et al., 2021)</w:t>
          </w:r>
        </w:sdtContent>
      </w:sdt>
      <w:r w:rsidR="7F1BEFA4" w:rsidRPr="502784EB">
        <w:rPr>
          <w:rFonts w:ascii="Arial" w:eastAsia="Arial" w:hAnsi="Arial" w:cs="Arial"/>
        </w:rPr>
        <w:t>.</w:t>
      </w:r>
    </w:p>
    <w:p w14:paraId="1F80C3AD" w14:textId="54D3509E" w:rsidR="4E090CCF" w:rsidRDefault="36EC9B15" w:rsidP="6968984F">
      <w:pPr>
        <w:jc w:val="both"/>
        <w:rPr>
          <w:rFonts w:ascii="Arial" w:eastAsia="Arial" w:hAnsi="Arial" w:cs="Arial"/>
        </w:rPr>
      </w:pPr>
      <w:r w:rsidRPr="37FB81F5">
        <w:rPr>
          <w:rFonts w:ascii="Arial" w:eastAsia="Arial" w:hAnsi="Arial" w:cs="Arial"/>
        </w:rPr>
        <w:t xml:space="preserve">Entre los signos clínicos tardíos se encuentra la </w:t>
      </w:r>
      <w:proofErr w:type="spellStart"/>
      <w:r w:rsidRPr="37FB81F5">
        <w:rPr>
          <w:rFonts w:ascii="Arial" w:eastAsia="Arial" w:hAnsi="Arial" w:cs="Arial"/>
        </w:rPr>
        <w:t>hiporreactividad</w:t>
      </w:r>
      <w:proofErr w:type="spellEnd"/>
      <w:r w:rsidRPr="37FB81F5">
        <w:rPr>
          <w:rFonts w:ascii="Arial" w:eastAsia="Arial" w:hAnsi="Arial" w:cs="Arial"/>
        </w:rPr>
        <w:t xml:space="preserve"> pupilar, disminución del pulso de la arterial radial, oliguria (menos de 100 </w:t>
      </w:r>
      <w:proofErr w:type="spellStart"/>
      <w:r w:rsidRPr="37FB81F5">
        <w:rPr>
          <w:rFonts w:ascii="Arial" w:eastAsia="Arial" w:hAnsi="Arial" w:cs="Arial"/>
        </w:rPr>
        <w:t>mL</w:t>
      </w:r>
      <w:proofErr w:type="spellEnd"/>
      <w:r w:rsidRPr="37FB81F5">
        <w:rPr>
          <w:rFonts w:ascii="Arial" w:eastAsia="Arial" w:hAnsi="Arial" w:cs="Arial"/>
        </w:rPr>
        <w:t xml:space="preserve"> de orina en 12 horas), falta de cierre de los párpados, respiración de </w:t>
      </w:r>
      <w:proofErr w:type="spellStart"/>
      <w:r w:rsidRPr="37FB81F5">
        <w:rPr>
          <w:rFonts w:ascii="Arial" w:eastAsia="Arial" w:hAnsi="Arial" w:cs="Arial"/>
        </w:rPr>
        <w:t>Cheyne</w:t>
      </w:r>
      <w:proofErr w:type="spellEnd"/>
      <w:r w:rsidRPr="37FB81F5">
        <w:rPr>
          <w:rFonts w:ascii="Arial" w:eastAsia="Arial" w:hAnsi="Arial" w:cs="Arial"/>
        </w:rPr>
        <w:t>-Stokes y respiración ruidosa.</w:t>
      </w:r>
    </w:p>
    <w:p w14:paraId="7AFD8AF9" w14:textId="44D18EB2" w:rsidR="080AB871" w:rsidRDefault="080AB871" w:rsidP="6968984F">
      <w:pPr>
        <w:spacing w:line="257" w:lineRule="auto"/>
        <w:jc w:val="both"/>
        <w:rPr>
          <w:rFonts w:ascii="Arial" w:eastAsia="Arial" w:hAnsi="Arial" w:cs="Arial"/>
          <w:b/>
          <w:bCs/>
          <w:lang w:val="es"/>
        </w:rPr>
      </w:pPr>
      <w:r w:rsidRPr="6968984F">
        <w:rPr>
          <w:rFonts w:ascii="Arial" w:eastAsia="Arial" w:hAnsi="Arial" w:cs="Arial"/>
          <w:b/>
          <w:bCs/>
          <w:lang w:val="es"/>
        </w:rPr>
        <w:t>Sistemas de reconocimiento de pacientes en fin de vida</w:t>
      </w:r>
    </w:p>
    <w:p w14:paraId="09E8A5C1" w14:textId="030B67AC" w:rsidR="080AB871" w:rsidRDefault="6C95519D" w:rsidP="6968984F">
      <w:pPr>
        <w:spacing w:line="257" w:lineRule="auto"/>
        <w:jc w:val="both"/>
        <w:rPr>
          <w:rFonts w:ascii="Arial" w:eastAsia="Arial" w:hAnsi="Arial" w:cs="Arial"/>
          <w:color w:val="000000" w:themeColor="text1"/>
          <w:lang w:val="es-ES"/>
        </w:rPr>
      </w:pPr>
      <w:r w:rsidRPr="502784EB">
        <w:rPr>
          <w:rFonts w:ascii="Arial" w:eastAsia="Arial" w:hAnsi="Arial" w:cs="Arial"/>
          <w:lang w:val="es-ES"/>
        </w:rPr>
        <w:t>Las guías NICE</w:t>
      </w:r>
      <w:r w:rsidRPr="502784EB">
        <w:rPr>
          <w:rFonts w:ascii="Arial" w:eastAsia="Arial" w:hAnsi="Arial" w:cs="Arial"/>
          <w:color w:val="000000" w:themeColor="text1"/>
          <w:lang w:val="es-ES"/>
        </w:rPr>
        <w:t>(</w:t>
      </w:r>
      <w:r w:rsidR="78A5A13C" w:rsidRPr="502784EB">
        <w:rPr>
          <w:rFonts w:ascii="Arial" w:eastAsia="Arial" w:hAnsi="Arial" w:cs="Arial"/>
          <w:color w:val="000000" w:themeColor="text1"/>
          <w:lang w:val="es-ES"/>
        </w:rPr>
        <w:t>7</w:t>
      </w:r>
      <w:r w:rsidRPr="502784EB">
        <w:rPr>
          <w:rFonts w:ascii="Arial" w:eastAsia="Arial" w:hAnsi="Arial" w:cs="Arial"/>
          <w:color w:val="000000" w:themeColor="text1"/>
          <w:lang w:val="es-ES"/>
        </w:rPr>
        <w:t>)</w:t>
      </w:r>
      <w:r w:rsidRPr="502784EB">
        <w:rPr>
          <w:rFonts w:ascii="Arial" w:eastAsia="Arial" w:hAnsi="Arial" w:cs="Arial"/>
          <w:lang w:val="es-ES"/>
        </w:rPr>
        <w:t xml:space="preserve"> desarrolladas en Reino Unido recomiendan el uso de sistemas desarrollados localmente para la identificación de pacientes en fin de vida, tales como el Gold </w:t>
      </w:r>
      <w:proofErr w:type="spellStart"/>
      <w:r w:rsidRPr="502784EB">
        <w:rPr>
          <w:rFonts w:ascii="Arial" w:eastAsia="Arial" w:hAnsi="Arial" w:cs="Arial"/>
          <w:lang w:val="es-ES"/>
        </w:rPr>
        <w:t>Standards</w:t>
      </w:r>
      <w:proofErr w:type="spellEnd"/>
      <w:r w:rsidRPr="502784EB">
        <w:rPr>
          <w:rFonts w:ascii="Arial" w:eastAsia="Arial" w:hAnsi="Arial" w:cs="Arial"/>
          <w:lang w:val="es-ES"/>
        </w:rPr>
        <w:t xml:space="preserve"> Framework</w:t>
      </w:r>
      <w:r w:rsidRPr="502784EB">
        <w:rPr>
          <w:rFonts w:ascii="Arial" w:eastAsia="Arial" w:hAnsi="Arial" w:cs="Arial"/>
          <w:color w:val="000000" w:themeColor="text1"/>
          <w:lang w:val="es-ES"/>
        </w:rPr>
        <w:t>(</w:t>
      </w:r>
      <w:r w:rsidR="11A15419" w:rsidRPr="502784EB">
        <w:rPr>
          <w:rFonts w:ascii="Arial" w:eastAsia="Arial" w:hAnsi="Arial" w:cs="Arial"/>
          <w:color w:val="000000" w:themeColor="text1"/>
          <w:lang w:val="es-ES"/>
        </w:rPr>
        <w:t>8</w:t>
      </w:r>
      <w:r w:rsidRPr="502784EB">
        <w:rPr>
          <w:rFonts w:ascii="Arial" w:eastAsia="Arial" w:hAnsi="Arial" w:cs="Arial"/>
          <w:color w:val="000000" w:themeColor="text1"/>
          <w:lang w:val="es-ES"/>
        </w:rPr>
        <w:t xml:space="preserve">), el AMBER </w:t>
      </w:r>
      <w:proofErr w:type="spellStart"/>
      <w:r w:rsidRPr="502784EB">
        <w:rPr>
          <w:rFonts w:ascii="Arial" w:eastAsia="Arial" w:hAnsi="Arial" w:cs="Arial"/>
          <w:color w:val="000000" w:themeColor="text1"/>
          <w:lang w:val="es-ES"/>
        </w:rPr>
        <w:t>Care</w:t>
      </w:r>
      <w:proofErr w:type="spellEnd"/>
      <w:r w:rsidRPr="502784EB">
        <w:rPr>
          <w:rFonts w:ascii="Arial" w:eastAsia="Arial" w:hAnsi="Arial" w:cs="Arial"/>
          <w:color w:val="000000" w:themeColor="text1"/>
          <w:lang w:val="es-ES"/>
        </w:rPr>
        <w:t xml:space="preserve"> </w:t>
      </w:r>
      <w:proofErr w:type="spellStart"/>
      <w:r w:rsidRPr="502784EB">
        <w:rPr>
          <w:rFonts w:ascii="Arial" w:eastAsia="Arial" w:hAnsi="Arial" w:cs="Arial"/>
          <w:color w:val="000000" w:themeColor="text1"/>
          <w:lang w:val="es-ES"/>
        </w:rPr>
        <w:t>Bundle</w:t>
      </w:r>
      <w:proofErr w:type="spellEnd"/>
      <w:r w:rsidRPr="502784EB">
        <w:rPr>
          <w:rFonts w:ascii="Arial" w:eastAsia="Arial" w:hAnsi="Arial" w:cs="Arial"/>
          <w:color w:val="000000" w:themeColor="text1"/>
          <w:lang w:val="es-ES"/>
        </w:rPr>
        <w:t>(</w:t>
      </w:r>
      <w:r w:rsidR="72FADC64" w:rsidRPr="502784EB">
        <w:rPr>
          <w:rFonts w:ascii="Arial" w:eastAsia="Arial" w:hAnsi="Arial" w:cs="Arial"/>
          <w:color w:val="000000" w:themeColor="text1"/>
          <w:lang w:val="es-ES"/>
        </w:rPr>
        <w:t>9</w:t>
      </w:r>
      <w:r w:rsidRPr="502784EB">
        <w:rPr>
          <w:rFonts w:ascii="Arial" w:eastAsia="Arial" w:hAnsi="Arial" w:cs="Arial"/>
          <w:color w:val="000000" w:themeColor="text1"/>
          <w:lang w:val="es-ES"/>
        </w:rPr>
        <w:t xml:space="preserve">) y el  </w:t>
      </w:r>
      <w:proofErr w:type="spellStart"/>
      <w:r w:rsidRPr="502784EB">
        <w:rPr>
          <w:rFonts w:ascii="Arial" w:eastAsia="Arial" w:hAnsi="Arial" w:cs="Arial"/>
          <w:color w:val="000000" w:themeColor="text1"/>
          <w:lang w:val="es-ES"/>
        </w:rPr>
        <w:t>Palliative</w:t>
      </w:r>
      <w:proofErr w:type="spellEnd"/>
      <w:r w:rsidRPr="502784EB">
        <w:rPr>
          <w:rFonts w:ascii="Arial" w:eastAsia="Arial" w:hAnsi="Arial" w:cs="Arial"/>
          <w:color w:val="000000" w:themeColor="text1"/>
          <w:lang w:val="es-ES"/>
        </w:rPr>
        <w:t xml:space="preserve"> </w:t>
      </w:r>
      <w:proofErr w:type="spellStart"/>
      <w:r w:rsidRPr="502784EB">
        <w:rPr>
          <w:rFonts w:ascii="Arial" w:eastAsia="Arial" w:hAnsi="Arial" w:cs="Arial"/>
          <w:color w:val="000000" w:themeColor="text1"/>
          <w:lang w:val="es-ES"/>
        </w:rPr>
        <w:t>Care</w:t>
      </w:r>
      <w:proofErr w:type="spellEnd"/>
      <w:r w:rsidRPr="502784EB">
        <w:rPr>
          <w:rFonts w:ascii="Arial" w:eastAsia="Arial" w:hAnsi="Arial" w:cs="Arial"/>
          <w:color w:val="000000" w:themeColor="text1"/>
          <w:lang w:val="es-ES"/>
        </w:rPr>
        <w:t xml:space="preserve"> </w:t>
      </w:r>
      <w:proofErr w:type="spellStart"/>
      <w:r w:rsidRPr="502784EB">
        <w:rPr>
          <w:rFonts w:ascii="Arial" w:eastAsia="Arial" w:hAnsi="Arial" w:cs="Arial"/>
          <w:color w:val="000000" w:themeColor="text1"/>
          <w:lang w:val="es-ES"/>
        </w:rPr>
        <w:t>Indicators</w:t>
      </w:r>
      <w:proofErr w:type="spellEnd"/>
      <w:r w:rsidRPr="502784EB">
        <w:rPr>
          <w:rFonts w:ascii="Arial" w:eastAsia="Arial" w:hAnsi="Arial" w:cs="Arial"/>
          <w:color w:val="000000" w:themeColor="text1"/>
          <w:lang w:val="es-ES"/>
        </w:rPr>
        <w:t xml:space="preserve"> </w:t>
      </w:r>
      <w:proofErr w:type="spellStart"/>
      <w:r w:rsidRPr="502784EB">
        <w:rPr>
          <w:rFonts w:ascii="Arial" w:eastAsia="Arial" w:hAnsi="Arial" w:cs="Arial"/>
          <w:color w:val="000000" w:themeColor="text1"/>
          <w:lang w:val="es-ES"/>
        </w:rPr>
        <w:t>Tool</w:t>
      </w:r>
      <w:proofErr w:type="spellEnd"/>
      <w:r w:rsidRPr="502784EB">
        <w:rPr>
          <w:rFonts w:ascii="Arial" w:eastAsia="Arial" w:hAnsi="Arial" w:cs="Arial"/>
          <w:color w:val="000000" w:themeColor="text1"/>
          <w:lang w:val="es-ES"/>
        </w:rPr>
        <w:t xml:space="preserve"> [SPICT]</w:t>
      </w:r>
    </w:p>
    <w:p w14:paraId="727955E5" w14:textId="35DF2A28" w:rsidR="502784EB" w:rsidRDefault="502784EB" w:rsidP="502784EB">
      <w:pPr>
        <w:spacing w:line="257" w:lineRule="auto"/>
        <w:jc w:val="both"/>
        <w:rPr>
          <w:rFonts w:ascii="Arial" w:eastAsia="Arial" w:hAnsi="Arial" w:cs="Arial"/>
          <w:b/>
          <w:bCs/>
          <w:color w:val="000000" w:themeColor="text1"/>
          <w:lang w:val="es-ES"/>
        </w:rPr>
      </w:pPr>
    </w:p>
    <w:p w14:paraId="3B06045E" w14:textId="1F6EF3A5" w:rsidR="080AB871" w:rsidRDefault="080AB871" w:rsidP="6968984F">
      <w:pPr>
        <w:spacing w:line="257" w:lineRule="auto"/>
        <w:jc w:val="both"/>
        <w:rPr>
          <w:rFonts w:ascii="Arial" w:eastAsia="Arial" w:hAnsi="Arial" w:cs="Arial"/>
          <w:color w:val="000000" w:themeColor="text1"/>
          <w:lang w:val="es-ES"/>
        </w:rPr>
      </w:pPr>
      <w:r w:rsidRPr="6968984F">
        <w:rPr>
          <w:rFonts w:ascii="Arial" w:eastAsia="Arial" w:hAnsi="Arial" w:cs="Arial"/>
          <w:b/>
          <w:bCs/>
          <w:color w:val="000000" w:themeColor="text1"/>
          <w:lang w:val="es-ES"/>
        </w:rPr>
        <w:t xml:space="preserve">Gold </w:t>
      </w:r>
      <w:proofErr w:type="spellStart"/>
      <w:r w:rsidRPr="6968984F">
        <w:rPr>
          <w:rFonts w:ascii="Arial" w:eastAsia="Arial" w:hAnsi="Arial" w:cs="Arial"/>
          <w:b/>
          <w:bCs/>
          <w:color w:val="000000" w:themeColor="text1"/>
          <w:lang w:val="es-ES"/>
        </w:rPr>
        <w:t>Standards</w:t>
      </w:r>
      <w:proofErr w:type="spellEnd"/>
      <w:r w:rsidRPr="6968984F">
        <w:rPr>
          <w:rFonts w:ascii="Arial" w:eastAsia="Arial" w:hAnsi="Arial" w:cs="Arial"/>
          <w:b/>
          <w:bCs/>
          <w:color w:val="000000" w:themeColor="text1"/>
          <w:lang w:val="es-ES"/>
        </w:rPr>
        <w:t xml:space="preserve"> Framework</w:t>
      </w:r>
    </w:p>
    <w:p w14:paraId="215EEDA4" w14:textId="08210431" w:rsidR="080AB871" w:rsidRDefault="3CAC4B5F" w:rsidP="6968984F">
      <w:pPr>
        <w:spacing w:line="257" w:lineRule="auto"/>
        <w:jc w:val="both"/>
        <w:rPr>
          <w:rFonts w:ascii="Arial" w:eastAsia="Arial" w:hAnsi="Arial" w:cs="Arial"/>
          <w:color w:val="000000" w:themeColor="text1"/>
          <w:lang w:val="es-ES"/>
        </w:rPr>
      </w:pPr>
      <w:r w:rsidRPr="502784EB">
        <w:rPr>
          <w:rFonts w:ascii="Arial" w:eastAsia="Arial" w:hAnsi="Arial" w:cs="Arial"/>
          <w:color w:val="000000" w:themeColor="text1"/>
          <w:lang w:val="es-ES"/>
        </w:rPr>
        <w:t xml:space="preserve">El Gold </w:t>
      </w:r>
      <w:proofErr w:type="spellStart"/>
      <w:r w:rsidRPr="502784EB">
        <w:rPr>
          <w:rFonts w:ascii="Arial" w:eastAsia="Arial" w:hAnsi="Arial" w:cs="Arial"/>
          <w:color w:val="000000" w:themeColor="text1"/>
          <w:lang w:val="es-ES"/>
        </w:rPr>
        <w:t>Standards</w:t>
      </w:r>
      <w:proofErr w:type="spellEnd"/>
      <w:r w:rsidRPr="502784EB">
        <w:rPr>
          <w:rFonts w:ascii="Arial" w:eastAsia="Arial" w:hAnsi="Arial" w:cs="Arial"/>
          <w:color w:val="000000" w:themeColor="text1"/>
          <w:lang w:val="es-ES"/>
        </w:rPr>
        <w:t xml:space="preserve"> Framework (G</w:t>
      </w:r>
      <w:r w:rsidR="3BCC6129" w:rsidRPr="502784EB">
        <w:rPr>
          <w:rFonts w:ascii="Arial" w:eastAsia="Arial" w:hAnsi="Arial" w:cs="Arial"/>
          <w:color w:val="000000" w:themeColor="text1"/>
          <w:lang w:val="es-ES"/>
        </w:rPr>
        <w:t>SF</w:t>
      </w:r>
      <w:r w:rsidRPr="502784EB">
        <w:rPr>
          <w:rFonts w:ascii="Arial" w:eastAsia="Arial" w:hAnsi="Arial" w:cs="Arial"/>
          <w:color w:val="000000" w:themeColor="text1"/>
          <w:lang w:val="es-ES"/>
        </w:rPr>
        <w:t>) es un centro y programa de entrenamiento para personal de salud de atención primaria que atiende a personas en los últimos años de vida, que busca optimizar la prestación de servicios de cuidado basado en la evidencia y la práctica clínica.</w:t>
      </w:r>
    </w:p>
    <w:p w14:paraId="15DB2EDC" w14:textId="6C9F70B6" w:rsidR="080AB871" w:rsidRDefault="080AB871" w:rsidP="6968984F">
      <w:pPr>
        <w:spacing w:line="257" w:lineRule="auto"/>
        <w:jc w:val="both"/>
        <w:rPr>
          <w:rFonts w:ascii="Arial" w:eastAsia="Arial" w:hAnsi="Arial" w:cs="Arial"/>
          <w:color w:val="000000" w:themeColor="text1"/>
          <w:lang w:val="es-ES"/>
        </w:rPr>
      </w:pPr>
      <w:r w:rsidRPr="6968984F">
        <w:rPr>
          <w:rFonts w:ascii="Arial" w:eastAsia="Arial" w:hAnsi="Arial" w:cs="Arial"/>
          <w:color w:val="000000" w:themeColor="text1"/>
          <w:lang w:val="es-ES"/>
        </w:rPr>
        <w:t>Este programa busca establecer un “</w:t>
      </w:r>
      <w:proofErr w:type="spellStart"/>
      <w:r w:rsidRPr="6968984F">
        <w:rPr>
          <w:rFonts w:ascii="Arial" w:eastAsia="Arial" w:hAnsi="Arial" w:cs="Arial"/>
          <w:color w:val="000000" w:themeColor="text1"/>
          <w:lang w:val="es-ES"/>
        </w:rPr>
        <w:t>gold</w:t>
      </w:r>
      <w:proofErr w:type="spellEnd"/>
      <w:r w:rsidRPr="6968984F">
        <w:rPr>
          <w:rFonts w:ascii="Arial" w:eastAsia="Arial" w:hAnsi="Arial" w:cs="Arial"/>
          <w:color w:val="000000" w:themeColor="text1"/>
          <w:lang w:val="es-ES"/>
        </w:rPr>
        <w:t xml:space="preserve"> standard” para el cuidado de cualquier persona, en cualquier escenario, con cualquier condición durante sus últimos años de vida. Se trata de un sistema complejo, basado en evidencia, de entrenamiento para personal de atención primaria, constituido por tres pasos principales: identificación proactiva, evaluación centrada en la persona y planificación sistemática.</w:t>
      </w:r>
    </w:p>
    <w:p w14:paraId="644AC5C8" w14:textId="4167A09F" w:rsidR="080AB871" w:rsidRDefault="6C95519D" w:rsidP="21DE038B">
      <w:pPr>
        <w:spacing w:line="257" w:lineRule="auto"/>
        <w:jc w:val="both"/>
        <w:rPr>
          <w:rFonts w:ascii="Arial" w:eastAsia="Arial" w:hAnsi="Arial" w:cs="Arial"/>
          <w:color w:val="000000" w:themeColor="text1"/>
        </w:rPr>
      </w:pPr>
      <w:r w:rsidRPr="21DE038B">
        <w:rPr>
          <w:rFonts w:ascii="Arial" w:eastAsia="Arial" w:hAnsi="Arial" w:cs="Arial"/>
          <w:color w:val="000000" w:themeColor="text1"/>
        </w:rPr>
        <w:t xml:space="preserve">Específicamente en el ámbito de identificación de pacientes en fin de vida, se ha establecido la </w:t>
      </w:r>
      <w:proofErr w:type="spellStart"/>
      <w:r w:rsidRPr="21DE038B">
        <w:rPr>
          <w:rFonts w:ascii="Arial" w:eastAsia="Arial" w:hAnsi="Arial" w:cs="Arial"/>
          <w:color w:val="000000" w:themeColor="text1"/>
        </w:rPr>
        <w:t>Proactive</w:t>
      </w:r>
      <w:proofErr w:type="spellEnd"/>
      <w:r w:rsidRPr="21DE038B">
        <w:rPr>
          <w:rFonts w:ascii="Arial" w:eastAsia="Arial" w:hAnsi="Arial" w:cs="Arial"/>
          <w:color w:val="000000" w:themeColor="text1"/>
        </w:rPr>
        <w:t xml:space="preserve"> </w:t>
      </w:r>
      <w:proofErr w:type="spellStart"/>
      <w:r w:rsidRPr="21DE038B">
        <w:rPr>
          <w:rFonts w:ascii="Arial" w:eastAsia="Arial" w:hAnsi="Arial" w:cs="Arial"/>
          <w:color w:val="000000" w:themeColor="text1"/>
        </w:rPr>
        <w:t>Identification</w:t>
      </w:r>
      <w:proofErr w:type="spellEnd"/>
      <w:r w:rsidRPr="21DE038B">
        <w:rPr>
          <w:rFonts w:ascii="Arial" w:eastAsia="Arial" w:hAnsi="Arial" w:cs="Arial"/>
          <w:color w:val="000000" w:themeColor="text1"/>
        </w:rPr>
        <w:t xml:space="preserve"> </w:t>
      </w:r>
      <w:proofErr w:type="spellStart"/>
      <w:r w:rsidRPr="21DE038B">
        <w:rPr>
          <w:rFonts w:ascii="Arial" w:eastAsia="Arial" w:hAnsi="Arial" w:cs="Arial"/>
          <w:color w:val="000000" w:themeColor="text1"/>
        </w:rPr>
        <w:t>Guidance</w:t>
      </w:r>
      <w:proofErr w:type="spellEnd"/>
      <w:r w:rsidRPr="21DE038B">
        <w:rPr>
          <w:rFonts w:ascii="Arial" w:eastAsia="Arial" w:hAnsi="Arial" w:cs="Arial"/>
          <w:color w:val="000000" w:themeColor="text1"/>
        </w:rPr>
        <w:t xml:space="preserve"> (PIG</w:t>
      </w:r>
      <w:proofErr w:type="gramStart"/>
      <w:r w:rsidRPr="21DE038B">
        <w:rPr>
          <w:rFonts w:ascii="Arial" w:eastAsia="Arial" w:hAnsi="Arial" w:cs="Arial"/>
          <w:color w:val="000000" w:themeColor="text1"/>
        </w:rPr>
        <w:t>)(</w:t>
      </w:r>
      <w:proofErr w:type="gramEnd"/>
      <w:r w:rsidR="664C364B" w:rsidRPr="21DE038B">
        <w:rPr>
          <w:rFonts w:ascii="Arial" w:eastAsia="Arial" w:hAnsi="Arial" w:cs="Arial"/>
          <w:color w:val="000000" w:themeColor="text1"/>
        </w:rPr>
        <w:t>8</w:t>
      </w:r>
      <w:r w:rsidRPr="21DE038B">
        <w:rPr>
          <w:rFonts w:ascii="Arial" w:eastAsia="Arial" w:hAnsi="Arial" w:cs="Arial"/>
          <w:color w:val="000000" w:themeColor="text1"/>
        </w:rPr>
        <w:t>)</w:t>
      </w:r>
      <w:r w:rsidR="5F888AD6" w:rsidRPr="21DE038B">
        <w:rPr>
          <w:rFonts w:ascii="Arial" w:eastAsia="Arial" w:hAnsi="Arial" w:cs="Arial"/>
          <w:color w:val="000000" w:themeColor="text1"/>
        </w:rPr>
        <w:t xml:space="preserve"> (Anexo 1)</w:t>
      </w:r>
      <w:r w:rsidRPr="21DE038B">
        <w:rPr>
          <w:rFonts w:ascii="Arial" w:eastAsia="Arial" w:hAnsi="Arial" w:cs="Arial"/>
          <w:color w:val="000000" w:themeColor="text1"/>
        </w:rPr>
        <w:t xml:space="preserve">. Esta guía busca optimizar la identificación temprana de aquellas personas que requieren especial cuidado de soporte cerca al </w:t>
      </w:r>
      <w:r w:rsidR="1877989B" w:rsidRPr="21DE038B">
        <w:rPr>
          <w:rFonts w:ascii="Arial" w:eastAsia="Arial" w:hAnsi="Arial" w:cs="Arial"/>
          <w:color w:val="000000" w:themeColor="text1"/>
        </w:rPr>
        <w:t>f</w:t>
      </w:r>
      <w:r w:rsidRPr="21DE038B">
        <w:rPr>
          <w:rFonts w:ascii="Arial" w:eastAsia="Arial" w:hAnsi="Arial" w:cs="Arial"/>
          <w:color w:val="000000" w:themeColor="text1"/>
        </w:rPr>
        <w:t xml:space="preserve">inal de vida. En su última actualización tiene en cuenta diferentes aspectos, como la trayectoria de la enfermedad, la aplicación de la pregunta sorpresa, la identificación de indicadores generales de deterioro y de factores específicos de la enfermedad relacionados con falla orgánica múltiple. Estos tres componentes se establecen como pasos a seguir a través de un algoritmo para la identificación del paciente en fin de vida. El primer paso consiste en la respuesta a la pregunta sorpresa, el segundo </w:t>
      </w:r>
      <w:proofErr w:type="gramStart"/>
      <w:r w:rsidRPr="21DE038B">
        <w:rPr>
          <w:rFonts w:ascii="Arial" w:eastAsia="Arial" w:hAnsi="Arial" w:cs="Arial"/>
          <w:color w:val="000000" w:themeColor="text1"/>
        </w:rPr>
        <w:t>paso</w:t>
      </w:r>
      <w:proofErr w:type="gramEnd"/>
      <w:r w:rsidRPr="21DE038B">
        <w:rPr>
          <w:rFonts w:ascii="Arial" w:eastAsia="Arial" w:hAnsi="Arial" w:cs="Arial"/>
          <w:color w:val="000000" w:themeColor="text1"/>
        </w:rPr>
        <w:t xml:space="preserve"> la identificación de indicadores generales de deterioro, y el tercer paso la identificación de indicadores clínicos específicos de la patología. En caso de cumplirse cualquiera de los casos, debe continuarse el proceso GSF para identificar, evaluar y planificar en el contexto de fin de vida.</w:t>
      </w:r>
    </w:p>
    <w:p w14:paraId="7C121F36" w14:textId="6ABA840B" w:rsidR="080AB871" w:rsidRDefault="080AB871" w:rsidP="6968984F">
      <w:pPr>
        <w:spacing w:line="257" w:lineRule="auto"/>
        <w:jc w:val="both"/>
        <w:rPr>
          <w:rFonts w:ascii="Arial" w:eastAsia="Arial" w:hAnsi="Arial" w:cs="Arial"/>
          <w:color w:val="000000" w:themeColor="text1"/>
          <w:lang w:val="es"/>
        </w:rPr>
      </w:pPr>
      <w:r w:rsidRPr="6968984F">
        <w:rPr>
          <w:rFonts w:ascii="Arial" w:eastAsia="Arial" w:hAnsi="Arial" w:cs="Arial"/>
          <w:color w:val="000000" w:themeColor="text1"/>
          <w:lang w:val="es"/>
        </w:rPr>
        <w:t>En cuanto a los indicadores generales de deterioro, se tienen en consideración:</w:t>
      </w:r>
    </w:p>
    <w:p w14:paraId="58E13301" w14:textId="4AE53015" w:rsidR="080AB871" w:rsidRDefault="080AB871" w:rsidP="6968984F">
      <w:pPr>
        <w:pStyle w:val="Prrafodelista"/>
        <w:numPr>
          <w:ilvl w:val="0"/>
          <w:numId w:val="29"/>
        </w:numPr>
        <w:spacing w:after="0" w:line="257" w:lineRule="auto"/>
        <w:jc w:val="both"/>
        <w:rPr>
          <w:rFonts w:ascii="Arial" w:eastAsia="Arial" w:hAnsi="Arial" w:cs="Arial"/>
          <w:color w:val="000000" w:themeColor="text1"/>
          <w:lang w:val="es"/>
        </w:rPr>
      </w:pPr>
      <w:r w:rsidRPr="6968984F">
        <w:rPr>
          <w:rFonts w:ascii="Arial" w:eastAsia="Arial" w:hAnsi="Arial" w:cs="Arial"/>
          <w:color w:val="000000" w:themeColor="text1"/>
          <w:lang w:val="es"/>
        </w:rPr>
        <w:t>El deterioro físico general reflejado en la mayor dependencia y requerimiento de soporte</w:t>
      </w:r>
    </w:p>
    <w:p w14:paraId="0BAE43B9" w14:textId="45BA316E" w:rsidR="080AB871" w:rsidRDefault="080AB871" w:rsidP="6968984F">
      <w:pPr>
        <w:pStyle w:val="Prrafodelista"/>
        <w:numPr>
          <w:ilvl w:val="0"/>
          <w:numId w:val="29"/>
        </w:numPr>
        <w:spacing w:after="0" w:line="257" w:lineRule="auto"/>
        <w:jc w:val="both"/>
        <w:rPr>
          <w:rFonts w:ascii="Arial" w:eastAsia="Arial" w:hAnsi="Arial" w:cs="Arial"/>
          <w:color w:val="000000" w:themeColor="text1"/>
          <w:lang w:val="es"/>
        </w:rPr>
      </w:pPr>
      <w:r w:rsidRPr="6968984F">
        <w:rPr>
          <w:rFonts w:ascii="Arial" w:eastAsia="Arial" w:hAnsi="Arial" w:cs="Arial"/>
          <w:color w:val="000000" w:themeColor="text1"/>
          <w:lang w:val="es"/>
        </w:rPr>
        <w:t>Ingresos hospitalarios no planificados a repetición</w:t>
      </w:r>
    </w:p>
    <w:p w14:paraId="64575030" w14:textId="03FD4BC5" w:rsidR="080AB871" w:rsidRDefault="080AB871" w:rsidP="6968984F">
      <w:pPr>
        <w:pStyle w:val="Prrafodelista"/>
        <w:numPr>
          <w:ilvl w:val="0"/>
          <w:numId w:val="29"/>
        </w:numPr>
        <w:spacing w:after="0" w:line="257" w:lineRule="auto"/>
        <w:jc w:val="both"/>
        <w:rPr>
          <w:rFonts w:ascii="Arial" w:eastAsia="Arial" w:hAnsi="Arial" w:cs="Arial"/>
          <w:color w:val="000000" w:themeColor="text1"/>
          <w:lang w:val="es"/>
        </w:rPr>
      </w:pPr>
      <w:r w:rsidRPr="6968984F">
        <w:rPr>
          <w:rFonts w:ascii="Arial" w:eastAsia="Arial" w:hAnsi="Arial" w:cs="Arial"/>
          <w:color w:val="000000" w:themeColor="text1"/>
          <w:lang w:val="es"/>
        </w:rPr>
        <w:t>Enfermedad avanzada con carga sintomática compleja</w:t>
      </w:r>
    </w:p>
    <w:p w14:paraId="0E70A70B" w14:textId="01149058" w:rsidR="080AB871" w:rsidRDefault="080AB871" w:rsidP="6968984F">
      <w:pPr>
        <w:pStyle w:val="Prrafodelista"/>
        <w:numPr>
          <w:ilvl w:val="0"/>
          <w:numId w:val="29"/>
        </w:numPr>
        <w:spacing w:after="0" w:line="257" w:lineRule="auto"/>
        <w:jc w:val="both"/>
        <w:rPr>
          <w:rFonts w:ascii="Arial" w:eastAsia="Arial" w:hAnsi="Arial" w:cs="Arial"/>
          <w:color w:val="000000" w:themeColor="text1"/>
          <w:lang w:val="es"/>
        </w:rPr>
      </w:pPr>
      <w:r w:rsidRPr="6968984F">
        <w:rPr>
          <w:rFonts w:ascii="Arial" w:eastAsia="Arial" w:hAnsi="Arial" w:cs="Arial"/>
          <w:color w:val="000000" w:themeColor="text1"/>
          <w:lang w:val="es"/>
        </w:rPr>
        <w:t xml:space="preserve">Presencia de </w:t>
      </w:r>
      <w:proofErr w:type="spellStart"/>
      <w:r w:rsidRPr="6968984F">
        <w:rPr>
          <w:rFonts w:ascii="Arial" w:eastAsia="Arial" w:hAnsi="Arial" w:cs="Arial"/>
          <w:color w:val="000000" w:themeColor="text1"/>
          <w:lang w:val="es"/>
        </w:rPr>
        <w:t>multimorbilidad</w:t>
      </w:r>
      <w:proofErr w:type="spellEnd"/>
      <w:r w:rsidRPr="6968984F">
        <w:rPr>
          <w:rFonts w:ascii="Arial" w:eastAsia="Arial" w:hAnsi="Arial" w:cs="Arial"/>
          <w:color w:val="000000" w:themeColor="text1"/>
          <w:lang w:val="es"/>
        </w:rPr>
        <w:t xml:space="preserve"> significativa</w:t>
      </w:r>
    </w:p>
    <w:p w14:paraId="3530EFCA" w14:textId="55F78DF1" w:rsidR="080AB871" w:rsidRDefault="080AB871" w:rsidP="6968984F">
      <w:pPr>
        <w:pStyle w:val="Prrafodelista"/>
        <w:numPr>
          <w:ilvl w:val="0"/>
          <w:numId w:val="29"/>
        </w:numPr>
        <w:spacing w:after="0" w:line="257" w:lineRule="auto"/>
        <w:jc w:val="both"/>
        <w:rPr>
          <w:rFonts w:ascii="Arial" w:eastAsia="Arial" w:hAnsi="Arial" w:cs="Arial"/>
          <w:color w:val="000000" w:themeColor="text1"/>
          <w:lang w:val="es-ES"/>
        </w:rPr>
      </w:pPr>
      <w:r w:rsidRPr="6968984F">
        <w:rPr>
          <w:rFonts w:ascii="Arial" w:eastAsia="Arial" w:hAnsi="Arial" w:cs="Arial"/>
          <w:color w:val="000000" w:themeColor="text1"/>
          <w:lang w:val="es-ES"/>
        </w:rPr>
        <w:t xml:space="preserve">Deterioro en la funcionalidad (escala de </w:t>
      </w:r>
      <w:proofErr w:type="spellStart"/>
      <w:r w:rsidRPr="6968984F">
        <w:rPr>
          <w:rFonts w:ascii="Arial" w:eastAsia="Arial" w:hAnsi="Arial" w:cs="Arial"/>
          <w:color w:val="000000" w:themeColor="text1"/>
          <w:lang w:val="es-ES"/>
        </w:rPr>
        <w:t>Barthel</w:t>
      </w:r>
      <w:proofErr w:type="spellEnd"/>
      <w:r w:rsidRPr="6968984F">
        <w:rPr>
          <w:rFonts w:ascii="Arial" w:eastAsia="Arial" w:hAnsi="Arial" w:cs="Arial"/>
          <w:color w:val="000000" w:themeColor="text1"/>
          <w:lang w:val="es-ES"/>
        </w:rPr>
        <w:t xml:space="preserve">, </w:t>
      </w:r>
      <w:proofErr w:type="spellStart"/>
      <w:r w:rsidRPr="6968984F">
        <w:rPr>
          <w:rFonts w:ascii="Arial" w:eastAsia="Arial" w:hAnsi="Arial" w:cs="Arial"/>
          <w:color w:val="000000" w:themeColor="text1"/>
          <w:lang w:val="es-ES"/>
        </w:rPr>
        <w:t>Karnofsky</w:t>
      </w:r>
      <w:proofErr w:type="spellEnd"/>
      <w:r w:rsidRPr="6968984F">
        <w:rPr>
          <w:rFonts w:ascii="Arial" w:eastAsia="Arial" w:hAnsi="Arial" w:cs="Arial"/>
          <w:color w:val="000000" w:themeColor="text1"/>
          <w:lang w:val="es-ES"/>
        </w:rPr>
        <w:t xml:space="preserve"> y </w:t>
      </w:r>
      <w:proofErr w:type="spellStart"/>
      <w:r w:rsidRPr="6968984F">
        <w:rPr>
          <w:rFonts w:ascii="Arial" w:eastAsia="Arial" w:hAnsi="Arial" w:cs="Arial"/>
          <w:color w:val="000000" w:themeColor="text1"/>
          <w:lang w:val="es-ES"/>
        </w:rPr>
        <w:t>Rockwood</w:t>
      </w:r>
      <w:proofErr w:type="spellEnd"/>
      <w:r w:rsidRPr="6968984F">
        <w:rPr>
          <w:rFonts w:ascii="Arial" w:eastAsia="Arial" w:hAnsi="Arial" w:cs="Arial"/>
          <w:color w:val="000000" w:themeColor="text1"/>
          <w:lang w:val="es-ES"/>
        </w:rPr>
        <w:t>), postración en cama más del 50% del día, mayor dependencia en las actividades de la vida diaria</w:t>
      </w:r>
    </w:p>
    <w:p w14:paraId="4A2F518A" w14:textId="3C247B4C" w:rsidR="080AB871" w:rsidRDefault="080AB871" w:rsidP="6968984F">
      <w:pPr>
        <w:pStyle w:val="Prrafodelista"/>
        <w:numPr>
          <w:ilvl w:val="0"/>
          <w:numId w:val="29"/>
        </w:numPr>
        <w:spacing w:after="0" w:line="257" w:lineRule="auto"/>
        <w:jc w:val="both"/>
        <w:rPr>
          <w:rFonts w:ascii="Arial" w:eastAsia="Arial" w:hAnsi="Arial" w:cs="Arial"/>
          <w:color w:val="000000" w:themeColor="text1"/>
          <w:lang w:val="es"/>
        </w:rPr>
      </w:pPr>
      <w:r w:rsidRPr="6968984F">
        <w:rPr>
          <w:rFonts w:ascii="Arial" w:eastAsia="Arial" w:hAnsi="Arial" w:cs="Arial"/>
          <w:color w:val="000000" w:themeColor="text1"/>
          <w:lang w:val="es"/>
        </w:rPr>
        <w:t>Menor respuesta a tratamiento, menor reversibilidad de la condición</w:t>
      </w:r>
    </w:p>
    <w:p w14:paraId="6076635A" w14:textId="3D4646C6" w:rsidR="080AB871" w:rsidRDefault="080AB871" w:rsidP="6968984F">
      <w:pPr>
        <w:pStyle w:val="Prrafodelista"/>
        <w:numPr>
          <w:ilvl w:val="0"/>
          <w:numId w:val="29"/>
        </w:numPr>
        <w:spacing w:after="0" w:line="257" w:lineRule="auto"/>
        <w:jc w:val="both"/>
        <w:rPr>
          <w:rFonts w:ascii="Arial" w:eastAsia="Arial" w:hAnsi="Arial" w:cs="Arial"/>
          <w:color w:val="000000" w:themeColor="text1"/>
          <w:lang w:val="es"/>
        </w:rPr>
      </w:pPr>
      <w:r w:rsidRPr="6968984F">
        <w:rPr>
          <w:rFonts w:ascii="Arial" w:eastAsia="Arial" w:hAnsi="Arial" w:cs="Arial"/>
          <w:color w:val="000000" w:themeColor="text1"/>
          <w:lang w:val="es"/>
        </w:rPr>
        <w:t>Elección del paciente de no continuar el tratamiento activo y enfocarse en la calidad de vida</w:t>
      </w:r>
    </w:p>
    <w:p w14:paraId="0C824E1E" w14:textId="39F1E47C" w:rsidR="080AB871" w:rsidRDefault="080AB871" w:rsidP="6968984F">
      <w:pPr>
        <w:pStyle w:val="Prrafodelista"/>
        <w:numPr>
          <w:ilvl w:val="0"/>
          <w:numId w:val="29"/>
        </w:numPr>
        <w:spacing w:after="0" w:line="257" w:lineRule="auto"/>
        <w:jc w:val="both"/>
        <w:rPr>
          <w:rFonts w:ascii="Arial" w:eastAsia="Arial" w:hAnsi="Arial" w:cs="Arial"/>
          <w:color w:val="000000" w:themeColor="text1"/>
          <w:lang w:val="es"/>
        </w:rPr>
      </w:pPr>
      <w:r w:rsidRPr="6968984F">
        <w:rPr>
          <w:rFonts w:ascii="Arial" w:eastAsia="Arial" w:hAnsi="Arial" w:cs="Arial"/>
          <w:color w:val="000000" w:themeColor="text1"/>
          <w:lang w:val="es"/>
        </w:rPr>
        <w:t>Pérdida progresiva de peso mayor al 10% en los últimos seis meses</w:t>
      </w:r>
    </w:p>
    <w:p w14:paraId="22A8C276" w14:textId="1B5DA6A5" w:rsidR="080AB871" w:rsidRDefault="3CAC4B5F" w:rsidP="6968984F">
      <w:pPr>
        <w:pStyle w:val="Prrafodelista"/>
        <w:numPr>
          <w:ilvl w:val="0"/>
          <w:numId w:val="29"/>
        </w:numPr>
        <w:spacing w:after="0" w:line="257" w:lineRule="auto"/>
        <w:jc w:val="both"/>
        <w:rPr>
          <w:rFonts w:ascii="Arial" w:eastAsia="Arial" w:hAnsi="Arial" w:cs="Arial"/>
          <w:color w:val="000000" w:themeColor="text1"/>
          <w:lang w:val="es"/>
        </w:rPr>
      </w:pPr>
      <w:r w:rsidRPr="502784EB">
        <w:rPr>
          <w:rFonts w:ascii="Arial" w:eastAsia="Arial" w:hAnsi="Arial" w:cs="Arial"/>
          <w:color w:val="000000" w:themeColor="text1"/>
          <w:lang w:val="es"/>
        </w:rPr>
        <w:t>Albúmina sérica menor a 25 g/L</w:t>
      </w:r>
    </w:p>
    <w:p w14:paraId="06660EA9" w14:textId="52AA4C76" w:rsidR="502784EB" w:rsidRDefault="502784EB" w:rsidP="502784EB">
      <w:pPr>
        <w:pStyle w:val="Prrafodelista"/>
        <w:spacing w:after="0" w:line="257" w:lineRule="auto"/>
        <w:ind w:left="360"/>
        <w:jc w:val="both"/>
        <w:rPr>
          <w:rFonts w:ascii="Arial" w:eastAsia="Arial" w:hAnsi="Arial" w:cs="Arial"/>
          <w:color w:val="000000" w:themeColor="text1"/>
          <w:lang w:val="es"/>
        </w:rPr>
      </w:pPr>
    </w:p>
    <w:p w14:paraId="6D819654" w14:textId="7C123678" w:rsidR="080AB871" w:rsidRDefault="080AB871" w:rsidP="6968984F">
      <w:pPr>
        <w:spacing w:line="257" w:lineRule="auto"/>
        <w:jc w:val="both"/>
        <w:rPr>
          <w:rFonts w:ascii="Arial" w:eastAsia="Arial" w:hAnsi="Arial" w:cs="Arial"/>
          <w:color w:val="000000" w:themeColor="text1"/>
          <w:lang w:val="es"/>
        </w:rPr>
      </w:pPr>
      <w:r w:rsidRPr="6968984F">
        <w:rPr>
          <w:rFonts w:ascii="Arial" w:eastAsia="Arial" w:hAnsi="Arial" w:cs="Arial"/>
          <w:color w:val="000000" w:themeColor="text1"/>
          <w:lang w:val="es"/>
        </w:rPr>
        <w:lastRenderedPageBreak/>
        <w:t>En el instrumento también se encuentran criterios específicos de deterioro para diversas enfermedades que indican falla múltiple orgánica. Los específicos de cáncer son:</w:t>
      </w:r>
    </w:p>
    <w:p w14:paraId="6460607E" w14:textId="793DA16E" w:rsidR="080AB871" w:rsidRDefault="080AB871" w:rsidP="6968984F">
      <w:pPr>
        <w:pStyle w:val="Prrafodelista"/>
        <w:numPr>
          <w:ilvl w:val="0"/>
          <w:numId w:val="28"/>
        </w:numPr>
        <w:spacing w:after="0" w:line="257" w:lineRule="auto"/>
        <w:jc w:val="both"/>
        <w:rPr>
          <w:rFonts w:ascii="Arial" w:eastAsia="Arial" w:hAnsi="Arial" w:cs="Arial"/>
          <w:color w:val="000000" w:themeColor="text1"/>
          <w:lang w:val="es"/>
        </w:rPr>
      </w:pPr>
      <w:r w:rsidRPr="6968984F">
        <w:rPr>
          <w:rFonts w:ascii="Arial" w:eastAsia="Arial" w:hAnsi="Arial" w:cs="Arial"/>
          <w:color w:val="000000" w:themeColor="text1"/>
          <w:lang w:val="es"/>
        </w:rPr>
        <w:t xml:space="preserve">Deterioro en el estado funcional debido a cáncer </w:t>
      </w:r>
      <w:proofErr w:type="spellStart"/>
      <w:r w:rsidRPr="6968984F">
        <w:rPr>
          <w:rFonts w:ascii="Arial" w:eastAsia="Arial" w:hAnsi="Arial" w:cs="Arial"/>
          <w:color w:val="000000" w:themeColor="text1"/>
          <w:lang w:val="es"/>
        </w:rPr>
        <w:t>metastásico</w:t>
      </w:r>
      <w:proofErr w:type="spellEnd"/>
      <w:r w:rsidRPr="6968984F">
        <w:rPr>
          <w:rFonts w:ascii="Arial" w:eastAsia="Arial" w:hAnsi="Arial" w:cs="Arial"/>
          <w:color w:val="000000" w:themeColor="text1"/>
          <w:lang w:val="es"/>
        </w:rPr>
        <w:t xml:space="preserve">, </w:t>
      </w:r>
      <w:proofErr w:type="spellStart"/>
      <w:r w:rsidRPr="6968984F">
        <w:rPr>
          <w:rFonts w:ascii="Arial" w:eastAsia="Arial" w:hAnsi="Arial" w:cs="Arial"/>
          <w:color w:val="000000" w:themeColor="text1"/>
          <w:lang w:val="es"/>
        </w:rPr>
        <w:t>multimorbilidad</w:t>
      </w:r>
      <w:proofErr w:type="spellEnd"/>
      <w:r w:rsidRPr="6968984F">
        <w:rPr>
          <w:rFonts w:ascii="Arial" w:eastAsia="Arial" w:hAnsi="Arial" w:cs="Arial"/>
          <w:color w:val="000000" w:themeColor="text1"/>
          <w:lang w:val="es"/>
        </w:rPr>
        <w:t xml:space="preserve"> o sin opción de tratamiento. Si permanece en cama durante más del 50% del día, el pronóstico se estima en meses</w:t>
      </w:r>
    </w:p>
    <w:p w14:paraId="1F6EDEA9" w14:textId="3D663A7B" w:rsidR="080AB871" w:rsidRDefault="3CAC4B5F" w:rsidP="6968984F">
      <w:pPr>
        <w:pStyle w:val="Prrafodelista"/>
        <w:numPr>
          <w:ilvl w:val="0"/>
          <w:numId w:val="28"/>
        </w:numPr>
        <w:spacing w:after="0" w:line="257" w:lineRule="auto"/>
        <w:jc w:val="both"/>
        <w:rPr>
          <w:rFonts w:ascii="Arial" w:eastAsia="Arial" w:hAnsi="Arial" w:cs="Arial"/>
          <w:color w:val="000000" w:themeColor="text1"/>
          <w:lang w:val="es"/>
        </w:rPr>
      </w:pPr>
      <w:r w:rsidRPr="502784EB">
        <w:rPr>
          <w:rFonts w:ascii="Arial" w:eastAsia="Arial" w:hAnsi="Arial" w:cs="Arial"/>
          <w:color w:val="000000" w:themeColor="text1"/>
          <w:lang w:val="es"/>
        </w:rPr>
        <w:t>Síntomas persistentes a pesar de tratamiento oncológico paliativo óptimo.</w:t>
      </w:r>
    </w:p>
    <w:p w14:paraId="69512A06" w14:textId="5B6C19D0" w:rsidR="502784EB" w:rsidRDefault="502784EB" w:rsidP="502784EB">
      <w:pPr>
        <w:pStyle w:val="Prrafodelista"/>
        <w:spacing w:after="0" w:line="257" w:lineRule="auto"/>
        <w:ind w:hanging="360"/>
        <w:jc w:val="both"/>
        <w:rPr>
          <w:rFonts w:ascii="Arial" w:eastAsia="Arial" w:hAnsi="Arial" w:cs="Arial"/>
          <w:color w:val="000000" w:themeColor="text1"/>
          <w:lang w:val="es"/>
        </w:rPr>
      </w:pPr>
    </w:p>
    <w:p w14:paraId="4D172498" w14:textId="77B62723" w:rsidR="6968984F" w:rsidRDefault="3CAC4B5F" w:rsidP="6968984F">
      <w:pPr>
        <w:spacing w:line="257" w:lineRule="auto"/>
        <w:jc w:val="both"/>
        <w:rPr>
          <w:rFonts w:ascii="Arial" w:eastAsia="Arial" w:hAnsi="Arial" w:cs="Arial"/>
          <w:color w:val="000000" w:themeColor="text1"/>
          <w:lang w:val="es"/>
        </w:rPr>
      </w:pPr>
      <w:r w:rsidRPr="502784EB">
        <w:rPr>
          <w:rFonts w:ascii="Arial" w:eastAsia="Arial" w:hAnsi="Arial" w:cs="Arial"/>
          <w:color w:val="000000" w:themeColor="text1"/>
          <w:lang w:val="es"/>
        </w:rPr>
        <w:t>Se mencionan así mismo predictores pronósticos específicos para cáncer, tales como PPS, IPOS y ECOG</w:t>
      </w:r>
      <w:r w:rsidR="041831BF" w:rsidRPr="502784EB">
        <w:rPr>
          <w:rFonts w:ascii="Arial" w:eastAsia="Arial" w:hAnsi="Arial" w:cs="Arial"/>
          <w:color w:val="000000" w:themeColor="text1"/>
          <w:lang w:val="es"/>
        </w:rPr>
        <w:t>.</w:t>
      </w:r>
    </w:p>
    <w:p w14:paraId="7892D9D6" w14:textId="59C30296" w:rsidR="080AB871" w:rsidRDefault="080AB871" w:rsidP="6968984F">
      <w:pPr>
        <w:spacing w:line="257" w:lineRule="auto"/>
        <w:jc w:val="both"/>
        <w:rPr>
          <w:rFonts w:ascii="Arial" w:eastAsia="Arial" w:hAnsi="Arial" w:cs="Arial"/>
          <w:b/>
          <w:bCs/>
          <w:color w:val="000000" w:themeColor="text1"/>
          <w:lang w:val="es-ES"/>
        </w:rPr>
      </w:pPr>
      <w:r w:rsidRPr="6968984F">
        <w:rPr>
          <w:rFonts w:ascii="Arial" w:eastAsia="Arial" w:hAnsi="Arial" w:cs="Arial"/>
          <w:b/>
          <w:bCs/>
          <w:color w:val="000000" w:themeColor="text1"/>
          <w:lang w:val="es-ES"/>
        </w:rPr>
        <w:t xml:space="preserve">AMBER </w:t>
      </w:r>
      <w:proofErr w:type="spellStart"/>
      <w:r w:rsidRPr="6968984F">
        <w:rPr>
          <w:rFonts w:ascii="Arial" w:eastAsia="Arial" w:hAnsi="Arial" w:cs="Arial"/>
          <w:b/>
          <w:bCs/>
          <w:color w:val="000000" w:themeColor="text1"/>
          <w:lang w:val="es-ES"/>
        </w:rPr>
        <w:t>Care</w:t>
      </w:r>
      <w:proofErr w:type="spellEnd"/>
      <w:r w:rsidRPr="6968984F">
        <w:rPr>
          <w:rFonts w:ascii="Arial" w:eastAsia="Arial" w:hAnsi="Arial" w:cs="Arial"/>
          <w:b/>
          <w:bCs/>
          <w:color w:val="000000" w:themeColor="text1"/>
          <w:lang w:val="es-ES"/>
        </w:rPr>
        <w:t xml:space="preserve"> </w:t>
      </w:r>
      <w:proofErr w:type="spellStart"/>
      <w:r w:rsidRPr="6968984F">
        <w:rPr>
          <w:rFonts w:ascii="Arial" w:eastAsia="Arial" w:hAnsi="Arial" w:cs="Arial"/>
          <w:b/>
          <w:bCs/>
          <w:color w:val="000000" w:themeColor="text1"/>
          <w:lang w:val="es-ES"/>
        </w:rPr>
        <w:t>Bundle</w:t>
      </w:r>
      <w:proofErr w:type="spellEnd"/>
      <w:r w:rsidRPr="6968984F">
        <w:rPr>
          <w:rFonts w:ascii="Arial" w:eastAsia="Arial" w:hAnsi="Arial" w:cs="Arial"/>
          <w:b/>
          <w:bCs/>
          <w:color w:val="000000" w:themeColor="text1"/>
          <w:lang w:val="es-ES"/>
        </w:rPr>
        <w:t xml:space="preserve"> (Paquete de cuidado AMBER)</w:t>
      </w:r>
    </w:p>
    <w:p w14:paraId="35518103" w14:textId="1AC8BD1F" w:rsidR="080AB871" w:rsidRDefault="3CAC4B5F" w:rsidP="6968984F">
      <w:pPr>
        <w:spacing w:line="257" w:lineRule="auto"/>
        <w:jc w:val="both"/>
        <w:rPr>
          <w:rFonts w:ascii="Arial" w:eastAsia="Arial" w:hAnsi="Arial" w:cs="Arial"/>
          <w:color w:val="000000" w:themeColor="text1"/>
          <w:lang w:val="es-ES"/>
        </w:rPr>
      </w:pPr>
      <w:r w:rsidRPr="502784EB">
        <w:rPr>
          <w:rFonts w:ascii="Arial" w:eastAsia="Arial" w:hAnsi="Arial" w:cs="Arial"/>
          <w:color w:val="000000" w:themeColor="text1"/>
          <w:lang w:val="es-ES"/>
        </w:rPr>
        <w:t>Un paquete de cuidado (</w:t>
      </w:r>
      <w:proofErr w:type="spellStart"/>
      <w:r w:rsidRPr="502784EB">
        <w:rPr>
          <w:rFonts w:ascii="Arial" w:eastAsia="Arial" w:hAnsi="Arial" w:cs="Arial"/>
          <w:color w:val="000000" w:themeColor="text1"/>
          <w:lang w:val="es-ES"/>
        </w:rPr>
        <w:t>care</w:t>
      </w:r>
      <w:proofErr w:type="spellEnd"/>
      <w:r w:rsidRPr="502784EB">
        <w:rPr>
          <w:rFonts w:ascii="Arial" w:eastAsia="Arial" w:hAnsi="Arial" w:cs="Arial"/>
          <w:color w:val="000000" w:themeColor="text1"/>
          <w:lang w:val="es-ES"/>
        </w:rPr>
        <w:t xml:space="preserve"> </w:t>
      </w:r>
      <w:proofErr w:type="spellStart"/>
      <w:r w:rsidRPr="502784EB">
        <w:rPr>
          <w:rFonts w:ascii="Arial" w:eastAsia="Arial" w:hAnsi="Arial" w:cs="Arial"/>
          <w:color w:val="000000" w:themeColor="text1"/>
          <w:lang w:val="es-ES"/>
        </w:rPr>
        <w:t>bundle</w:t>
      </w:r>
      <w:proofErr w:type="spellEnd"/>
      <w:r w:rsidRPr="502784EB">
        <w:rPr>
          <w:rFonts w:ascii="Arial" w:eastAsia="Arial" w:hAnsi="Arial" w:cs="Arial"/>
          <w:color w:val="000000" w:themeColor="text1"/>
          <w:lang w:val="es-ES"/>
        </w:rPr>
        <w:t xml:space="preserve">) es un conjunto de intervenciones de buena práctica basadas en la evidencia que al implementarse en conjunto generan mejores desenlaces clínicos. En el caso del AMBER </w:t>
      </w:r>
      <w:proofErr w:type="spellStart"/>
      <w:r w:rsidRPr="502784EB">
        <w:rPr>
          <w:rFonts w:ascii="Arial" w:eastAsia="Arial" w:hAnsi="Arial" w:cs="Arial"/>
          <w:color w:val="000000" w:themeColor="text1"/>
          <w:lang w:val="es-ES"/>
        </w:rPr>
        <w:t>care</w:t>
      </w:r>
      <w:proofErr w:type="spellEnd"/>
      <w:r w:rsidRPr="502784EB">
        <w:rPr>
          <w:rFonts w:ascii="Arial" w:eastAsia="Arial" w:hAnsi="Arial" w:cs="Arial"/>
          <w:color w:val="000000" w:themeColor="text1"/>
          <w:lang w:val="es-ES"/>
        </w:rPr>
        <w:t xml:space="preserve"> </w:t>
      </w:r>
      <w:proofErr w:type="spellStart"/>
      <w:r w:rsidRPr="502784EB">
        <w:rPr>
          <w:rFonts w:ascii="Arial" w:eastAsia="Arial" w:hAnsi="Arial" w:cs="Arial"/>
          <w:color w:val="000000" w:themeColor="text1"/>
          <w:lang w:val="es-ES"/>
        </w:rPr>
        <w:t>bundle</w:t>
      </w:r>
      <w:proofErr w:type="spellEnd"/>
      <w:r w:rsidRPr="502784EB">
        <w:rPr>
          <w:rFonts w:ascii="Arial" w:eastAsia="Arial" w:hAnsi="Arial" w:cs="Arial"/>
          <w:color w:val="000000" w:themeColor="text1"/>
          <w:lang w:val="es-ES"/>
        </w:rPr>
        <w:t>, este fue desarrollado para mejorar el cuidado de los pacientes en escenario hospitalario que se están deteriorando, clínicamente inestables, con reversibilidad limitada y en riesgo de fallecer en los próximo</w:t>
      </w:r>
      <w:r w:rsidR="39425F67" w:rsidRPr="502784EB">
        <w:rPr>
          <w:rFonts w:ascii="Arial" w:eastAsia="Arial" w:hAnsi="Arial" w:cs="Arial"/>
          <w:color w:val="000000" w:themeColor="text1"/>
          <w:lang w:val="es-ES"/>
        </w:rPr>
        <w:t>s</w:t>
      </w:r>
      <w:r w:rsidRPr="502784EB">
        <w:rPr>
          <w:rFonts w:ascii="Arial" w:eastAsia="Arial" w:hAnsi="Arial" w:cs="Arial"/>
          <w:color w:val="000000" w:themeColor="text1"/>
          <w:lang w:val="es-ES"/>
        </w:rPr>
        <w:t xml:space="preserve"> 1 a 2 meses</w:t>
      </w:r>
      <w:proofErr w:type="gramStart"/>
      <w:r w:rsidRPr="502784EB">
        <w:rPr>
          <w:rFonts w:ascii="Arial" w:eastAsia="Arial" w:hAnsi="Arial" w:cs="Arial"/>
          <w:color w:val="000000" w:themeColor="text1"/>
          <w:lang w:val="es-ES"/>
        </w:rPr>
        <w:t>.</w:t>
      </w:r>
      <w:r w:rsidR="3604BB94" w:rsidRPr="502784EB">
        <w:rPr>
          <w:rFonts w:ascii="Arial" w:eastAsia="Arial" w:hAnsi="Arial" w:cs="Arial"/>
          <w:color w:val="000000" w:themeColor="text1"/>
          <w:lang w:val="es-ES"/>
        </w:rPr>
        <w:t>(</w:t>
      </w:r>
      <w:proofErr w:type="gramEnd"/>
      <w:r w:rsidR="3604BB94" w:rsidRPr="502784EB">
        <w:rPr>
          <w:rFonts w:ascii="Arial" w:eastAsia="Arial" w:hAnsi="Arial" w:cs="Arial"/>
          <w:color w:val="000000" w:themeColor="text1"/>
          <w:lang w:val="es-ES"/>
        </w:rPr>
        <w:t>9)</w:t>
      </w:r>
    </w:p>
    <w:p w14:paraId="77014F21" w14:textId="1CF55E5D" w:rsidR="080AB871" w:rsidRDefault="60442AF1" w:rsidP="37FB81F5">
      <w:pPr>
        <w:spacing w:line="257" w:lineRule="auto"/>
        <w:jc w:val="both"/>
        <w:rPr>
          <w:rFonts w:ascii="Arial" w:eastAsia="Arial" w:hAnsi="Arial" w:cs="Arial"/>
          <w:color w:val="000000" w:themeColor="text1"/>
        </w:rPr>
      </w:pPr>
      <w:r w:rsidRPr="37FB81F5">
        <w:rPr>
          <w:rFonts w:ascii="Arial" w:eastAsia="Arial" w:hAnsi="Arial" w:cs="Arial"/>
          <w:color w:val="000000" w:themeColor="text1"/>
        </w:rPr>
        <w:t xml:space="preserve">Las siglas AMBER constituyen un acrónimo en inglés compuesto por </w:t>
      </w:r>
      <w:proofErr w:type="spellStart"/>
      <w:r w:rsidRPr="37FB81F5">
        <w:rPr>
          <w:rFonts w:ascii="Arial" w:eastAsia="Arial" w:hAnsi="Arial" w:cs="Arial"/>
          <w:color w:val="000000" w:themeColor="text1"/>
        </w:rPr>
        <w:t>Assessment</w:t>
      </w:r>
      <w:proofErr w:type="spellEnd"/>
      <w:r w:rsidRPr="37FB81F5">
        <w:rPr>
          <w:rFonts w:ascii="Arial" w:eastAsia="Arial" w:hAnsi="Arial" w:cs="Arial"/>
          <w:color w:val="000000" w:themeColor="text1"/>
        </w:rPr>
        <w:t xml:space="preserve">, Management, </w:t>
      </w:r>
      <w:proofErr w:type="spellStart"/>
      <w:r w:rsidRPr="37FB81F5">
        <w:rPr>
          <w:rFonts w:ascii="Arial" w:eastAsia="Arial" w:hAnsi="Arial" w:cs="Arial"/>
          <w:color w:val="000000" w:themeColor="text1"/>
        </w:rPr>
        <w:t>Best</w:t>
      </w:r>
      <w:proofErr w:type="spellEnd"/>
      <w:r w:rsidRPr="37FB81F5">
        <w:rPr>
          <w:rFonts w:ascii="Arial" w:eastAsia="Arial" w:hAnsi="Arial" w:cs="Arial"/>
          <w:color w:val="000000" w:themeColor="text1"/>
        </w:rPr>
        <w:t xml:space="preserve"> </w:t>
      </w:r>
      <w:proofErr w:type="spellStart"/>
      <w:r w:rsidRPr="37FB81F5">
        <w:rPr>
          <w:rFonts w:ascii="Arial" w:eastAsia="Arial" w:hAnsi="Arial" w:cs="Arial"/>
          <w:color w:val="000000" w:themeColor="text1"/>
        </w:rPr>
        <w:t>practice</w:t>
      </w:r>
      <w:proofErr w:type="spellEnd"/>
      <w:r w:rsidRPr="37FB81F5">
        <w:rPr>
          <w:rFonts w:ascii="Arial" w:eastAsia="Arial" w:hAnsi="Arial" w:cs="Arial"/>
          <w:color w:val="000000" w:themeColor="text1"/>
        </w:rPr>
        <w:t xml:space="preserve">, </w:t>
      </w:r>
      <w:proofErr w:type="spellStart"/>
      <w:r w:rsidRPr="37FB81F5">
        <w:rPr>
          <w:rFonts w:ascii="Arial" w:eastAsia="Arial" w:hAnsi="Arial" w:cs="Arial"/>
          <w:color w:val="000000" w:themeColor="text1"/>
        </w:rPr>
        <w:t>Engagement</w:t>
      </w:r>
      <w:proofErr w:type="spellEnd"/>
      <w:r w:rsidRPr="37FB81F5">
        <w:rPr>
          <w:rFonts w:ascii="Arial" w:eastAsia="Arial" w:hAnsi="Arial" w:cs="Arial"/>
          <w:color w:val="000000" w:themeColor="text1"/>
        </w:rPr>
        <w:t xml:space="preserve"> (</w:t>
      </w:r>
      <w:proofErr w:type="spellStart"/>
      <w:r w:rsidRPr="37FB81F5">
        <w:rPr>
          <w:rFonts w:ascii="Arial" w:eastAsia="Arial" w:hAnsi="Arial" w:cs="Arial"/>
          <w:color w:val="000000" w:themeColor="text1"/>
        </w:rPr>
        <w:t>with</w:t>
      </w:r>
      <w:proofErr w:type="spellEnd"/>
      <w:r w:rsidRPr="37FB81F5">
        <w:rPr>
          <w:rFonts w:ascii="Arial" w:eastAsia="Arial" w:hAnsi="Arial" w:cs="Arial"/>
          <w:color w:val="000000" w:themeColor="text1"/>
        </w:rPr>
        <w:t xml:space="preserve"> </w:t>
      </w:r>
      <w:proofErr w:type="spellStart"/>
      <w:r w:rsidRPr="37FB81F5">
        <w:rPr>
          <w:rFonts w:ascii="Arial" w:eastAsia="Arial" w:hAnsi="Arial" w:cs="Arial"/>
          <w:color w:val="000000" w:themeColor="text1"/>
        </w:rPr>
        <w:t>patient</w:t>
      </w:r>
      <w:proofErr w:type="spellEnd"/>
      <w:r w:rsidRPr="37FB81F5">
        <w:rPr>
          <w:rFonts w:ascii="Arial" w:eastAsia="Arial" w:hAnsi="Arial" w:cs="Arial"/>
          <w:color w:val="000000" w:themeColor="text1"/>
        </w:rPr>
        <w:t xml:space="preserve"> and </w:t>
      </w:r>
      <w:proofErr w:type="spellStart"/>
      <w:r w:rsidRPr="37FB81F5">
        <w:rPr>
          <w:rFonts w:ascii="Arial" w:eastAsia="Arial" w:hAnsi="Arial" w:cs="Arial"/>
          <w:color w:val="000000" w:themeColor="text1"/>
        </w:rPr>
        <w:t>carer</w:t>
      </w:r>
      <w:proofErr w:type="spellEnd"/>
      <w:r w:rsidRPr="37FB81F5">
        <w:rPr>
          <w:rFonts w:ascii="Arial" w:eastAsia="Arial" w:hAnsi="Arial" w:cs="Arial"/>
          <w:color w:val="000000" w:themeColor="text1"/>
        </w:rPr>
        <w:t xml:space="preserve">) </w:t>
      </w:r>
      <w:proofErr w:type="spellStart"/>
      <w:r w:rsidRPr="37FB81F5">
        <w:rPr>
          <w:rFonts w:ascii="Arial" w:eastAsia="Arial" w:hAnsi="Arial" w:cs="Arial"/>
          <w:color w:val="000000" w:themeColor="text1"/>
        </w:rPr>
        <w:t>for</w:t>
      </w:r>
      <w:proofErr w:type="spellEnd"/>
      <w:r w:rsidRPr="37FB81F5">
        <w:rPr>
          <w:rFonts w:ascii="Arial" w:eastAsia="Arial" w:hAnsi="Arial" w:cs="Arial"/>
          <w:color w:val="000000" w:themeColor="text1"/>
        </w:rPr>
        <w:t xml:space="preserve"> </w:t>
      </w:r>
      <w:proofErr w:type="spellStart"/>
      <w:r w:rsidRPr="37FB81F5">
        <w:rPr>
          <w:rFonts w:ascii="Arial" w:eastAsia="Arial" w:hAnsi="Arial" w:cs="Arial"/>
          <w:color w:val="000000" w:themeColor="text1"/>
        </w:rPr>
        <w:t>the</w:t>
      </w:r>
      <w:proofErr w:type="spellEnd"/>
      <w:r w:rsidRPr="37FB81F5">
        <w:rPr>
          <w:rFonts w:ascii="Arial" w:eastAsia="Arial" w:hAnsi="Arial" w:cs="Arial"/>
          <w:color w:val="000000" w:themeColor="text1"/>
        </w:rPr>
        <w:t xml:space="preserve"> </w:t>
      </w:r>
      <w:proofErr w:type="spellStart"/>
      <w:r w:rsidRPr="37FB81F5">
        <w:rPr>
          <w:rFonts w:ascii="Arial" w:eastAsia="Arial" w:hAnsi="Arial" w:cs="Arial"/>
          <w:color w:val="000000" w:themeColor="text1"/>
        </w:rPr>
        <w:t>Recovery</w:t>
      </w:r>
      <w:proofErr w:type="spellEnd"/>
      <w:r w:rsidRPr="37FB81F5">
        <w:rPr>
          <w:rFonts w:ascii="Arial" w:eastAsia="Arial" w:hAnsi="Arial" w:cs="Arial"/>
          <w:color w:val="000000" w:themeColor="text1"/>
        </w:rPr>
        <w:t xml:space="preserve"> </w:t>
      </w:r>
      <w:proofErr w:type="spellStart"/>
      <w:r w:rsidRPr="37FB81F5">
        <w:rPr>
          <w:rFonts w:ascii="Arial" w:eastAsia="Arial" w:hAnsi="Arial" w:cs="Arial"/>
          <w:color w:val="000000" w:themeColor="text1"/>
        </w:rPr>
        <w:t>uncertain</w:t>
      </w:r>
      <w:proofErr w:type="spellEnd"/>
      <w:r w:rsidRPr="37FB81F5">
        <w:rPr>
          <w:rFonts w:ascii="Arial" w:eastAsia="Arial" w:hAnsi="Arial" w:cs="Arial"/>
          <w:color w:val="000000" w:themeColor="text1"/>
        </w:rPr>
        <w:t xml:space="preserve"> </w:t>
      </w:r>
      <w:proofErr w:type="spellStart"/>
      <w:r w:rsidRPr="37FB81F5">
        <w:rPr>
          <w:rFonts w:ascii="Arial" w:eastAsia="Arial" w:hAnsi="Arial" w:cs="Arial"/>
          <w:color w:val="000000" w:themeColor="text1"/>
        </w:rPr>
        <w:t>patient</w:t>
      </w:r>
      <w:proofErr w:type="spellEnd"/>
      <w:r w:rsidRPr="37FB81F5">
        <w:rPr>
          <w:rFonts w:ascii="Arial" w:eastAsia="Arial" w:hAnsi="Arial" w:cs="Arial"/>
          <w:color w:val="000000" w:themeColor="text1"/>
        </w:rPr>
        <w:t xml:space="preserve"> (Evaluación, Manejo, Mejor práctica, Compromiso con el paciente con Recuperación incierta)</w:t>
      </w:r>
      <w:proofErr w:type="gramStart"/>
      <w:r w:rsidRPr="37FB81F5">
        <w:rPr>
          <w:rFonts w:ascii="Arial" w:eastAsia="Arial" w:hAnsi="Arial" w:cs="Arial"/>
          <w:color w:val="000000" w:themeColor="text1"/>
        </w:rPr>
        <w:t>.</w:t>
      </w:r>
      <w:r w:rsidR="4DF41460" w:rsidRPr="37FB81F5">
        <w:rPr>
          <w:rFonts w:ascii="Arial" w:eastAsia="Arial" w:hAnsi="Arial" w:cs="Arial"/>
          <w:color w:val="000000" w:themeColor="text1"/>
        </w:rPr>
        <w:t>(</w:t>
      </w:r>
      <w:proofErr w:type="gramEnd"/>
      <w:r w:rsidR="4DF41460" w:rsidRPr="37FB81F5">
        <w:rPr>
          <w:rFonts w:ascii="Arial" w:eastAsia="Arial" w:hAnsi="Arial" w:cs="Arial"/>
          <w:color w:val="000000" w:themeColor="text1"/>
        </w:rPr>
        <w:t>9)</w:t>
      </w:r>
    </w:p>
    <w:p w14:paraId="0A790589" w14:textId="1C9FA409" w:rsidR="080AB871" w:rsidRDefault="3CAC4B5F" w:rsidP="6968984F">
      <w:pPr>
        <w:spacing w:line="257" w:lineRule="auto"/>
        <w:jc w:val="both"/>
        <w:rPr>
          <w:rFonts w:ascii="Arial" w:eastAsia="Arial" w:hAnsi="Arial" w:cs="Arial"/>
          <w:color w:val="000000" w:themeColor="text1"/>
          <w:lang w:val="es"/>
        </w:rPr>
      </w:pPr>
      <w:r w:rsidRPr="502784EB">
        <w:rPr>
          <w:rFonts w:ascii="Arial" w:eastAsia="Arial" w:hAnsi="Arial" w:cs="Arial"/>
          <w:color w:val="000000" w:themeColor="text1"/>
          <w:lang w:val="es"/>
        </w:rPr>
        <w:t>El primer paso del algoritmo propuesto en el paquete AMBER</w:t>
      </w:r>
      <w:r w:rsidR="0461F309" w:rsidRPr="502784EB">
        <w:rPr>
          <w:rFonts w:ascii="Arial" w:eastAsia="Arial" w:hAnsi="Arial" w:cs="Arial"/>
          <w:color w:val="000000" w:themeColor="text1"/>
          <w:lang w:val="es"/>
        </w:rPr>
        <w:t xml:space="preserve"> (Anexo 2)</w:t>
      </w:r>
      <w:r w:rsidRPr="502784EB">
        <w:rPr>
          <w:rFonts w:ascii="Arial" w:eastAsia="Arial" w:hAnsi="Arial" w:cs="Arial"/>
          <w:color w:val="000000" w:themeColor="text1"/>
          <w:lang w:val="es"/>
        </w:rPr>
        <w:t xml:space="preserve"> consiste en la identificación del paciente. Para dicha identificación se han establecido dos preguntas específicas:</w:t>
      </w:r>
    </w:p>
    <w:p w14:paraId="333A1FF3" w14:textId="313C52BC" w:rsidR="080AB871" w:rsidRDefault="080AB871" w:rsidP="6968984F">
      <w:pPr>
        <w:pStyle w:val="Prrafodelista"/>
        <w:numPr>
          <w:ilvl w:val="0"/>
          <w:numId w:val="27"/>
        </w:numPr>
        <w:spacing w:after="0" w:line="257" w:lineRule="auto"/>
        <w:jc w:val="both"/>
        <w:rPr>
          <w:rFonts w:ascii="Arial" w:eastAsia="Arial" w:hAnsi="Arial" w:cs="Arial"/>
          <w:color w:val="000000" w:themeColor="text1"/>
          <w:lang w:val="es-ES"/>
        </w:rPr>
      </w:pPr>
      <w:r w:rsidRPr="6968984F">
        <w:rPr>
          <w:rFonts w:ascii="Arial" w:eastAsia="Arial" w:hAnsi="Arial" w:cs="Arial"/>
          <w:color w:val="000000" w:themeColor="text1"/>
          <w:lang w:val="es-ES"/>
        </w:rPr>
        <w:t>El paciente se está deteriorando, clínicamente inestable y con reversibilidad limitada</w:t>
      </w:r>
      <w:proofErr w:type="gramStart"/>
      <w:r w:rsidRPr="6968984F">
        <w:rPr>
          <w:rFonts w:ascii="Arial" w:eastAsia="Arial" w:hAnsi="Arial" w:cs="Arial"/>
          <w:color w:val="000000" w:themeColor="text1"/>
          <w:lang w:val="es-ES"/>
        </w:rPr>
        <w:t>?</w:t>
      </w:r>
      <w:proofErr w:type="gramEnd"/>
      <w:r w:rsidRPr="6968984F">
        <w:rPr>
          <w:rFonts w:ascii="Arial" w:eastAsia="Arial" w:hAnsi="Arial" w:cs="Arial"/>
          <w:color w:val="000000" w:themeColor="text1"/>
          <w:lang w:val="es-ES"/>
        </w:rPr>
        <w:t xml:space="preserve"> </w:t>
      </w:r>
    </w:p>
    <w:p w14:paraId="4234E531" w14:textId="4A028ED3" w:rsidR="080AB871" w:rsidRDefault="3CAC4B5F" w:rsidP="6968984F">
      <w:pPr>
        <w:pStyle w:val="Prrafodelista"/>
        <w:numPr>
          <w:ilvl w:val="0"/>
          <w:numId w:val="27"/>
        </w:numPr>
        <w:spacing w:after="0" w:line="257" w:lineRule="auto"/>
        <w:jc w:val="both"/>
        <w:rPr>
          <w:rFonts w:ascii="Arial" w:eastAsia="Arial" w:hAnsi="Arial" w:cs="Arial"/>
          <w:color w:val="000000" w:themeColor="text1"/>
          <w:lang w:val="es-ES"/>
        </w:rPr>
      </w:pPr>
      <w:r w:rsidRPr="502784EB">
        <w:rPr>
          <w:rFonts w:ascii="Arial" w:eastAsia="Arial" w:hAnsi="Arial" w:cs="Arial"/>
          <w:color w:val="000000" w:themeColor="text1"/>
          <w:lang w:val="es-ES"/>
        </w:rPr>
        <w:t>El paciente se encuentra en riesgo de fallecer durante los próximos 1 a 2 meses</w:t>
      </w:r>
      <w:proofErr w:type="gramStart"/>
      <w:r w:rsidRPr="502784EB">
        <w:rPr>
          <w:rFonts w:ascii="Arial" w:eastAsia="Arial" w:hAnsi="Arial" w:cs="Arial"/>
          <w:color w:val="000000" w:themeColor="text1"/>
          <w:lang w:val="es-ES"/>
        </w:rPr>
        <w:t>?</w:t>
      </w:r>
      <w:proofErr w:type="gramEnd"/>
    </w:p>
    <w:p w14:paraId="11538995" w14:textId="2D4A74D6" w:rsidR="502784EB" w:rsidRDefault="502784EB" w:rsidP="502784EB">
      <w:pPr>
        <w:pStyle w:val="Prrafodelista"/>
        <w:spacing w:after="0" w:line="257" w:lineRule="auto"/>
        <w:ind w:hanging="360"/>
        <w:jc w:val="both"/>
        <w:rPr>
          <w:rFonts w:ascii="Arial" w:eastAsia="Arial" w:hAnsi="Arial" w:cs="Arial"/>
          <w:color w:val="000000" w:themeColor="text1"/>
          <w:lang w:val="es-ES"/>
        </w:rPr>
      </w:pPr>
    </w:p>
    <w:p w14:paraId="5679D4A5" w14:textId="75164E34" w:rsidR="080AB871" w:rsidRDefault="080AB871" w:rsidP="6968984F">
      <w:pPr>
        <w:spacing w:line="257" w:lineRule="auto"/>
        <w:jc w:val="both"/>
        <w:rPr>
          <w:rFonts w:ascii="Arial" w:eastAsia="Arial" w:hAnsi="Arial" w:cs="Arial"/>
          <w:color w:val="000000" w:themeColor="text1"/>
          <w:lang w:val="es-ES"/>
        </w:rPr>
      </w:pPr>
      <w:r w:rsidRPr="6968984F">
        <w:rPr>
          <w:rFonts w:ascii="Arial" w:eastAsia="Arial" w:hAnsi="Arial" w:cs="Arial"/>
          <w:color w:val="000000" w:themeColor="text1"/>
          <w:lang w:val="es-ES"/>
        </w:rPr>
        <w:t>En caso que la respuesta a ambas preguntas sea “Sí”, el paciente es candidato a recibir las intervenciones del paquete de cuidado AMBER. Las intervenciones a continuación implican diversas estrategias a implementar durante el primer día de identificación, y una evaluación diaria de cambios en la condición clínica del paciente</w:t>
      </w:r>
      <w:proofErr w:type="gramStart"/>
      <w:r w:rsidRPr="6968984F">
        <w:rPr>
          <w:rFonts w:ascii="Arial" w:eastAsia="Arial" w:hAnsi="Arial" w:cs="Arial"/>
          <w:color w:val="000000" w:themeColor="text1"/>
          <w:lang w:val="es-ES"/>
        </w:rPr>
        <w:t>.</w:t>
      </w:r>
      <w:r w:rsidR="6635A664" w:rsidRPr="6968984F">
        <w:rPr>
          <w:rFonts w:ascii="Arial" w:eastAsia="Arial" w:hAnsi="Arial" w:cs="Arial"/>
          <w:color w:val="000000" w:themeColor="text1"/>
          <w:lang w:val="es-ES"/>
        </w:rPr>
        <w:t>(</w:t>
      </w:r>
      <w:proofErr w:type="gramEnd"/>
      <w:r w:rsidR="6635A664" w:rsidRPr="6968984F">
        <w:rPr>
          <w:rFonts w:ascii="Arial" w:eastAsia="Arial" w:hAnsi="Arial" w:cs="Arial"/>
          <w:color w:val="000000" w:themeColor="text1"/>
          <w:lang w:val="es-ES"/>
        </w:rPr>
        <w:t>9)</w:t>
      </w:r>
    </w:p>
    <w:p w14:paraId="5348B0D1" w14:textId="04C55A14" w:rsidR="6968984F" w:rsidRDefault="6968984F" w:rsidP="6968984F">
      <w:pPr>
        <w:spacing w:line="257" w:lineRule="auto"/>
        <w:jc w:val="both"/>
        <w:rPr>
          <w:rFonts w:ascii="Arial" w:eastAsia="Arial" w:hAnsi="Arial" w:cs="Arial"/>
          <w:color w:val="000000" w:themeColor="text1"/>
          <w:lang w:val="es-ES"/>
        </w:rPr>
      </w:pPr>
    </w:p>
    <w:p w14:paraId="47D4AF4C" w14:textId="6DFCBAB2" w:rsidR="080AB871" w:rsidRDefault="080AB871" w:rsidP="6968984F">
      <w:pPr>
        <w:spacing w:line="257" w:lineRule="auto"/>
        <w:jc w:val="both"/>
        <w:rPr>
          <w:rFonts w:ascii="Arial" w:eastAsia="Arial" w:hAnsi="Arial" w:cs="Arial"/>
          <w:b/>
          <w:bCs/>
          <w:color w:val="000000" w:themeColor="text1"/>
        </w:rPr>
      </w:pPr>
      <w:r w:rsidRPr="6968984F">
        <w:rPr>
          <w:rFonts w:ascii="Arial" w:eastAsia="Arial" w:hAnsi="Arial" w:cs="Arial"/>
          <w:b/>
          <w:bCs/>
          <w:color w:val="000000" w:themeColor="text1"/>
        </w:rPr>
        <w:t>Instrumento Indicador de Cuidados Paliativos y de Soporte (SPICT)</w:t>
      </w:r>
    </w:p>
    <w:p w14:paraId="6EFADDB0" w14:textId="08CDADE7" w:rsidR="3CAC4B5F" w:rsidRDefault="3CAC4B5F" w:rsidP="502784EB">
      <w:pPr>
        <w:spacing w:line="257" w:lineRule="auto"/>
        <w:jc w:val="both"/>
        <w:rPr>
          <w:rFonts w:ascii="Arial" w:eastAsia="Arial" w:hAnsi="Arial" w:cs="Arial"/>
          <w:color w:val="000000" w:themeColor="text1"/>
        </w:rPr>
      </w:pPr>
      <w:r w:rsidRPr="502784EB">
        <w:rPr>
          <w:rFonts w:ascii="Arial" w:eastAsia="Arial" w:hAnsi="Arial" w:cs="Arial"/>
          <w:color w:val="000000" w:themeColor="text1"/>
        </w:rPr>
        <w:t>El SPICT es un instrumento que ayuda a identificar a personas con deterioro en su salud debido a condiciones serias amenazantes de la vida, incluyendo la fragilidad, que pueden beneficiarse de intervención por cuidados paliativos. Este instrumento tiene en cuenta indicadores generales de mala salud o deterioro e indicadores clínicos de enfermedad o condición de salud seria.</w:t>
      </w:r>
    </w:p>
    <w:p w14:paraId="2D5F4674" w14:textId="1705FCED" w:rsidR="080AB871" w:rsidRDefault="080AB871" w:rsidP="6968984F">
      <w:pPr>
        <w:spacing w:line="257" w:lineRule="auto"/>
        <w:jc w:val="both"/>
        <w:rPr>
          <w:rFonts w:ascii="Arial" w:eastAsia="Arial" w:hAnsi="Arial" w:cs="Arial"/>
          <w:color w:val="000000" w:themeColor="text1"/>
        </w:rPr>
      </w:pPr>
      <w:r w:rsidRPr="6968984F">
        <w:rPr>
          <w:rFonts w:ascii="Arial" w:eastAsia="Arial" w:hAnsi="Arial" w:cs="Arial"/>
          <w:color w:val="000000" w:themeColor="text1"/>
        </w:rPr>
        <w:lastRenderedPageBreak/>
        <w:t>Los indicadores generales de mala salud o deterioro son:</w:t>
      </w:r>
    </w:p>
    <w:p w14:paraId="1DC9FDA1" w14:textId="29872599" w:rsidR="080AB871" w:rsidRDefault="080AB871" w:rsidP="6968984F">
      <w:pPr>
        <w:pStyle w:val="Prrafodelista"/>
        <w:numPr>
          <w:ilvl w:val="0"/>
          <w:numId w:val="26"/>
        </w:numPr>
        <w:spacing w:after="0" w:line="257" w:lineRule="auto"/>
        <w:jc w:val="both"/>
        <w:rPr>
          <w:rFonts w:ascii="Arial" w:eastAsia="Arial" w:hAnsi="Arial" w:cs="Arial"/>
          <w:color w:val="000000" w:themeColor="text1"/>
        </w:rPr>
      </w:pPr>
      <w:r w:rsidRPr="6968984F">
        <w:rPr>
          <w:rFonts w:ascii="Arial" w:eastAsia="Arial" w:hAnsi="Arial" w:cs="Arial"/>
          <w:color w:val="000000" w:themeColor="text1"/>
        </w:rPr>
        <w:t>Ingresos hospitalarios no planeados</w:t>
      </w:r>
    </w:p>
    <w:p w14:paraId="7FF4D5D3" w14:textId="6590AED0" w:rsidR="080AB871" w:rsidRDefault="080AB871" w:rsidP="6968984F">
      <w:pPr>
        <w:pStyle w:val="Prrafodelista"/>
        <w:numPr>
          <w:ilvl w:val="0"/>
          <w:numId w:val="26"/>
        </w:numPr>
        <w:spacing w:after="0" w:line="257" w:lineRule="auto"/>
        <w:jc w:val="both"/>
        <w:rPr>
          <w:rFonts w:ascii="Arial" w:eastAsia="Arial" w:hAnsi="Arial" w:cs="Arial"/>
          <w:color w:val="000000" w:themeColor="text1"/>
        </w:rPr>
      </w:pPr>
      <w:r w:rsidRPr="6968984F">
        <w:rPr>
          <w:rFonts w:ascii="Arial" w:eastAsia="Arial" w:hAnsi="Arial" w:cs="Arial"/>
          <w:color w:val="000000" w:themeColor="text1"/>
        </w:rPr>
        <w:t>Estado funcional pobre o deteriorándose, con reversibilidad limitada (la persona permanece en cama o en silla más de la mitad del día)</w:t>
      </w:r>
    </w:p>
    <w:p w14:paraId="3677FDDC" w14:textId="322A55A4" w:rsidR="080AB871" w:rsidRDefault="080AB871" w:rsidP="6968984F">
      <w:pPr>
        <w:pStyle w:val="Prrafodelista"/>
        <w:numPr>
          <w:ilvl w:val="0"/>
          <w:numId w:val="26"/>
        </w:numPr>
        <w:spacing w:after="0" w:line="257" w:lineRule="auto"/>
        <w:jc w:val="both"/>
        <w:rPr>
          <w:rFonts w:ascii="Arial" w:eastAsia="Arial" w:hAnsi="Arial" w:cs="Arial"/>
          <w:color w:val="000000" w:themeColor="text1"/>
        </w:rPr>
      </w:pPr>
      <w:r w:rsidRPr="6968984F">
        <w:rPr>
          <w:rFonts w:ascii="Arial" w:eastAsia="Arial" w:hAnsi="Arial" w:cs="Arial"/>
          <w:color w:val="000000" w:themeColor="text1"/>
        </w:rPr>
        <w:t xml:space="preserve">Dependencia de otros para el cuidado debido </w:t>
      </w:r>
      <w:proofErr w:type="spellStart"/>
      <w:r w:rsidRPr="6968984F">
        <w:rPr>
          <w:rFonts w:ascii="Arial" w:eastAsia="Arial" w:hAnsi="Arial" w:cs="Arial"/>
          <w:color w:val="000000" w:themeColor="text1"/>
        </w:rPr>
        <w:t>a</w:t>
      </w:r>
      <w:proofErr w:type="spellEnd"/>
      <w:r w:rsidRPr="6968984F">
        <w:rPr>
          <w:rFonts w:ascii="Arial" w:eastAsia="Arial" w:hAnsi="Arial" w:cs="Arial"/>
          <w:color w:val="000000" w:themeColor="text1"/>
        </w:rPr>
        <w:t xml:space="preserve"> aumento de problemas físicos o mentales</w:t>
      </w:r>
    </w:p>
    <w:p w14:paraId="5DD5BF8B" w14:textId="43037770" w:rsidR="080AB871" w:rsidRDefault="080AB871" w:rsidP="6968984F">
      <w:pPr>
        <w:pStyle w:val="Prrafodelista"/>
        <w:numPr>
          <w:ilvl w:val="0"/>
          <w:numId w:val="26"/>
        </w:numPr>
        <w:spacing w:after="0" w:line="257" w:lineRule="auto"/>
        <w:jc w:val="both"/>
        <w:rPr>
          <w:rFonts w:ascii="Arial" w:eastAsia="Arial" w:hAnsi="Arial" w:cs="Arial"/>
          <w:color w:val="000000" w:themeColor="text1"/>
        </w:rPr>
      </w:pPr>
      <w:r w:rsidRPr="6968984F">
        <w:rPr>
          <w:rFonts w:ascii="Arial" w:eastAsia="Arial" w:hAnsi="Arial" w:cs="Arial"/>
          <w:color w:val="000000" w:themeColor="text1"/>
        </w:rPr>
        <w:t>Pérdida progresiva de peso</w:t>
      </w:r>
    </w:p>
    <w:p w14:paraId="264BF4B2" w14:textId="7206F514" w:rsidR="080AB871" w:rsidRDefault="080AB871" w:rsidP="6968984F">
      <w:pPr>
        <w:pStyle w:val="Prrafodelista"/>
        <w:numPr>
          <w:ilvl w:val="0"/>
          <w:numId w:val="26"/>
        </w:numPr>
        <w:spacing w:after="0" w:line="257" w:lineRule="auto"/>
        <w:jc w:val="both"/>
        <w:rPr>
          <w:rFonts w:ascii="Arial" w:eastAsia="Arial" w:hAnsi="Arial" w:cs="Arial"/>
          <w:color w:val="000000" w:themeColor="text1"/>
        </w:rPr>
      </w:pPr>
      <w:r w:rsidRPr="6968984F">
        <w:rPr>
          <w:rFonts w:ascii="Arial" w:eastAsia="Arial" w:hAnsi="Arial" w:cs="Arial"/>
          <w:color w:val="000000" w:themeColor="text1"/>
        </w:rPr>
        <w:t>Síntomas persistentes a pesar de tratamiento óptimo de la condición de base</w:t>
      </w:r>
    </w:p>
    <w:p w14:paraId="59DD8DBF" w14:textId="33B8ECEC" w:rsidR="080AB871" w:rsidRDefault="080AB871" w:rsidP="6968984F">
      <w:pPr>
        <w:pStyle w:val="Prrafodelista"/>
        <w:numPr>
          <w:ilvl w:val="0"/>
          <w:numId w:val="26"/>
        </w:numPr>
        <w:spacing w:after="0" w:line="257" w:lineRule="auto"/>
        <w:jc w:val="both"/>
        <w:rPr>
          <w:rFonts w:ascii="Arial" w:eastAsia="Arial" w:hAnsi="Arial" w:cs="Arial"/>
          <w:color w:val="000000" w:themeColor="text1"/>
        </w:rPr>
      </w:pPr>
      <w:r w:rsidRPr="6968984F">
        <w:rPr>
          <w:rFonts w:ascii="Arial" w:eastAsia="Arial" w:hAnsi="Arial" w:cs="Arial"/>
          <w:color w:val="000000" w:themeColor="text1"/>
        </w:rPr>
        <w:t>La persona (o su familia) solicitan cuidado paliativo; deciden reducir, suspender o no recibir tratamiento; desean enfocarse en calidad de vida.</w:t>
      </w:r>
    </w:p>
    <w:p w14:paraId="54012183" w14:textId="06DCB44B" w:rsidR="080AB871" w:rsidRDefault="080AB871" w:rsidP="6968984F">
      <w:pPr>
        <w:spacing w:line="257" w:lineRule="auto"/>
        <w:jc w:val="both"/>
        <w:rPr>
          <w:rFonts w:ascii="Arial" w:eastAsia="Arial" w:hAnsi="Arial" w:cs="Arial"/>
          <w:color w:val="000000" w:themeColor="text1"/>
        </w:rPr>
      </w:pPr>
      <w:r w:rsidRPr="6968984F">
        <w:rPr>
          <w:rFonts w:ascii="Arial" w:eastAsia="Arial" w:hAnsi="Arial" w:cs="Arial"/>
          <w:color w:val="000000" w:themeColor="text1"/>
        </w:rPr>
        <w:t>Los indicadores específicos de enfermedad seria en cáncer son:</w:t>
      </w:r>
    </w:p>
    <w:p w14:paraId="7F2F6F58" w14:textId="4E6F358E" w:rsidR="080AB871" w:rsidRDefault="080AB871" w:rsidP="6968984F">
      <w:pPr>
        <w:pStyle w:val="Prrafodelista"/>
        <w:numPr>
          <w:ilvl w:val="0"/>
          <w:numId w:val="25"/>
        </w:numPr>
        <w:spacing w:after="0" w:line="257" w:lineRule="auto"/>
        <w:jc w:val="both"/>
        <w:rPr>
          <w:rFonts w:ascii="Arial" w:eastAsia="Arial" w:hAnsi="Arial" w:cs="Arial"/>
          <w:color w:val="000000" w:themeColor="text1"/>
        </w:rPr>
      </w:pPr>
      <w:r w:rsidRPr="6968984F">
        <w:rPr>
          <w:rFonts w:ascii="Arial" w:eastAsia="Arial" w:hAnsi="Arial" w:cs="Arial"/>
          <w:color w:val="000000" w:themeColor="text1"/>
        </w:rPr>
        <w:t>Deterioro de la funcionalidad debido a cáncer progresivo</w:t>
      </w:r>
    </w:p>
    <w:p w14:paraId="1895FCB1" w14:textId="65898778" w:rsidR="080AB871" w:rsidRDefault="3CAC4B5F" w:rsidP="6968984F">
      <w:pPr>
        <w:pStyle w:val="Prrafodelista"/>
        <w:numPr>
          <w:ilvl w:val="0"/>
          <w:numId w:val="25"/>
        </w:numPr>
        <w:spacing w:after="0" w:line="257" w:lineRule="auto"/>
        <w:jc w:val="both"/>
        <w:rPr>
          <w:rFonts w:ascii="Arial" w:eastAsia="Arial" w:hAnsi="Arial" w:cs="Arial"/>
          <w:color w:val="000000" w:themeColor="text1"/>
          <w:lang w:val="es"/>
        </w:rPr>
      </w:pPr>
      <w:r w:rsidRPr="502784EB">
        <w:rPr>
          <w:rFonts w:ascii="Arial" w:eastAsia="Arial" w:hAnsi="Arial" w:cs="Arial"/>
          <w:color w:val="000000" w:themeColor="text1"/>
          <w:lang w:val="es"/>
        </w:rPr>
        <w:t>Ser muy frágil para recibir tratamiento para el cáncer o el tratamiento está enfocado en control sintomático.</w:t>
      </w:r>
    </w:p>
    <w:p w14:paraId="4F899703" w14:textId="3DF9A729" w:rsidR="37FB81F5" w:rsidRDefault="37FB81F5" w:rsidP="37FB81F5">
      <w:pPr>
        <w:spacing w:line="257" w:lineRule="auto"/>
        <w:jc w:val="both"/>
        <w:rPr>
          <w:rFonts w:ascii="Arial" w:eastAsia="Arial" w:hAnsi="Arial" w:cs="Arial"/>
          <w:b/>
          <w:bCs/>
          <w:color w:val="000000" w:themeColor="text1"/>
          <w:lang w:val="es"/>
        </w:rPr>
      </w:pPr>
    </w:p>
    <w:p w14:paraId="0497B303" w14:textId="5FB22CA6" w:rsidR="080AB871" w:rsidRDefault="080AB871" w:rsidP="6968984F">
      <w:pPr>
        <w:spacing w:line="257" w:lineRule="auto"/>
        <w:jc w:val="both"/>
        <w:rPr>
          <w:rFonts w:ascii="Arial" w:eastAsia="Arial" w:hAnsi="Arial" w:cs="Arial"/>
          <w:b/>
          <w:bCs/>
          <w:color w:val="000000" w:themeColor="text1"/>
          <w:lang w:val="es"/>
        </w:rPr>
      </w:pPr>
      <w:r w:rsidRPr="6968984F">
        <w:rPr>
          <w:rFonts w:ascii="Arial" w:eastAsia="Arial" w:hAnsi="Arial" w:cs="Arial"/>
          <w:b/>
          <w:bCs/>
          <w:color w:val="000000" w:themeColor="text1"/>
          <w:lang w:val="es"/>
        </w:rPr>
        <w:t>Factores pronósticos</w:t>
      </w:r>
    </w:p>
    <w:p w14:paraId="4E6FD8B7" w14:textId="4CB27EE7" w:rsidR="080AB871" w:rsidRDefault="080AB871" w:rsidP="6968984F">
      <w:pPr>
        <w:spacing w:line="257" w:lineRule="auto"/>
        <w:jc w:val="both"/>
        <w:rPr>
          <w:rFonts w:ascii="Arial" w:eastAsia="Arial" w:hAnsi="Arial" w:cs="Arial"/>
          <w:b/>
          <w:bCs/>
          <w:color w:val="000000" w:themeColor="text1"/>
          <w:lang w:val="es"/>
        </w:rPr>
      </w:pPr>
      <w:r w:rsidRPr="6968984F">
        <w:rPr>
          <w:rFonts w:ascii="Arial" w:eastAsia="Arial" w:hAnsi="Arial" w:cs="Arial"/>
          <w:b/>
          <w:bCs/>
          <w:color w:val="000000" w:themeColor="text1"/>
          <w:lang w:val="es"/>
        </w:rPr>
        <w:t>Predicción clínica de supervivencia</w:t>
      </w:r>
    </w:p>
    <w:p w14:paraId="1C77274D" w14:textId="36D65ED1" w:rsidR="080AB871" w:rsidRDefault="3CAC4B5F" w:rsidP="6968984F">
      <w:pPr>
        <w:spacing w:line="257" w:lineRule="auto"/>
        <w:jc w:val="both"/>
        <w:rPr>
          <w:rFonts w:ascii="Arial" w:eastAsia="Arial" w:hAnsi="Arial" w:cs="Arial"/>
          <w:color w:val="000000" w:themeColor="text1"/>
          <w:lang w:val="es"/>
        </w:rPr>
      </w:pPr>
      <w:r w:rsidRPr="502784EB">
        <w:rPr>
          <w:rFonts w:ascii="Arial" w:eastAsia="Arial" w:hAnsi="Arial" w:cs="Arial"/>
          <w:color w:val="000000" w:themeColor="text1"/>
          <w:lang w:val="es"/>
        </w:rPr>
        <w:t xml:space="preserve">El juicio por parte del clínico de la estimación y predicción de la supervivencia es el estándar de cuidado frente al cual se comparan las </w:t>
      </w:r>
      <w:r w:rsidR="41AC4DCC" w:rsidRPr="502784EB">
        <w:rPr>
          <w:rFonts w:ascii="Arial" w:eastAsia="Arial" w:hAnsi="Arial" w:cs="Arial"/>
          <w:color w:val="000000" w:themeColor="text1"/>
          <w:lang w:val="es"/>
        </w:rPr>
        <w:t xml:space="preserve">escalas y </w:t>
      </w:r>
      <w:r w:rsidRPr="502784EB">
        <w:rPr>
          <w:rFonts w:ascii="Arial" w:eastAsia="Arial" w:hAnsi="Arial" w:cs="Arial"/>
          <w:color w:val="000000" w:themeColor="text1"/>
          <w:lang w:val="es"/>
        </w:rPr>
        <w:t xml:space="preserve">herramientas </w:t>
      </w:r>
      <w:proofErr w:type="spellStart"/>
      <w:r w:rsidRPr="502784EB">
        <w:rPr>
          <w:rFonts w:ascii="Arial" w:eastAsia="Arial" w:hAnsi="Arial" w:cs="Arial"/>
          <w:color w:val="000000" w:themeColor="text1"/>
          <w:lang w:val="es"/>
        </w:rPr>
        <w:t>pronósticas</w:t>
      </w:r>
      <w:proofErr w:type="spellEnd"/>
      <w:r w:rsidRPr="502784EB">
        <w:rPr>
          <w:rFonts w:ascii="Arial" w:eastAsia="Arial" w:hAnsi="Arial" w:cs="Arial"/>
          <w:color w:val="000000" w:themeColor="text1"/>
          <w:lang w:val="es"/>
        </w:rPr>
        <w:t>. Dicha estimación puede ser expresada de diversas maneras, en número de días, intervalos de tiempo o probabilidades.</w:t>
      </w:r>
    </w:p>
    <w:p w14:paraId="47F0C358" w14:textId="41AD06BC" w:rsidR="080AB871" w:rsidRDefault="3CAC4B5F" w:rsidP="6968984F">
      <w:pPr>
        <w:spacing w:line="257" w:lineRule="auto"/>
        <w:jc w:val="both"/>
        <w:rPr>
          <w:rFonts w:ascii="Arial" w:eastAsia="Arial" w:hAnsi="Arial" w:cs="Arial"/>
          <w:color w:val="000000" w:themeColor="text1"/>
          <w:lang w:val="es"/>
        </w:rPr>
      </w:pPr>
      <w:r w:rsidRPr="502784EB">
        <w:rPr>
          <w:rFonts w:ascii="Arial" w:eastAsia="Arial" w:hAnsi="Arial" w:cs="Arial"/>
          <w:color w:val="000000" w:themeColor="text1"/>
          <w:lang w:val="es"/>
        </w:rPr>
        <w:t>Al expresarse en intervalos de tiempo (variables categóricas), su exactitud se ha determinado entre 23 y 78%; en número de días (variable continua) con una subestimación de 86 días y sobreestimación de 93 días; como probabilidad, con un estadístico C que varía entre 0.74 y 0.78</w:t>
      </w:r>
      <w:r w:rsidR="602BD7BD" w:rsidRPr="502784EB">
        <w:rPr>
          <w:rFonts w:ascii="Arial" w:eastAsia="Arial" w:hAnsi="Arial" w:cs="Arial"/>
          <w:color w:val="000000" w:themeColor="text1"/>
          <w:lang w:val="es"/>
        </w:rPr>
        <w:t xml:space="preserve"> </w:t>
      </w:r>
      <w:r w:rsidRPr="502784EB">
        <w:rPr>
          <w:rFonts w:ascii="Arial" w:eastAsia="Arial" w:hAnsi="Arial" w:cs="Arial"/>
          <w:color w:val="000000" w:themeColor="text1"/>
          <w:lang w:val="es"/>
        </w:rPr>
        <w:t>(</w:t>
      </w:r>
      <w:r w:rsidR="292A98F0" w:rsidRPr="502784EB">
        <w:rPr>
          <w:rFonts w:ascii="Arial" w:eastAsia="Arial" w:hAnsi="Arial" w:cs="Arial"/>
          <w:color w:val="000000" w:themeColor="text1"/>
          <w:lang w:val="es"/>
        </w:rPr>
        <w:t>10</w:t>
      </w:r>
      <w:r w:rsidRPr="502784EB">
        <w:rPr>
          <w:rFonts w:ascii="Arial" w:eastAsia="Arial" w:hAnsi="Arial" w:cs="Arial"/>
          <w:color w:val="000000" w:themeColor="text1"/>
          <w:lang w:val="es"/>
        </w:rPr>
        <w:t>).</w:t>
      </w:r>
    </w:p>
    <w:p w14:paraId="035B8C13" w14:textId="34324FB4" w:rsidR="6968984F" w:rsidRDefault="60442AF1" w:rsidP="37FB81F5">
      <w:pPr>
        <w:spacing w:line="257" w:lineRule="auto"/>
        <w:jc w:val="both"/>
        <w:rPr>
          <w:rFonts w:ascii="Arial" w:eastAsia="Arial" w:hAnsi="Arial" w:cs="Arial"/>
          <w:color w:val="000000" w:themeColor="text1"/>
          <w:lang w:val="es-ES"/>
        </w:rPr>
      </w:pPr>
      <w:r w:rsidRPr="37FB81F5">
        <w:rPr>
          <w:rFonts w:ascii="Arial" w:eastAsia="Arial" w:hAnsi="Arial" w:cs="Arial"/>
          <w:color w:val="000000" w:themeColor="text1"/>
          <w:lang w:val="es-ES"/>
        </w:rPr>
        <w:t>Una forma de expresar este juicio clínico es mediante la denominada “pregunta sorpresa”, la cual expresa “Estaría sorprendido si este paciente falleciera durante el siguiente año (o el tiempo especificado)</w:t>
      </w:r>
      <w:proofErr w:type="gramStart"/>
      <w:r w:rsidRPr="37FB81F5">
        <w:rPr>
          <w:rFonts w:ascii="Arial" w:eastAsia="Arial" w:hAnsi="Arial" w:cs="Arial"/>
          <w:color w:val="000000" w:themeColor="text1"/>
          <w:lang w:val="es-ES"/>
        </w:rPr>
        <w:t>?</w:t>
      </w:r>
      <w:proofErr w:type="gramEnd"/>
      <w:r w:rsidRPr="37FB81F5">
        <w:rPr>
          <w:rFonts w:ascii="Arial" w:eastAsia="Arial" w:hAnsi="Arial" w:cs="Arial"/>
          <w:color w:val="000000" w:themeColor="text1"/>
          <w:lang w:val="es-ES"/>
        </w:rPr>
        <w:t xml:space="preserve">”. Esta pregunta debe responderse como “si” o “no”. Se ha determinado una exactitud de 75% para predecir aquellos pacientes que sobrevivirían más de un </w:t>
      </w:r>
      <w:proofErr w:type="gramStart"/>
      <w:r w:rsidRPr="37FB81F5">
        <w:rPr>
          <w:rFonts w:ascii="Arial" w:eastAsia="Arial" w:hAnsi="Arial" w:cs="Arial"/>
          <w:color w:val="000000" w:themeColor="text1"/>
          <w:lang w:val="es-ES"/>
        </w:rPr>
        <w:t>año(</w:t>
      </w:r>
      <w:proofErr w:type="gramEnd"/>
      <w:r w:rsidR="7E20BD1D" w:rsidRPr="37FB81F5">
        <w:rPr>
          <w:rFonts w:ascii="Arial" w:eastAsia="Arial" w:hAnsi="Arial" w:cs="Arial"/>
          <w:color w:val="000000" w:themeColor="text1"/>
          <w:lang w:val="es-ES"/>
        </w:rPr>
        <w:t>11</w:t>
      </w:r>
      <w:r w:rsidRPr="37FB81F5">
        <w:rPr>
          <w:rFonts w:ascii="Arial" w:eastAsia="Arial" w:hAnsi="Arial" w:cs="Arial"/>
          <w:color w:val="000000" w:themeColor="text1"/>
          <w:lang w:val="es-ES"/>
        </w:rPr>
        <w:t>). Sin embargo su valor predictivo positivo (PPV) para identificar aquellos pacientes que fallecerían dentro del siguiente año es del 33%.</w:t>
      </w:r>
    </w:p>
    <w:p w14:paraId="2E753ED7" w14:textId="709DAA6A" w:rsidR="080AB871" w:rsidRDefault="080AB871" w:rsidP="6968984F">
      <w:pPr>
        <w:spacing w:line="257" w:lineRule="auto"/>
        <w:jc w:val="both"/>
        <w:rPr>
          <w:rFonts w:ascii="Arial" w:eastAsia="Arial" w:hAnsi="Arial" w:cs="Arial"/>
          <w:b/>
          <w:bCs/>
          <w:color w:val="000000" w:themeColor="text1"/>
          <w:lang w:val="en-US"/>
        </w:rPr>
      </w:pPr>
      <w:proofErr w:type="spellStart"/>
      <w:r w:rsidRPr="6968984F">
        <w:rPr>
          <w:rFonts w:ascii="Arial" w:eastAsia="Arial" w:hAnsi="Arial" w:cs="Arial"/>
          <w:b/>
          <w:bCs/>
          <w:color w:val="000000" w:themeColor="text1"/>
          <w:lang w:val="en-US"/>
        </w:rPr>
        <w:t>Estatus</w:t>
      </w:r>
      <w:proofErr w:type="spellEnd"/>
      <w:r w:rsidRPr="6968984F">
        <w:rPr>
          <w:rFonts w:ascii="Arial" w:eastAsia="Arial" w:hAnsi="Arial" w:cs="Arial"/>
          <w:b/>
          <w:bCs/>
          <w:color w:val="000000" w:themeColor="text1"/>
          <w:lang w:val="en-US"/>
        </w:rPr>
        <w:t xml:space="preserve"> </w:t>
      </w:r>
      <w:proofErr w:type="spellStart"/>
      <w:r w:rsidRPr="6968984F">
        <w:rPr>
          <w:rFonts w:ascii="Arial" w:eastAsia="Arial" w:hAnsi="Arial" w:cs="Arial"/>
          <w:b/>
          <w:bCs/>
          <w:color w:val="000000" w:themeColor="text1"/>
          <w:lang w:val="en-US"/>
        </w:rPr>
        <w:t>funcional</w:t>
      </w:r>
      <w:proofErr w:type="spellEnd"/>
    </w:p>
    <w:p w14:paraId="271A87AB" w14:textId="16169B60" w:rsidR="080AB871" w:rsidRDefault="080AB871" w:rsidP="6968984F">
      <w:pPr>
        <w:spacing w:line="257" w:lineRule="auto"/>
        <w:jc w:val="both"/>
        <w:rPr>
          <w:rFonts w:ascii="Arial" w:eastAsia="Arial" w:hAnsi="Arial" w:cs="Arial"/>
          <w:b/>
          <w:bCs/>
          <w:color w:val="000000" w:themeColor="text1"/>
          <w:lang w:val="en-US"/>
        </w:rPr>
      </w:pPr>
      <w:r w:rsidRPr="6968984F">
        <w:rPr>
          <w:rFonts w:ascii="Arial" w:eastAsia="Arial" w:hAnsi="Arial" w:cs="Arial"/>
          <w:b/>
          <w:bCs/>
          <w:color w:val="000000" w:themeColor="text1"/>
          <w:lang w:val="en-US"/>
        </w:rPr>
        <w:t>Eastern Cooperative Oncology Group (ECOG)</w:t>
      </w:r>
    </w:p>
    <w:p w14:paraId="77EF7F24" w14:textId="28F1C98B" w:rsidR="080AB871" w:rsidRDefault="6C95519D" w:rsidP="6968984F">
      <w:pPr>
        <w:spacing w:line="257" w:lineRule="auto"/>
        <w:jc w:val="both"/>
        <w:rPr>
          <w:rFonts w:ascii="Arial" w:eastAsia="Arial" w:hAnsi="Arial" w:cs="Arial"/>
          <w:color w:val="000000" w:themeColor="text1"/>
          <w:lang w:val="es-ES"/>
        </w:rPr>
      </w:pPr>
      <w:r w:rsidRPr="502784EB">
        <w:rPr>
          <w:rFonts w:ascii="Arial" w:eastAsia="Arial" w:hAnsi="Arial" w:cs="Arial"/>
          <w:color w:val="000000" w:themeColor="text1"/>
          <w:lang w:val="es-ES"/>
        </w:rPr>
        <w:t xml:space="preserve">La escala ECOG </w:t>
      </w:r>
      <w:r w:rsidR="0C0427D3" w:rsidRPr="502784EB">
        <w:rPr>
          <w:rFonts w:ascii="Arial" w:eastAsia="Arial" w:hAnsi="Arial" w:cs="Arial"/>
          <w:color w:val="000000" w:themeColor="text1"/>
          <w:lang w:val="es-ES"/>
        </w:rPr>
        <w:t xml:space="preserve">(Anexo 3) </w:t>
      </w:r>
      <w:r w:rsidRPr="502784EB">
        <w:rPr>
          <w:rFonts w:ascii="Arial" w:eastAsia="Arial" w:hAnsi="Arial" w:cs="Arial"/>
          <w:color w:val="000000" w:themeColor="text1"/>
          <w:lang w:val="es-ES"/>
        </w:rPr>
        <w:t xml:space="preserve">clasifica a los pacientes con cáncer </w:t>
      </w:r>
      <w:r w:rsidR="4AEEDADF" w:rsidRPr="502784EB">
        <w:rPr>
          <w:rFonts w:ascii="Arial" w:eastAsia="Arial" w:hAnsi="Arial" w:cs="Arial"/>
          <w:color w:val="000000" w:themeColor="text1"/>
          <w:lang w:val="es-ES"/>
        </w:rPr>
        <w:t>de acuerdo con</w:t>
      </w:r>
      <w:r w:rsidRPr="502784EB">
        <w:rPr>
          <w:rFonts w:ascii="Arial" w:eastAsia="Arial" w:hAnsi="Arial" w:cs="Arial"/>
          <w:color w:val="000000" w:themeColor="text1"/>
          <w:lang w:val="es-ES"/>
        </w:rPr>
        <w:t xml:space="preserve"> su funcionalidad y capacidad de autocuidado en 5 categorías, que van desde la capacidad total de autocuidado (ECOG 0) hasta la dependencia funcional total (ECO</w:t>
      </w:r>
      <w:r w:rsidR="46A89887" w:rsidRPr="502784EB">
        <w:rPr>
          <w:rFonts w:ascii="Arial" w:eastAsia="Arial" w:hAnsi="Arial" w:cs="Arial"/>
          <w:color w:val="000000" w:themeColor="text1"/>
          <w:lang w:val="es-ES"/>
        </w:rPr>
        <w:t>G</w:t>
      </w:r>
      <w:r w:rsidRPr="502784EB">
        <w:rPr>
          <w:rFonts w:ascii="Arial" w:eastAsia="Arial" w:hAnsi="Arial" w:cs="Arial"/>
          <w:color w:val="000000" w:themeColor="text1"/>
          <w:lang w:val="es-ES"/>
        </w:rPr>
        <w:t xml:space="preserve"> 4). Se trata de una escala que ha sido usada tradicionalmente en oncología para determinar la elegibilidad de un paciente para recibir tratamiento sistémico, dado que se correlaciona </w:t>
      </w:r>
      <w:r w:rsidRPr="502784EB">
        <w:rPr>
          <w:rFonts w:ascii="Arial" w:eastAsia="Arial" w:hAnsi="Arial" w:cs="Arial"/>
          <w:color w:val="000000" w:themeColor="text1"/>
          <w:lang w:val="es-ES"/>
        </w:rPr>
        <w:lastRenderedPageBreak/>
        <w:t>con la toxicidad y tolerancia al tratamiento. Así mismo, se ha asociado con diversos desenlaces clínicos como respuesta al tratamiento, calidad de vida, riesgo de hospitalizaciones y mortalidad.</w:t>
      </w:r>
    </w:p>
    <w:p w14:paraId="14DF8789" w14:textId="56147303" w:rsidR="080AB871" w:rsidRDefault="3CAC4B5F" w:rsidP="502784EB">
      <w:pPr>
        <w:tabs>
          <w:tab w:val="left" w:pos="720"/>
        </w:tabs>
        <w:spacing w:line="257" w:lineRule="auto"/>
        <w:jc w:val="both"/>
        <w:rPr>
          <w:rFonts w:ascii="Arial" w:eastAsia="Arial" w:hAnsi="Arial" w:cs="Arial"/>
          <w:color w:val="000000" w:themeColor="text1"/>
        </w:rPr>
      </w:pPr>
      <w:r w:rsidRPr="502784EB">
        <w:rPr>
          <w:rFonts w:ascii="Arial" w:eastAsia="Arial" w:hAnsi="Arial" w:cs="Arial"/>
          <w:color w:val="000000" w:themeColor="text1"/>
          <w:lang w:val="es"/>
        </w:rPr>
        <w:t xml:space="preserve">Se ha analizado la asociación entre el puntaje en el ECOG y el riesgo de mortalidad en diversos pacientes con cáncer, evidenciando un mayor riesgo entre mayor es el </w:t>
      </w:r>
      <w:r w:rsidR="66D5FB32" w:rsidRPr="502784EB">
        <w:rPr>
          <w:rFonts w:ascii="Arial" w:eastAsia="Arial" w:hAnsi="Arial" w:cs="Arial"/>
          <w:color w:val="000000" w:themeColor="text1"/>
          <w:lang w:val="es"/>
        </w:rPr>
        <w:t>puntaje. (</w:t>
      </w:r>
      <w:r w:rsidR="0C5EAD5A" w:rsidRPr="502784EB">
        <w:rPr>
          <w:rFonts w:ascii="Arial" w:eastAsia="Arial" w:hAnsi="Arial" w:cs="Arial"/>
          <w:color w:val="000000" w:themeColor="text1"/>
          <w:lang w:val="es"/>
        </w:rPr>
        <w:t>12</w:t>
      </w:r>
      <w:r w:rsidRPr="502784EB">
        <w:rPr>
          <w:rFonts w:ascii="Arial" w:eastAsia="Arial" w:hAnsi="Arial" w:cs="Arial"/>
          <w:color w:val="000000" w:themeColor="text1"/>
          <w:lang w:val="es"/>
        </w:rPr>
        <w:t xml:space="preserve">) Específicamente, los pacientes con </w:t>
      </w:r>
      <w:r w:rsidRPr="502784EB">
        <w:rPr>
          <w:rFonts w:ascii="Arial" w:eastAsia="Arial" w:hAnsi="Arial" w:cs="Arial"/>
          <w:color w:val="000000" w:themeColor="text1"/>
        </w:rPr>
        <w:t xml:space="preserve">ECOG PS 1 presentan </w:t>
      </w:r>
      <w:proofErr w:type="spellStart"/>
      <w:r w:rsidRPr="502784EB">
        <w:rPr>
          <w:rFonts w:ascii="Arial" w:eastAsia="Arial" w:hAnsi="Arial" w:cs="Arial"/>
          <w:color w:val="000000" w:themeColor="text1"/>
        </w:rPr>
        <w:t>aHR</w:t>
      </w:r>
      <w:proofErr w:type="spellEnd"/>
      <w:r w:rsidRPr="502784EB">
        <w:rPr>
          <w:rFonts w:ascii="Arial" w:eastAsia="Arial" w:hAnsi="Arial" w:cs="Arial"/>
          <w:color w:val="000000" w:themeColor="text1"/>
        </w:rPr>
        <w:t xml:space="preserve"> para mortalidad a 6 meses de 2.25 (IC 95%: 2.09–2.41), los de ECOG PS 2 tienen </w:t>
      </w:r>
      <w:proofErr w:type="spellStart"/>
      <w:r w:rsidRPr="502784EB">
        <w:rPr>
          <w:rFonts w:ascii="Arial" w:eastAsia="Arial" w:hAnsi="Arial" w:cs="Arial"/>
          <w:color w:val="000000" w:themeColor="text1"/>
        </w:rPr>
        <w:t>aHR</w:t>
      </w:r>
      <w:proofErr w:type="spellEnd"/>
      <w:r w:rsidRPr="502784EB">
        <w:rPr>
          <w:rFonts w:ascii="Arial" w:eastAsia="Arial" w:hAnsi="Arial" w:cs="Arial"/>
          <w:color w:val="000000" w:themeColor="text1"/>
        </w:rPr>
        <w:t xml:space="preserve"> = 4.73 (IC 95%: 4.34–5.14) y los de ECOG PS 3–4: </w:t>
      </w:r>
      <w:proofErr w:type="spellStart"/>
      <w:r w:rsidRPr="502784EB">
        <w:rPr>
          <w:rFonts w:ascii="Arial" w:eastAsia="Arial" w:hAnsi="Arial" w:cs="Arial"/>
          <w:color w:val="000000" w:themeColor="text1"/>
        </w:rPr>
        <w:t>aHR</w:t>
      </w:r>
      <w:proofErr w:type="spellEnd"/>
      <w:r w:rsidRPr="502784EB">
        <w:rPr>
          <w:rFonts w:ascii="Arial" w:eastAsia="Arial" w:hAnsi="Arial" w:cs="Arial"/>
          <w:color w:val="000000" w:themeColor="text1"/>
        </w:rPr>
        <w:t xml:space="preserve"> = 7.34 (IC 95%: 6.64–8.11). </w:t>
      </w:r>
    </w:p>
    <w:p w14:paraId="477E2D8F" w14:textId="63158DC4" w:rsidR="080AB871" w:rsidRDefault="080AB871" w:rsidP="6968984F">
      <w:pPr>
        <w:tabs>
          <w:tab w:val="left" w:pos="0"/>
          <w:tab w:val="left" w:pos="720"/>
        </w:tabs>
        <w:spacing w:line="257" w:lineRule="auto"/>
        <w:jc w:val="both"/>
        <w:rPr>
          <w:rFonts w:ascii="Arial" w:eastAsia="Arial" w:hAnsi="Arial" w:cs="Arial"/>
          <w:b/>
          <w:bCs/>
          <w:color w:val="000000" w:themeColor="text1"/>
        </w:rPr>
      </w:pPr>
      <w:proofErr w:type="spellStart"/>
      <w:r w:rsidRPr="6968984F">
        <w:rPr>
          <w:rFonts w:ascii="Arial" w:eastAsia="Arial" w:hAnsi="Arial" w:cs="Arial"/>
          <w:b/>
          <w:bCs/>
          <w:color w:val="000000" w:themeColor="text1"/>
        </w:rPr>
        <w:t>Karnofsky</w:t>
      </w:r>
      <w:proofErr w:type="spellEnd"/>
      <w:r w:rsidRPr="6968984F">
        <w:rPr>
          <w:rFonts w:ascii="Arial" w:eastAsia="Arial" w:hAnsi="Arial" w:cs="Arial"/>
          <w:b/>
          <w:bCs/>
          <w:color w:val="000000" w:themeColor="text1"/>
        </w:rPr>
        <w:t xml:space="preserve"> Performance </w:t>
      </w:r>
      <w:proofErr w:type="spellStart"/>
      <w:r w:rsidRPr="6968984F">
        <w:rPr>
          <w:rFonts w:ascii="Arial" w:eastAsia="Arial" w:hAnsi="Arial" w:cs="Arial"/>
          <w:b/>
          <w:bCs/>
          <w:color w:val="000000" w:themeColor="text1"/>
        </w:rPr>
        <w:t>Scale</w:t>
      </w:r>
      <w:proofErr w:type="spellEnd"/>
      <w:r w:rsidRPr="6968984F">
        <w:rPr>
          <w:rFonts w:ascii="Arial" w:eastAsia="Arial" w:hAnsi="Arial" w:cs="Arial"/>
          <w:b/>
          <w:bCs/>
          <w:color w:val="000000" w:themeColor="text1"/>
        </w:rPr>
        <w:t xml:space="preserve"> (KPS)</w:t>
      </w:r>
    </w:p>
    <w:p w14:paraId="08CC2AB7" w14:textId="587D0FCA" w:rsidR="080AB871" w:rsidRDefault="3CAC4B5F" w:rsidP="502784EB">
      <w:pPr>
        <w:tabs>
          <w:tab w:val="left" w:pos="720"/>
        </w:tabs>
        <w:spacing w:line="257" w:lineRule="auto"/>
        <w:jc w:val="both"/>
        <w:rPr>
          <w:rFonts w:ascii="Arial" w:eastAsia="Arial" w:hAnsi="Arial" w:cs="Arial"/>
          <w:color w:val="000000" w:themeColor="text1"/>
        </w:rPr>
      </w:pPr>
      <w:r w:rsidRPr="502784EB">
        <w:rPr>
          <w:rFonts w:ascii="Arial" w:eastAsia="Arial" w:hAnsi="Arial" w:cs="Arial"/>
          <w:color w:val="000000" w:themeColor="text1"/>
        </w:rPr>
        <w:t xml:space="preserve">La escala de </w:t>
      </w:r>
      <w:proofErr w:type="spellStart"/>
      <w:r w:rsidRPr="502784EB">
        <w:rPr>
          <w:rFonts w:ascii="Arial" w:eastAsia="Arial" w:hAnsi="Arial" w:cs="Arial"/>
          <w:color w:val="000000" w:themeColor="text1"/>
        </w:rPr>
        <w:t>Karnofsky</w:t>
      </w:r>
      <w:proofErr w:type="spellEnd"/>
      <w:r w:rsidRPr="502784EB">
        <w:rPr>
          <w:rFonts w:ascii="Arial" w:eastAsia="Arial" w:hAnsi="Arial" w:cs="Arial"/>
          <w:color w:val="000000" w:themeColor="text1"/>
        </w:rPr>
        <w:t xml:space="preserve"> </w:t>
      </w:r>
      <w:r w:rsidR="71C3CAEB" w:rsidRPr="502784EB">
        <w:rPr>
          <w:rFonts w:ascii="Arial" w:eastAsia="Arial" w:hAnsi="Arial" w:cs="Arial"/>
          <w:color w:val="000000" w:themeColor="text1"/>
        </w:rPr>
        <w:t xml:space="preserve">(Anexo 4) </w:t>
      </w:r>
      <w:r w:rsidRPr="502784EB">
        <w:rPr>
          <w:rFonts w:ascii="Arial" w:eastAsia="Arial" w:hAnsi="Arial" w:cs="Arial"/>
          <w:color w:val="000000" w:themeColor="text1"/>
        </w:rPr>
        <w:t xml:space="preserve">evalúa la funcionalidad y necesidad de asistencia de los pacientes con cáncer. La puntuación se indica en </w:t>
      </w:r>
      <w:r w:rsidR="7A5B48A9" w:rsidRPr="502784EB">
        <w:rPr>
          <w:rFonts w:ascii="Arial" w:eastAsia="Arial" w:hAnsi="Arial" w:cs="Arial"/>
          <w:color w:val="000000" w:themeColor="text1"/>
        </w:rPr>
        <w:t>intervalos</w:t>
      </w:r>
      <w:r w:rsidRPr="502784EB">
        <w:rPr>
          <w:rFonts w:ascii="Arial" w:eastAsia="Arial" w:hAnsi="Arial" w:cs="Arial"/>
          <w:color w:val="000000" w:themeColor="text1"/>
        </w:rPr>
        <w:t xml:space="preserve"> de 10% de 0 a 100%, donde 100% implica independencia funcional y salud total, y 0% indica muerte. Esta escala ha sido utilizada para estimar supervivencia en diversos escenarios clínicos. Un menor puntaje en el KPS indica una menor supervivencia.</w:t>
      </w:r>
    </w:p>
    <w:p w14:paraId="0DDBA497" w14:textId="7BB0569E" w:rsidR="080AB871" w:rsidRDefault="080AB871" w:rsidP="6968984F">
      <w:pPr>
        <w:tabs>
          <w:tab w:val="left" w:pos="0"/>
          <w:tab w:val="left" w:pos="720"/>
        </w:tabs>
        <w:spacing w:line="257" w:lineRule="auto"/>
        <w:jc w:val="both"/>
        <w:rPr>
          <w:rFonts w:ascii="Arial" w:eastAsia="Arial" w:hAnsi="Arial" w:cs="Arial"/>
          <w:color w:val="000000" w:themeColor="text1"/>
        </w:rPr>
      </w:pPr>
      <w:r w:rsidRPr="6968984F">
        <w:rPr>
          <w:rFonts w:ascii="Arial" w:eastAsia="Arial" w:hAnsi="Arial" w:cs="Arial"/>
          <w:color w:val="000000" w:themeColor="text1"/>
        </w:rPr>
        <w:t xml:space="preserve">En el caso específico del cáncer de seno, un puntaje en el KPS menor o igual a 60% se asocia con una menor supervivencia global, tanto en el análisis </w:t>
      </w:r>
      <w:proofErr w:type="spellStart"/>
      <w:r w:rsidRPr="6968984F">
        <w:rPr>
          <w:rFonts w:ascii="Arial" w:eastAsia="Arial" w:hAnsi="Arial" w:cs="Arial"/>
          <w:color w:val="000000" w:themeColor="text1"/>
        </w:rPr>
        <w:t>univariable</w:t>
      </w:r>
      <w:proofErr w:type="spellEnd"/>
      <w:r w:rsidRPr="6968984F">
        <w:rPr>
          <w:rFonts w:ascii="Arial" w:eastAsia="Arial" w:hAnsi="Arial" w:cs="Arial"/>
          <w:color w:val="000000" w:themeColor="text1"/>
        </w:rPr>
        <w:t xml:space="preserve"> (HR 3.12, 95% CI 1.85-5.26) como en el </w:t>
      </w:r>
      <w:proofErr w:type="spellStart"/>
      <w:r w:rsidRPr="6968984F">
        <w:rPr>
          <w:rFonts w:ascii="Arial" w:eastAsia="Arial" w:hAnsi="Arial" w:cs="Arial"/>
          <w:color w:val="000000" w:themeColor="text1"/>
        </w:rPr>
        <w:t>multivariable</w:t>
      </w:r>
      <w:proofErr w:type="spellEnd"/>
      <w:r w:rsidRPr="6968984F">
        <w:rPr>
          <w:rFonts w:ascii="Arial" w:eastAsia="Arial" w:hAnsi="Arial" w:cs="Arial"/>
          <w:color w:val="000000" w:themeColor="text1"/>
        </w:rPr>
        <w:t xml:space="preserve"> (HR 2.95, 95% CI 1.55-5.58) (</w:t>
      </w:r>
      <w:r w:rsidR="245774BE" w:rsidRPr="6968984F">
        <w:rPr>
          <w:rFonts w:ascii="Arial" w:eastAsia="Arial" w:hAnsi="Arial" w:cs="Arial"/>
          <w:color w:val="000000" w:themeColor="text1"/>
        </w:rPr>
        <w:t>13</w:t>
      </w:r>
      <w:r w:rsidRPr="6968984F">
        <w:rPr>
          <w:rFonts w:ascii="Arial" w:eastAsia="Arial" w:hAnsi="Arial" w:cs="Arial"/>
          <w:color w:val="000000" w:themeColor="text1"/>
        </w:rPr>
        <w:t>).</w:t>
      </w:r>
    </w:p>
    <w:p w14:paraId="7DA8B6E0" w14:textId="12591B7B" w:rsidR="080AB871" w:rsidRDefault="080AB871" w:rsidP="6968984F">
      <w:pPr>
        <w:spacing w:line="257" w:lineRule="auto"/>
        <w:jc w:val="both"/>
        <w:rPr>
          <w:rFonts w:ascii="Arial" w:eastAsia="Arial" w:hAnsi="Arial" w:cs="Arial"/>
          <w:b/>
          <w:bCs/>
          <w:color w:val="000000" w:themeColor="text1"/>
          <w:lang w:val="es"/>
        </w:rPr>
      </w:pPr>
      <w:r w:rsidRPr="6968984F">
        <w:rPr>
          <w:rFonts w:ascii="Arial" w:eastAsia="Arial" w:hAnsi="Arial" w:cs="Arial"/>
          <w:b/>
          <w:bCs/>
          <w:color w:val="000000" w:themeColor="text1"/>
          <w:lang w:val="es"/>
        </w:rPr>
        <w:t>Marcadores de respuesta inflamatoria sistémica</w:t>
      </w:r>
    </w:p>
    <w:p w14:paraId="678E761D" w14:textId="3232DBBE" w:rsidR="080AB871" w:rsidRDefault="6C95519D" w:rsidP="6968984F">
      <w:pPr>
        <w:spacing w:line="257" w:lineRule="auto"/>
        <w:jc w:val="both"/>
        <w:rPr>
          <w:rFonts w:ascii="Arial" w:eastAsia="Arial" w:hAnsi="Arial" w:cs="Arial"/>
          <w:color w:val="000000" w:themeColor="text1"/>
        </w:rPr>
      </w:pPr>
      <w:r w:rsidRPr="502784EB">
        <w:rPr>
          <w:rFonts w:ascii="Arial" w:eastAsia="Arial" w:hAnsi="Arial" w:cs="Arial"/>
          <w:color w:val="000000" w:themeColor="text1"/>
          <w:lang w:val="es"/>
        </w:rPr>
        <w:t xml:space="preserve">Los marcadores de respuesta inflamatoria sistémica han sido incorporados al Glasgow </w:t>
      </w:r>
      <w:proofErr w:type="spellStart"/>
      <w:r w:rsidRPr="502784EB">
        <w:rPr>
          <w:rFonts w:ascii="Arial" w:eastAsia="Arial" w:hAnsi="Arial" w:cs="Arial"/>
          <w:color w:val="000000" w:themeColor="text1"/>
          <w:lang w:val="es"/>
        </w:rPr>
        <w:t>Prognostic</w:t>
      </w:r>
      <w:proofErr w:type="spellEnd"/>
      <w:r w:rsidRPr="502784EB">
        <w:rPr>
          <w:rFonts w:ascii="Arial" w:eastAsia="Arial" w:hAnsi="Arial" w:cs="Arial"/>
          <w:color w:val="000000" w:themeColor="text1"/>
          <w:lang w:val="es"/>
        </w:rPr>
        <w:t xml:space="preserve"> Score (GPS), el cual combina los niveles de proteína C reactiva (PCR) con los niveles de albúmina. Se ha realizado una modificación de la escala original (</w:t>
      </w:r>
      <w:proofErr w:type="spellStart"/>
      <w:r w:rsidRPr="502784EB">
        <w:rPr>
          <w:rFonts w:ascii="Arial" w:eastAsia="Arial" w:hAnsi="Arial" w:cs="Arial"/>
          <w:color w:val="000000" w:themeColor="text1"/>
          <w:lang w:val="es"/>
        </w:rPr>
        <w:t>mGPS</w:t>
      </w:r>
      <w:proofErr w:type="spellEnd"/>
      <w:r w:rsidRPr="502784EB">
        <w:rPr>
          <w:rFonts w:ascii="Arial" w:eastAsia="Arial" w:hAnsi="Arial" w:cs="Arial"/>
          <w:color w:val="000000" w:themeColor="text1"/>
          <w:lang w:val="es"/>
        </w:rPr>
        <w:t xml:space="preserve">), la cual da un mayor peso a los niveles de PCR.  Se ha demostrado una asociación entre el GPS y el </w:t>
      </w:r>
      <w:proofErr w:type="spellStart"/>
      <w:r w:rsidRPr="502784EB">
        <w:rPr>
          <w:rFonts w:ascii="Arial" w:eastAsia="Arial" w:hAnsi="Arial" w:cs="Arial"/>
          <w:color w:val="000000" w:themeColor="text1"/>
          <w:lang w:val="es"/>
        </w:rPr>
        <w:t>mGPS</w:t>
      </w:r>
      <w:proofErr w:type="spellEnd"/>
      <w:r w:rsidRPr="502784EB">
        <w:rPr>
          <w:rFonts w:ascii="Arial" w:eastAsia="Arial" w:hAnsi="Arial" w:cs="Arial"/>
          <w:color w:val="000000" w:themeColor="text1"/>
          <w:lang w:val="es"/>
        </w:rPr>
        <w:t xml:space="preserve"> y la supervivencia en pacientes con cáncer </w:t>
      </w:r>
      <w:r w:rsidR="6ADDAB83" w:rsidRPr="502784EB">
        <w:rPr>
          <w:rFonts w:ascii="Arial" w:eastAsia="Arial" w:hAnsi="Arial" w:cs="Arial"/>
          <w:color w:val="000000" w:themeColor="text1"/>
          <w:lang w:val="es"/>
        </w:rPr>
        <w:t>avanzado (</w:t>
      </w:r>
      <w:r w:rsidRPr="502784EB">
        <w:rPr>
          <w:rFonts w:ascii="Arial" w:eastAsia="Arial" w:hAnsi="Arial" w:cs="Arial"/>
          <w:color w:val="000000" w:themeColor="text1"/>
          <w:lang w:val="es"/>
        </w:rPr>
        <w:t>HR</w:t>
      </w:r>
      <w:r w:rsidRPr="502784EB">
        <w:rPr>
          <w:rFonts w:ascii="Arial" w:eastAsia="Arial" w:hAnsi="Arial" w:cs="Arial"/>
          <w:color w:val="000000" w:themeColor="text1"/>
        </w:rPr>
        <w:t xml:space="preserve"> 1.93, intervalo de confianza 95% (CI) 1.76-2.13, P &lt; 0.00001</w:t>
      </w:r>
      <w:proofErr w:type="gramStart"/>
      <w:r w:rsidRPr="502784EB">
        <w:rPr>
          <w:rFonts w:ascii="Arial" w:eastAsia="Arial" w:hAnsi="Arial" w:cs="Arial"/>
          <w:color w:val="000000" w:themeColor="text1"/>
        </w:rPr>
        <w:t>)(</w:t>
      </w:r>
      <w:proofErr w:type="gramEnd"/>
      <w:r w:rsidR="77ABC9C4" w:rsidRPr="502784EB">
        <w:rPr>
          <w:rFonts w:ascii="Arial" w:eastAsia="Arial" w:hAnsi="Arial" w:cs="Arial"/>
          <w:color w:val="000000" w:themeColor="text1"/>
        </w:rPr>
        <w:t>14</w:t>
      </w:r>
      <w:r w:rsidRPr="502784EB">
        <w:rPr>
          <w:rFonts w:ascii="Arial" w:eastAsia="Arial" w:hAnsi="Arial" w:cs="Arial"/>
          <w:color w:val="000000" w:themeColor="text1"/>
        </w:rPr>
        <w:t>).</w:t>
      </w:r>
    </w:p>
    <w:p w14:paraId="2A78292B" w14:textId="25537C33" w:rsidR="080AB871" w:rsidRDefault="080AB871" w:rsidP="6968984F">
      <w:pPr>
        <w:spacing w:line="257" w:lineRule="auto"/>
        <w:jc w:val="both"/>
        <w:rPr>
          <w:rFonts w:ascii="Arial" w:eastAsia="Arial" w:hAnsi="Arial" w:cs="Arial"/>
          <w:b/>
          <w:bCs/>
          <w:color w:val="000000" w:themeColor="text1"/>
          <w:lang w:val="es"/>
        </w:rPr>
      </w:pPr>
      <w:r w:rsidRPr="6968984F">
        <w:rPr>
          <w:rFonts w:ascii="Arial" w:eastAsia="Arial" w:hAnsi="Arial" w:cs="Arial"/>
          <w:b/>
          <w:bCs/>
          <w:color w:val="000000" w:themeColor="text1"/>
          <w:lang w:val="es"/>
        </w:rPr>
        <w:t xml:space="preserve">Herramientas </w:t>
      </w:r>
      <w:proofErr w:type="spellStart"/>
      <w:r w:rsidRPr="6968984F">
        <w:rPr>
          <w:rFonts w:ascii="Arial" w:eastAsia="Arial" w:hAnsi="Arial" w:cs="Arial"/>
          <w:b/>
          <w:bCs/>
          <w:color w:val="000000" w:themeColor="text1"/>
          <w:lang w:val="es"/>
        </w:rPr>
        <w:t>pronósticas</w:t>
      </w:r>
      <w:proofErr w:type="spellEnd"/>
    </w:p>
    <w:p w14:paraId="44639AC9" w14:textId="135FD764" w:rsidR="080AB871" w:rsidRDefault="080AB871" w:rsidP="6968984F">
      <w:pPr>
        <w:spacing w:line="257" w:lineRule="auto"/>
        <w:jc w:val="both"/>
        <w:rPr>
          <w:rFonts w:ascii="Arial" w:eastAsia="Arial" w:hAnsi="Arial" w:cs="Arial"/>
          <w:b/>
          <w:bCs/>
          <w:color w:val="000000" w:themeColor="text1"/>
          <w:lang w:val="es-ES"/>
        </w:rPr>
      </w:pPr>
      <w:proofErr w:type="spellStart"/>
      <w:r w:rsidRPr="6968984F">
        <w:rPr>
          <w:rFonts w:ascii="Arial" w:eastAsia="Arial" w:hAnsi="Arial" w:cs="Arial"/>
          <w:b/>
          <w:bCs/>
          <w:color w:val="000000" w:themeColor="text1"/>
          <w:lang w:val="es-ES"/>
        </w:rPr>
        <w:t>Palliative</w:t>
      </w:r>
      <w:proofErr w:type="spellEnd"/>
      <w:r w:rsidRPr="6968984F">
        <w:rPr>
          <w:rFonts w:ascii="Arial" w:eastAsia="Arial" w:hAnsi="Arial" w:cs="Arial"/>
          <w:b/>
          <w:bCs/>
          <w:color w:val="000000" w:themeColor="text1"/>
          <w:lang w:val="es-ES"/>
        </w:rPr>
        <w:t xml:space="preserve"> Performance </w:t>
      </w:r>
      <w:proofErr w:type="spellStart"/>
      <w:r w:rsidRPr="6968984F">
        <w:rPr>
          <w:rFonts w:ascii="Arial" w:eastAsia="Arial" w:hAnsi="Arial" w:cs="Arial"/>
          <w:b/>
          <w:bCs/>
          <w:color w:val="000000" w:themeColor="text1"/>
          <w:lang w:val="es-ES"/>
        </w:rPr>
        <w:t>Scale</w:t>
      </w:r>
      <w:proofErr w:type="spellEnd"/>
      <w:r w:rsidRPr="6968984F">
        <w:rPr>
          <w:rFonts w:ascii="Arial" w:eastAsia="Arial" w:hAnsi="Arial" w:cs="Arial"/>
          <w:b/>
          <w:bCs/>
          <w:color w:val="000000" w:themeColor="text1"/>
          <w:lang w:val="es-ES"/>
        </w:rPr>
        <w:t xml:space="preserve"> (PPS)</w:t>
      </w:r>
    </w:p>
    <w:p w14:paraId="558256BE" w14:textId="17CEDCEB" w:rsidR="080AB871" w:rsidRDefault="3CAC4B5F" w:rsidP="6968984F">
      <w:pPr>
        <w:spacing w:line="257" w:lineRule="auto"/>
        <w:jc w:val="both"/>
        <w:rPr>
          <w:rFonts w:ascii="Arial" w:eastAsia="Arial" w:hAnsi="Arial" w:cs="Arial"/>
          <w:color w:val="000000" w:themeColor="text1"/>
          <w:lang w:val="es-ES"/>
        </w:rPr>
      </w:pPr>
      <w:r w:rsidRPr="502784EB">
        <w:rPr>
          <w:rFonts w:ascii="Arial" w:eastAsia="Arial" w:hAnsi="Arial" w:cs="Arial"/>
          <w:color w:val="000000" w:themeColor="text1"/>
          <w:lang w:val="es-ES"/>
        </w:rPr>
        <w:t xml:space="preserve">La </w:t>
      </w:r>
      <w:proofErr w:type="spellStart"/>
      <w:r w:rsidRPr="502784EB">
        <w:rPr>
          <w:rFonts w:ascii="Arial" w:eastAsia="Arial" w:hAnsi="Arial" w:cs="Arial"/>
          <w:color w:val="000000" w:themeColor="text1"/>
          <w:lang w:val="es-ES"/>
        </w:rPr>
        <w:t>Palliative</w:t>
      </w:r>
      <w:proofErr w:type="spellEnd"/>
      <w:r w:rsidRPr="502784EB">
        <w:rPr>
          <w:rFonts w:ascii="Arial" w:eastAsia="Arial" w:hAnsi="Arial" w:cs="Arial"/>
          <w:color w:val="000000" w:themeColor="text1"/>
          <w:lang w:val="es-ES"/>
        </w:rPr>
        <w:t xml:space="preserve"> Performance </w:t>
      </w:r>
      <w:proofErr w:type="spellStart"/>
      <w:r w:rsidRPr="502784EB">
        <w:rPr>
          <w:rFonts w:ascii="Arial" w:eastAsia="Arial" w:hAnsi="Arial" w:cs="Arial"/>
          <w:color w:val="000000" w:themeColor="text1"/>
          <w:lang w:val="es-ES"/>
        </w:rPr>
        <w:t>Scale</w:t>
      </w:r>
      <w:proofErr w:type="spellEnd"/>
      <w:r w:rsidRPr="502784EB">
        <w:rPr>
          <w:rFonts w:ascii="Arial" w:eastAsia="Arial" w:hAnsi="Arial" w:cs="Arial"/>
          <w:color w:val="000000" w:themeColor="text1"/>
          <w:lang w:val="es-ES"/>
        </w:rPr>
        <w:t xml:space="preserve"> (PPS)</w:t>
      </w:r>
      <w:r w:rsidR="2FC032FE" w:rsidRPr="502784EB">
        <w:rPr>
          <w:rFonts w:ascii="Arial" w:eastAsia="Arial" w:hAnsi="Arial" w:cs="Arial"/>
          <w:color w:val="000000" w:themeColor="text1"/>
          <w:lang w:val="es-ES"/>
        </w:rPr>
        <w:t xml:space="preserve"> (Anexo 5)</w:t>
      </w:r>
      <w:r w:rsidRPr="502784EB">
        <w:rPr>
          <w:rFonts w:ascii="Arial" w:eastAsia="Arial" w:hAnsi="Arial" w:cs="Arial"/>
          <w:color w:val="000000" w:themeColor="text1"/>
          <w:lang w:val="es-ES"/>
        </w:rPr>
        <w:t xml:space="preserve"> es una escala diseñada en 1996,  como una modificación de la </w:t>
      </w:r>
      <w:proofErr w:type="spellStart"/>
      <w:r w:rsidRPr="502784EB">
        <w:rPr>
          <w:rFonts w:ascii="Arial" w:eastAsia="Arial" w:hAnsi="Arial" w:cs="Arial"/>
          <w:color w:val="000000" w:themeColor="text1"/>
          <w:lang w:val="es-ES"/>
        </w:rPr>
        <w:t>Karnofsky</w:t>
      </w:r>
      <w:proofErr w:type="spellEnd"/>
      <w:r w:rsidRPr="502784EB">
        <w:rPr>
          <w:rFonts w:ascii="Arial" w:eastAsia="Arial" w:hAnsi="Arial" w:cs="Arial"/>
          <w:color w:val="000000" w:themeColor="text1"/>
          <w:lang w:val="es-ES"/>
        </w:rPr>
        <w:t xml:space="preserve"> Performance </w:t>
      </w:r>
      <w:proofErr w:type="spellStart"/>
      <w:r w:rsidRPr="502784EB">
        <w:rPr>
          <w:rFonts w:ascii="Arial" w:eastAsia="Arial" w:hAnsi="Arial" w:cs="Arial"/>
          <w:color w:val="000000" w:themeColor="text1"/>
          <w:lang w:val="es-ES"/>
        </w:rPr>
        <w:t>Scale</w:t>
      </w:r>
      <w:proofErr w:type="spellEnd"/>
      <w:r w:rsidRPr="502784EB">
        <w:rPr>
          <w:rFonts w:ascii="Arial" w:eastAsia="Arial" w:hAnsi="Arial" w:cs="Arial"/>
          <w:color w:val="000000" w:themeColor="text1"/>
          <w:lang w:val="es-ES"/>
        </w:rPr>
        <w:t xml:space="preserve"> (KPS). Se trata de una herramienta confiable y válida usada para medir la funcionalidad y predecir la supervivencia en pacientes paliativos con cáncer. La PPS mide cinco dominios funcionales: deambulación, nivel de actividad y evidencia de enfermedad, autocuidado, ingesta oral y nivel de conciencia. Cada uno de estos dominios se divide en once niveles que van de 0 a 100%, el 0% indicando muerte y el 100% independencia y salud total.</w:t>
      </w:r>
    </w:p>
    <w:p w14:paraId="27509F4B" w14:textId="7BFB837D" w:rsidR="080AB871" w:rsidRDefault="080AB871" w:rsidP="6968984F">
      <w:pPr>
        <w:spacing w:line="257" w:lineRule="auto"/>
        <w:jc w:val="both"/>
        <w:rPr>
          <w:rFonts w:ascii="Arial" w:eastAsia="Arial" w:hAnsi="Arial" w:cs="Arial"/>
          <w:color w:val="000000" w:themeColor="text1"/>
          <w:lang w:val="es"/>
        </w:rPr>
      </w:pPr>
      <w:r w:rsidRPr="6968984F">
        <w:rPr>
          <w:rFonts w:ascii="Arial" w:eastAsia="Arial" w:hAnsi="Arial" w:cs="Arial"/>
          <w:color w:val="000000" w:themeColor="text1"/>
          <w:lang w:val="es"/>
        </w:rPr>
        <w:t xml:space="preserve">Se ha establecido una asociación significativa entre el puntaje de la PPS y la supervivencia. En aquellos pacientes con una PPS menor a 10% se estima una supervivencia de 1 a 3 días, mientras que en aquellos pacientes con un PPS de 30% se estima una supervivencia de 5 a 36 días. La exactitud predictiva de la PPS dentro de los 90 días es evidenciada por un valor predictivo positivo (PPV) de 79% y AUC de 0.7. La </w:t>
      </w:r>
      <w:r w:rsidRPr="6968984F">
        <w:rPr>
          <w:rFonts w:ascii="Arial" w:eastAsia="Arial" w:hAnsi="Arial" w:cs="Arial"/>
          <w:color w:val="000000" w:themeColor="text1"/>
          <w:lang w:val="es"/>
        </w:rPr>
        <w:lastRenderedPageBreak/>
        <w:t>AUC de la PPS para predecir una supervivencia de tres a cuatro semanas con un puntaje menor a 30% es de 0.729 y 0.771, respectivamente, considerándose aceptable.</w:t>
      </w:r>
    </w:p>
    <w:p w14:paraId="43AF16BA" w14:textId="282AFB0F" w:rsidR="6968984F" w:rsidRDefault="6968984F" w:rsidP="6968984F">
      <w:pPr>
        <w:spacing w:line="257" w:lineRule="auto"/>
        <w:jc w:val="both"/>
        <w:rPr>
          <w:rFonts w:ascii="Arial" w:eastAsia="Arial" w:hAnsi="Arial" w:cs="Arial"/>
          <w:color w:val="000000" w:themeColor="text1"/>
          <w:lang w:val="es"/>
        </w:rPr>
      </w:pPr>
    </w:p>
    <w:p w14:paraId="0A8E1EDF" w14:textId="51455C0A" w:rsidR="080AB871" w:rsidRDefault="080AB871" w:rsidP="6968984F">
      <w:pPr>
        <w:spacing w:line="257" w:lineRule="auto"/>
        <w:jc w:val="both"/>
        <w:rPr>
          <w:rFonts w:ascii="Arial" w:eastAsia="Arial" w:hAnsi="Arial" w:cs="Arial"/>
          <w:b/>
          <w:bCs/>
          <w:color w:val="000000" w:themeColor="text1"/>
          <w:lang w:val="es-ES"/>
        </w:rPr>
      </w:pPr>
      <w:proofErr w:type="spellStart"/>
      <w:r w:rsidRPr="6968984F">
        <w:rPr>
          <w:rFonts w:ascii="Arial" w:eastAsia="Arial" w:hAnsi="Arial" w:cs="Arial"/>
          <w:b/>
          <w:bCs/>
          <w:color w:val="000000" w:themeColor="text1"/>
          <w:lang w:val="es-ES"/>
        </w:rPr>
        <w:t>Palliative</w:t>
      </w:r>
      <w:proofErr w:type="spellEnd"/>
      <w:r w:rsidRPr="6968984F">
        <w:rPr>
          <w:rFonts w:ascii="Arial" w:eastAsia="Arial" w:hAnsi="Arial" w:cs="Arial"/>
          <w:b/>
          <w:bCs/>
          <w:color w:val="000000" w:themeColor="text1"/>
          <w:lang w:val="es-ES"/>
        </w:rPr>
        <w:t xml:space="preserve"> </w:t>
      </w:r>
      <w:proofErr w:type="spellStart"/>
      <w:r w:rsidRPr="6968984F">
        <w:rPr>
          <w:rFonts w:ascii="Arial" w:eastAsia="Arial" w:hAnsi="Arial" w:cs="Arial"/>
          <w:b/>
          <w:bCs/>
          <w:color w:val="000000" w:themeColor="text1"/>
          <w:lang w:val="es-ES"/>
        </w:rPr>
        <w:t>Prognostic</w:t>
      </w:r>
      <w:proofErr w:type="spellEnd"/>
      <w:r w:rsidRPr="6968984F">
        <w:rPr>
          <w:rFonts w:ascii="Arial" w:eastAsia="Arial" w:hAnsi="Arial" w:cs="Arial"/>
          <w:b/>
          <w:bCs/>
          <w:color w:val="000000" w:themeColor="text1"/>
          <w:lang w:val="es-ES"/>
        </w:rPr>
        <w:t xml:space="preserve"> </w:t>
      </w:r>
      <w:proofErr w:type="spellStart"/>
      <w:r w:rsidRPr="6968984F">
        <w:rPr>
          <w:rFonts w:ascii="Arial" w:eastAsia="Arial" w:hAnsi="Arial" w:cs="Arial"/>
          <w:b/>
          <w:bCs/>
          <w:color w:val="000000" w:themeColor="text1"/>
          <w:lang w:val="es-ES"/>
        </w:rPr>
        <w:t>Index</w:t>
      </w:r>
      <w:proofErr w:type="spellEnd"/>
      <w:r w:rsidRPr="6968984F">
        <w:rPr>
          <w:rFonts w:ascii="Arial" w:eastAsia="Arial" w:hAnsi="Arial" w:cs="Arial"/>
          <w:b/>
          <w:bCs/>
          <w:color w:val="000000" w:themeColor="text1"/>
          <w:lang w:val="es-ES"/>
        </w:rPr>
        <w:t xml:space="preserve"> (PPI)</w:t>
      </w:r>
    </w:p>
    <w:p w14:paraId="7C9C798A" w14:textId="2AEBA948" w:rsidR="080AB871" w:rsidRDefault="3CAC4B5F" w:rsidP="6968984F">
      <w:pPr>
        <w:spacing w:line="257" w:lineRule="auto"/>
        <w:jc w:val="both"/>
        <w:rPr>
          <w:rFonts w:ascii="Arial" w:eastAsia="Arial" w:hAnsi="Arial" w:cs="Arial"/>
          <w:color w:val="000000" w:themeColor="text1"/>
          <w:lang w:val="es-ES"/>
        </w:rPr>
      </w:pPr>
      <w:r w:rsidRPr="502784EB">
        <w:rPr>
          <w:rFonts w:ascii="Arial" w:eastAsia="Arial" w:hAnsi="Arial" w:cs="Arial"/>
          <w:color w:val="000000" w:themeColor="text1"/>
          <w:lang w:val="es-ES"/>
        </w:rPr>
        <w:t xml:space="preserve">El </w:t>
      </w:r>
      <w:proofErr w:type="spellStart"/>
      <w:r w:rsidRPr="502784EB">
        <w:rPr>
          <w:rFonts w:ascii="Arial" w:eastAsia="Arial" w:hAnsi="Arial" w:cs="Arial"/>
          <w:color w:val="000000" w:themeColor="text1"/>
          <w:lang w:val="es-ES"/>
        </w:rPr>
        <w:t>Palliative</w:t>
      </w:r>
      <w:proofErr w:type="spellEnd"/>
      <w:r w:rsidRPr="502784EB">
        <w:rPr>
          <w:rFonts w:ascii="Arial" w:eastAsia="Arial" w:hAnsi="Arial" w:cs="Arial"/>
          <w:color w:val="000000" w:themeColor="text1"/>
          <w:lang w:val="es-ES"/>
        </w:rPr>
        <w:t xml:space="preserve"> </w:t>
      </w:r>
      <w:proofErr w:type="spellStart"/>
      <w:r w:rsidRPr="502784EB">
        <w:rPr>
          <w:rFonts w:ascii="Arial" w:eastAsia="Arial" w:hAnsi="Arial" w:cs="Arial"/>
          <w:color w:val="000000" w:themeColor="text1"/>
          <w:lang w:val="es-ES"/>
        </w:rPr>
        <w:t>Prognostic</w:t>
      </w:r>
      <w:proofErr w:type="spellEnd"/>
      <w:r w:rsidRPr="502784EB">
        <w:rPr>
          <w:rFonts w:ascii="Arial" w:eastAsia="Arial" w:hAnsi="Arial" w:cs="Arial"/>
          <w:color w:val="000000" w:themeColor="text1"/>
          <w:lang w:val="es-ES"/>
        </w:rPr>
        <w:t xml:space="preserve"> </w:t>
      </w:r>
      <w:proofErr w:type="spellStart"/>
      <w:r w:rsidRPr="502784EB">
        <w:rPr>
          <w:rFonts w:ascii="Arial" w:eastAsia="Arial" w:hAnsi="Arial" w:cs="Arial"/>
          <w:color w:val="000000" w:themeColor="text1"/>
          <w:lang w:val="es-ES"/>
        </w:rPr>
        <w:t>Index</w:t>
      </w:r>
      <w:proofErr w:type="spellEnd"/>
      <w:r w:rsidRPr="502784EB">
        <w:rPr>
          <w:rFonts w:ascii="Arial" w:eastAsia="Arial" w:hAnsi="Arial" w:cs="Arial"/>
          <w:color w:val="000000" w:themeColor="text1"/>
          <w:lang w:val="es-ES"/>
        </w:rPr>
        <w:t xml:space="preserve"> (PPI)</w:t>
      </w:r>
      <w:r w:rsidR="0C8A01CD" w:rsidRPr="502784EB">
        <w:rPr>
          <w:rFonts w:ascii="Arial" w:eastAsia="Arial" w:hAnsi="Arial" w:cs="Arial"/>
          <w:color w:val="000000" w:themeColor="text1"/>
          <w:lang w:val="es-ES"/>
        </w:rPr>
        <w:t xml:space="preserve"> (Anexo 6)</w:t>
      </w:r>
      <w:r w:rsidRPr="502784EB">
        <w:rPr>
          <w:rFonts w:ascii="Arial" w:eastAsia="Arial" w:hAnsi="Arial" w:cs="Arial"/>
          <w:color w:val="000000" w:themeColor="text1"/>
          <w:lang w:val="es-ES"/>
        </w:rPr>
        <w:t xml:space="preserve"> es un índice </w:t>
      </w:r>
      <w:proofErr w:type="spellStart"/>
      <w:r w:rsidRPr="502784EB">
        <w:rPr>
          <w:rFonts w:ascii="Arial" w:eastAsia="Arial" w:hAnsi="Arial" w:cs="Arial"/>
          <w:color w:val="000000" w:themeColor="text1"/>
          <w:lang w:val="es-ES"/>
        </w:rPr>
        <w:t>multivariable</w:t>
      </w:r>
      <w:proofErr w:type="spellEnd"/>
      <w:r w:rsidRPr="502784EB">
        <w:rPr>
          <w:rFonts w:ascii="Arial" w:eastAsia="Arial" w:hAnsi="Arial" w:cs="Arial"/>
          <w:color w:val="000000" w:themeColor="text1"/>
          <w:lang w:val="es-ES"/>
        </w:rPr>
        <w:t xml:space="preserve"> desarrollado y validado para predecir la supervivencia a tres y seis semanas de pacientes con cáncer avanzado. El índice comprende cinco dominios: la funcionalidad medida a través de la PPS, la ingesta oral, edema, disnea y delirium. Los puntajes en cada dominio se suman para obtener un puntaje total entre 0 y 15 puntos. Puntajes mayores a cuatro indican una supervivencia menor a seis semanas, y puntajes mayores a seis indican supervivencia menor a seis semanas.</w:t>
      </w:r>
    </w:p>
    <w:p w14:paraId="72F28F20" w14:textId="5F2208EA" w:rsidR="080AB871" w:rsidRDefault="080AB871" w:rsidP="6968984F">
      <w:pPr>
        <w:spacing w:line="257" w:lineRule="auto"/>
        <w:jc w:val="both"/>
        <w:rPr>
          <w:rFonts w:ascii="Arial" w:eastAsia="Arial" w:hAnsi="Arial" w:cs="Arial"/>
          <w:color w:val="000000" w:themeColor="text1"/>
          <w:lang w:val="es"/>
        </w:rPr>
      </w:pPr>
      <w:r w:rsidRPr="6968984F">
        <w:rPr>
          <w:rFonts w:ascii="Arial" w:eastAsia="Arial" w:hAnsi="Arial" w:cs="Arial"/>
          <w:color w:val="000000" w:themeColor="text1"/>
          <w:lang w:val="es"/>
        </w:rPr>
        <w:t>Se ha determinado una sensibilidad de 83% y especificidad de 85% para la supervivencia de tres semanas, y una sensibilidad de 79% y especificidad de 77% para supervivencia de seis semanas.</w:t>
      </w:r>
    </w:p>
    <w:p w14:paraId="750068B1" w14:textId="46D259CF" w:rsidR="6968984F" w:rsidRDefault="6968984F" w:rsidP="6968984F">
      <w:pPr>
        <w:spacing w:line="257" w:lineRule="auto"/>
        <w:jc w:val="both"/>
        <w:rPr>
          <w:rFonts w:ascii="Arial" w:eastAsia="Arial" w:hAnsi="Arial" w:cs="Arial"/>
          <w:color w:val="000000" w:themeColor="text1"/>
          <w:lang w:val="es"/>
        </w:rPr>
      </w:pPr>
    </w:p>
    <w:p w14:paraId="2F092ADA" w14:textId="2BC37595" w:rsidR="080AB871" w:rsidRDefault="080AB871" w:rsidP="6968984F">
      <w:pPr>
        <w:spacing w:line="257" w:lineRule="auto"/>
        <w:jc w:val="both"/>
        <w:rPr>
          <w:rFonts w:ascii="Arial" w:eastAsia="Arial" w:hAnsi="Arial" w:cs="Arial"/>
          <w:b/>
          <w:bCs/>
          <w:color w:val="000000" w:themeColor="text1"/>
          <w:lang w:val="en-US"/>
        </w:rPr>
      </w:pPr>
      <w:r w:rsidRPr="6968984F">
        <w:rPr>
          <w:rFonts w:ascii="Arial" w:eastAsia="Arial" w:hAnsi="Arial" w:cs="Arial"/>
          <w:b/>
          <w:bCs/>
          <w:color w:val="000000" w:themeColor="text1"/>
          <w:lang w:val="en-US"/>
        </w:rPr>
        <w:t>Palliative Prognostic Score (</w:t>
      </w:r>
      <w:proofErr w:type="spellStart"/>
      <w:r w:rsidRPr="6968984F">
        <w:rPr>
          <w:rFonts w:ascii="Arial" w:eastAsia="Arial" w:hAnsi="Arial" w:cs="Arial"/>
          <w:b/>
          <w:bCs/>
          <w:color w:val="000000" w:themeColor="text1"/>
          <w:lang w:val="en-US"/>
        </w:rPr>
        <w:t>PaP</w:t>
      </w:r>
      <w:proofErr w:type="spellEnd"/>
      <w:r w:rsidRPr="6968984F">
        <w:rPr>
          <w:rFonts w:ascii="Arial" w:eastAsia="Arial" w:hAnsi="Arial" w:cs="Arial"/>
          <w:b/>
          <w:bCs/>
          <w:color w:val="000000" w:themeColor="text1"/>
          <w:lang w:val="en-US"/>
        </w:rPr>
        <w:t xml:space="preserve"> score)</w:t>
      </w:r>
    </w:p>
    <w:p w14:paraId="59CE8ADF" w14:textId="6336CF44" w:rsidR="080AB871" w:rsidRDefault="080AB871" w:rsidP="6968984F">
      <w:pPr>
        <w:spacing w:line="257" w:lineRule="auto"/>
        <w:jc w:val="both"/>
        <w:rPr>
          <w:rFonts w:ascii="Arial" w:eastAsia="Arial" w:hAnsi="Arial" w:cs="Arial"/>
          <w:color w:val="000000" w:themeColor="text1"/>
          <w:lang w:val="es-ES"/>
        </w:rPr>
      </w:pPr>
      <w:r w:rsidRPr="6968984F">
        <w:rPr>
          <w:rFonts w:ascii="Arial" w:eastAsia="Arial" w:hAnsi="Arial" w:cs="Arial"/>
          <w:color w:val="000000" w:themeColor="text1"/>
          <w:lang w:val="es-ES"/>
        </w:rPr>
        <w:t xml:space="preserve">Se trata de un modelo pronóstico </w:t>
      </w:r>
      <w:proofErr w:type="spellStart"/>
      <w:r w:rsidRPr="6968984F">
        <w:rPr>
          <w:rFonts w:ascii="Arial" w:eastAsia="Arial" w:hAnsi="Arial" w:cs="Arial"/>
          <w:color w:val="000000" w:themeColor="text1"/>
          <w:lang w:val="es-ES"/>
        </w:rPr>
        <w:t>multivariable</w:t>
      </w:r>
      <w:proofErr w:type="spellEnd"/>
      <w:r w:rsidRPr="6968984F">
        <w:rPr>
          <w:rFonts w:ascii="Arial" w:eastAsia="Arial" w:hAnsi="Arial" w:cs="Arial"/>
          <w:color w:val="000000" w:themeColor="text1"/>
          <w:lang w:val="es-ES"/>
        </w:rPr>
        <w:t xml:space="preserve"> validado para pacientes con cáncer avanzado que tiene en cuenta seis </w:t>
      </w:r>
      <w:proofErr w:type="gramStart"/>
      <w:r w:rsidRPr="6968984F">
        <w:rPr>
          <w:rFonts w:ascii="Arial" w:eastAsia="Arial" w:hAnsi="Arial" w:cs="Arial"/>
          <w:color w:val="000000" w:themeColor="text1"/>
          <w:lang w:val="es-ES"/>
        </w:rPr>
        <w:t>dominios(</w:t>
      </w:r>
      <w:proofErr w:type="gramEnd"/>
      <w:r w:rsidR="66848E93" w:rsidRPr="6968984F">
        <w:rPr>
          <w:rFonts w:ascii="Arial" w:eastAsia="Arial" w:hAnsi="Arial" w:cs="Arial"/>
          <w:color w:val="000000" w:themeColor="text1"/>
          <w:lang w:val="es-ES"/>
        </w:rPr>
        <w:t>15</w:t>
      </w:r>
      <w:r w:rsidRPr="6968984F">
        <w:rPr>
          <w:rFonts w:ascii="Arial" w:eastAsia="Arial" w:hAnsi="Arial" w:cs="Arial"/>
          <w:color w:val="000000" w:themeColor="text1"/>
          <w:lang w:val="es-ES"/>
        </w:rPr>
        <w:t>): disnea, anorexia, KPS, conteo de leucocitos, porcentaje de linfocitos y estimación clínica de supervivencia, con un puntaje total que oscila entre o y 17.5 puntos. Al realizar la suma de los puntajes, se obtienen tres grupos con diferentes probabilidades de supervivencia a los 30 días: el grupo A (puntaje de 0.0 a 5.5, con probabilidad mayor a 70%), el grupo B (puntaje de 5.6 a 11.0, con probabilidad de 30 a 70%) y grupo C (puntaje de 11.1 a 17.5, con probabilidad menor a 30%.</w:t>
      </w:r>
    </w:p>
    <w:p w14:paraId="2F5586F7" w14:textId="17F9AA58" w:rsidR="080AB871" w:rsidRDefault="080AB871" w:rsidP="6968984F">
      <w:pPr>
        <w:spacing w:line="257" w:lineRule="auto"/>
        <w:jc w:val="both"/>
        <w:rPr>
          <w:rFonts w:ascii="Arial" w:eastAsia="Arial" w:hAnsi="Arial" w:cs="Arial"/>
          <w:color w:val="000000" w:themeColor="text1"/>
          <w:lang w:val="es-ES"/>
        </w:rPr>
      </w:pPr>
      <w:r w:rsidRPr="6968984F">
        <w:rPr>
          <w:rFonts w:ascii="Arial" w:eastAsia="Arial" w:hAnsi="Arial" w:cs="Arial"/>
          <w:color w:val="000000" w:themeColor="text1"/>
          <w:lang w:val="es-ES"/>
        </w:rPr>
        <w:t xml:space="preserve">Se han realizado estudios acerca de la capacidad de discriminación del </w:t>
      </w:r>
      <w:proofErr w:type="spellStart"/>
      <w:r w:rsidRPr="6968984F">
        <w:rPr>
          <w:rFonts w:ascii="Arial" w:eastAsia="Arial" w:hAnsi="Arial" w:cs="Arial"/>
          <w:color w:val="000000" w:themeColor="text1"/>
          <w:lang w:val="es-ES"/>
        </w:rPr>
        <w:t>PaP</w:t>
      </w:r>
      <w:proofErr w:type="spellEnd"/>
      <w:r w:rsidRPr="6968984F">
        <w:rPr>
          <w:rFonts w:ascii="Arial" w:eastAsia="Arial" w:hAnsi="Arial" w:cs="Arial"/>
          <w:color w:val="000000" w:themeColor="text1"/>
          <w:lang w:val="es-ES"/>
        </w:rPr>
        <w:t xml:space="preserve"> entre diversos grupos de pacientes con diferente supervivencia al ser usado como variable continua, evidenciando una muy buena capacidad de discriminación [C-</w:t>
      </w:r>
      <w:proofErr w:type="spellStart"/>
      <w:r w:rsidRPr="6968984F">
        <w:rPr>
          <w:rFonts w:ascii="Arial" w:eastAsia="Arial" w:hAnsi="Arial" w:cs="Arial"/>
          <w:color w:val="000000" w:themeColor="text1"/>
          <w:lang w:val="es-ES"/>
        </w:rPr>
        <w:t>statistics</w:t>
      </w:r>
      <w:proofErr w:type="spellEnd"/>
      <w:r w:rsidRPr="6968984F">
        <w:rPr>
          <w:rFonts w:ascii="Arial" w:eastAsia="Arial" w:hAnsi="Arial" w:cs="Arial"/>
          <w:color w:val="000000" w:themeColor="text1"/>
          <w:lang w:val="es-ES"/>
        </w:rPr>
        <w:t xml:space="preserve"> </w:t>
      </w:r>
      <w:proofErr w:type="spellStart"/>
      <w:r w:rsidRPr="6968984F">
        <w:rPr>
          <w:rFonts w:ascii="Arial" w:eastAsia="Arial" w:hAnsi="Arial" w:cs="Arial"/>
          <w:color w:val="000000" w:themeColor="text1"/>
          <w:lang w:val="es-ES"/>
        </w:rPr>
        <w:t>range</w:t>
      </w:r>
      <w:proofErr w:type="spellEnd"/>
      <w:r w:rsidRPr="6968984F">
        <w:rPr>
          <w:rFonts w:ascii="Arial" w:eastAsia="Arial" w:hAnsi="Arial" w:cs="Arial"/>
          <w:color w:val="000000" w:themeColor="text1"/>
          <w:lang w:val="es-ES"/>
        </w:rPr>
        <w:t xml:space="preserve"> </w:t>
      </w:r>
      <w:proofErr w:type="spellStart"/>
      <w:r w:rsidRPr="6968984F">
        <w:rPr>
          <w:rFonts w:ascii="Arial" w:eastAsia="Arial" w:hAnsi="Arial" w:cs="Arial"/>
          <w:color w:val="000000" w:themeColor="text1"/>
          <w:lang w:val="es-ES"/>
        </w:rPr>
        <w:t>from</w:t>
      </w:r>
      <w:proofErr w:type="spellEnd"/>
      <w:r w:rsidRPr="6968984F">
        <w:rPr>
          <w:rFonts w:ascii="Arial" w:eastAsia="Arial" w:hAnsi="Arial" w:cs="Arial"/>
          <w:color w:val="000000" w:themeColor="text1"/>
          <w:lang w:val="es-ES"/>
        </w:rPr>
        <w:t xml:space="preserve"> 0.64 (95% CI 0.54-0.74) </w:t>
      </w:r>
      <w:proofErr w:type="spellStart"/>
      <w:r w:rsidRPr="6968984F">
        <w:rPr>
          <w:rFonts w:ascii="Arial" w:eastAsia="Arial" w:hAnsi="Arial" w:cs="Arial"/>
          <w:color w:val="000000" w:themeColor="text1"/>
          <w:lang w:val="es-ES"/>
        </w:rPr>
        <w:t>to</w:t>
      </w:r>
      <w:proofErr w:type="spellEnd"/>
      <w:r w:rsidRPr="6968984F">
        <w:rPr>
          <w:rFonts w:ascii="Arial" w:eastAsia="Arial" w:hAnsi="Arial" w:cs="Arial"/>
          <w:color w:val="000000" w:themeColor="text1"/>
          <w:lang w:val="es-ES"/>
        </w:rPr>
        <w:t xml:space="preserve"> 0.90 (95% CI 0.87-0.92)]. Por otra parte, al ser usado con los grupos de riesgo descritos, se evidencia una capacidad de discriminación similar a la predicción clínica de supervivencia</w:t>
      </w:r>
      <w:proofErr w:type="gramStart"/>
      <w:r w:rsidRPr="6968984F">
        <w:rPr>
          <w:rFonts w:ascii="Arial" w:eastAsia="Arial" w:hAnsi="Arial" w:cs="Arial"/>
          <w:color w:val="000000" w:themeColor="text1"/>
          <w:lang w:val="es-ES"/>
        </w:rPr>
        <w:t>.(</w:t>
      </w:r>
      <w:proofErr w:type="gramEnd"/>
      <w:r w:rsidRPr="6968984F">
        <w:rPr>
          <w:rFonts w:ascii="Arial" w:eastAsia="Arial" w:hAnsi="Arial" w:cs="Arial"/>
          <w:color w:val="000000" w:themeColor="text1"/>
          <w:lang w:val="es-ES"/>
        </w:rPr>
        <w:t>1</w:t>
      </w:r>
      <w:r w:rsidR="6EEDF3F8" w:rsidRPr="6968984F">
        <w:rPr>
          <w:rFonts w:ascii="Arial" w:eastAsia="Arial" w:hAnsi="Arial" w:cs="Arial"/>
          <w:color w:val="000000" w:themeColor="text1"/>
          <w:lang w:val="es-ES"/>
        </w:rPr>
        <w:t>6</w:t>
      </w:r>
      <w:r w:rsidRPr="6968984F">
        <w:rPr>
          <w:rFonts w:ascii="Arial" w:eastAsia="Arial" w:hAnsi="Arial" w:cs="Arial"/>
          <w:color w:val="000000" w:themeColor="text1"/>
          <w:lang w:val="es-ES"/>
        </w:rPr>
        <w:t>)</w:t>
      </w:r>
    </w:p>
    <w:p w14:paraId="521D84DB" w14:textId="04F7D280" w:rsidR="080AB871" w:rsidRDefault="60442AF1" w:rsidP="6968984F">
      <w:pPr>
        <w:spacing w:line="257" w:lineRule="auto"/>
        <w:jc w:val="both"/>
        <w:rPr>
          <w:rFonts w:ascii="Arial" w:eastAsia="Arial" w:hAnsi="Arial" w:cs="Arial"/>
          <w:color w:val="000000" w:themeColor="text1"/>
          <w:lang w:val="es-ES"/>
        </w:rPr>
      </w:pPr>
      <w:r w:rsidRPr="37FB81F5">
        <w:rPr>
          <w:rFonts w:ascii="Arial" w:eastAsia="Arial" w:hAnsi="Arial" w:cs="Arial"/>
          <w:color w:val="000000" w:themeColor="text1"/>
          <w:lang w:val="es-ES"/>
        </w:rPr>
        <w:t xml:space="preserve">Es importante resaltar que el </w:t>
      </w:r>
      <w:proofErr w:type="spellStart"/>
      <w:r w:rsidRPr="37FB81F5">
        <w:rPr>
          <w:rFonts w:ascii="Arial" w:eastAsia="Arial" w:hAnsi="Arial" w:cs="Arial"/>
          <w:color w:val="000000" w:themeColor="text1"/>
          <w:lang w:val="es-ES"/>
        </w:rPr>
        <w:t>PaP</w:t>
      </w:r>
      <w:proofErr w:type="spellEnd"/>
      <w:r w:rsidRPr="37FB81F5">
        <w:rPr>
          <w:rFonts w:ascii="Arial" w:eastAsia="Arial" w:hAnsi="Arial" w:cs="Arial"/>
          <w:color w:val="000000" w:themeColor="text1"/>
          <w:lang w:val="es-ES"/>
        </w:rPr>
        <w:t xml:space="preserve"> score posee un componente subjetivo, determinado por la estimación clínica de supervivencia (CPS). Se ha evidenciado el </w:t>
      </w:r>
      <w:proofErr w:type="spellStart"/>
      <w:r w:rsidRPr="37FB81F5">
        <w:rPr>
          <w:rFonts w:ascii="Arial" w:eastAsia="Arial" w:hAnsi="Arial" w:cs="Arial"/>
          <w:color w:val="000000" w:themeColor="text1"/>
          <w:lang w:val="es-ES"/>
        </w:rPr>
        <w:t>PaP</w:t>
      </w:r>
      <w:proofErr w:type="spellEnd"/>
      <w:r w:rsidRPr="37FB81F5">
        <w:rPr>
          <w:rFonts w:ascii="Arial" w:eastAsia="Arial" w:hAnsi="Arial" w:cs="Arial"/>
          <w:color w:val="000000" w:themeColor="text1"/>
          <w:lang w:val="es-ES"/>
        </w:rPr>
        <w:t xml:space="preserve"> score con este componente subjetivo es más exacto que el </w:t>
      </w:r>
      <w:proofErr w:type="spellStart"/>
      <w:r w:rsidRPr="37FB81F5">
        <w:rPr>
          <w:rFonts w:ascii="Arial" w:eastAsia="Arial" w:hAnsi="Arial" w:cs="Arial"/>
          <w:color w:val="000000" w:themeColor="text1"/>
          <w:lang w:val="es-ES"/>
        </w:rPr>
        <w:t>PaP</w:t>
      </w:r>
      <w:proofErr w:type="spellEnd"/>
      <w:r w:rsidRPr="37FB81F5">
        <w:rPr>
          <w:rFonts w:ascii="Arial" w:eastAsia="Arial" w:hAnsi="Arial" w:cs="Arial"/>
          <w:color w:val="000000" w:themeColor="text1"/>
          <w:lang w:val="es-ES"/>
        </w:rPr>
        <w:t xml:space="preserve"> score sin dicho componente</w:t>
      </w:r>
      <w:proofErr w:type="gramStart"/>
      <w:r w:rsidRPr="37FB81F5">
        <w:rPr>
          <w:rFonts w:ascii="Arial" w:eastAsia="Arial" w:hAnsi="Arial" w:cs="Arial"/>
          <w:color w:val="000000" w:themeColor="text1"/>
          <w:lang w:val="es-ES"/>
        </w:rPr>
        <w:t>.(</w:t>
      </w:r>
      <w:proofErr w:type="gramEnd"/>
      <w:r w:rsidRPr="37FB81F5">
        <w:rPr>
          <w:rFonts w:ascii="Arial" w:eastAsia="Arial" w:hAnsi="Arial" w:cs="Arial"/>
          <w:color w:val="000000" w:themeColor="text1"/>
          <w:lang w:val="es-ES"/>
        </w:rPr>
        <w:t>1</w:t>
      </w:r>
      <w:r w:rsidR="2C923853" w:rsidRPr="37FB81F5">
        <w:rPr>
          <w:rFonts w:ascii="Arial" w:eastAsia="Arial" w:hAnsi="Arial" w:cs="Arial"/>
          <w:color w:val="000000" w:themeColor="text1"/>
          <w:lang w:val="es-ES"/>
        </w:rPr>
        <w:t>7</w:t>
      </w:r>
      <w:r w:rsidRPr="37FB81F5">
        <w:rPr>
          <w:rFonts w:ascii="Arial" w:eastAsia="Arial" w:hAnsi="Arial" w:cs="Arial"/>
          <w:color w:val="000000" w:themeColor="text1"/>
          <w:lang w:val="es-ES"/>
        </w:rPr>
        <w:t>)</w:t>
      </w:r>
    </w:p>
    <w:p w14:paraId="11746CCA" w14:textId="02494DC4" w:rsidR="080AB871" w:rsidRDefault="3CAC4B5F" w:rsidP="502784EB">
      <w:pPr>
        <w:spacing w:line="257" w:lineRule="auto"/>
        <w:jc w:val="both"/>
        <w:rPr>
          <w:rFonts w:ascii="Arial" w:eastAsia="Arial" w:hAnsi="Arial" w:cs="Arial"/>
          <w:b/>
          <w:bCs/>
          <w:color w:val="000000" w:themeColor="text1"/>
          <w:lang w:val="es"/>
        </w:rPr>
      </w:pPr>
      <w:r w:rsidRPr="502784EB">
        <w:rPr>
          <w:rFonts w:ascii="Arial" w:eastAsia="Arial" w:hAnsi="Arial" w:cs="Arial"/>
          <w:b/>
          <w:bCs/>
          <w:color w:val="000000" w:themeColor="text1"/>
          <w:lang w:val="es"/>
        </w:rPr>
        <w:t>Síntesis de recomendaciones de las guías</w:t>
      </w:r>
    </w:p>
    <w:p w14:paraId="2753ED17" w14:textId="3BDFCAB1" w:rsidR="080AB871" w:rsidRDefault="60442AF1" w:rsidP="6968984F">
      <w:pPr>
        <w:spacing w:line="257" w:lineRule="auto"/>
        <w:jc w:val="both"/>
        <w:rPr>
          <w:rFonts w:ascii="Arial" w:eastAsia="Arial" w:hAnsi="Arial" w:cs="Arial"/>
          <w:color w:val="000000" w:themeColor="text1"/>
          <w:lang w:val="es-ES"/>
        </w:rPr>
      </w:pPr>
      <w:r w:rsidRPr="37FB81F5">
        <w:rPr>
          <w:rFonts w:ascii="Arial" w:eastAsia="Arial" w:hAnsi="Arial" w:cs="Arial"/>
          <w:color w:val="000000" w:themeColor="text1"/>
          <w:lang w:val="es-ES"/>
        </w:rPr>
        <w:t xml:space="preserve">A continuación presentamos una síntesis de las recomendaciones de las guías </w:t>
      </w:r>
      <w:proofErr w:type="spellStart"/>
      <w:r w:rsidRPr="37FB81F5">
        <w:rPr>
          <w:rFonts w:ascii="Arial" w:eastAsia="Arial" w:hAnsi="Arial" w:cs="Arial"/>
          <w:color w:val="000000" w:themeColor="text1"/>
          <w:lang w:val="es-ES"/>
        </w:rPr>
        <w:t>incluídas</w:t>
      </w:r>
      <w:proofErr w:type="spellEnd"/>
      <w:r w:rsidRPr="37FB81F5">
        <w:rPr>
          <w:rFonts w:ascii="Arial" w:eastAsia="Arial" w:hAnsi="Arial" w:cs="Arial"/>
          <w:color w:val="000000" w:themeColor="text1"/>
          <w:lang w:val="es-ES"/>
        </w:rPr>
        <w:t xml:space="preserve"> en el presente estudio de acuerdo a su grado de recomendación:</w:t>
      </w:r>
    </w:p>
    <w:p w14:paraId="3038D36A" w14:textId="51C099BD" w:rsidR="080AB871" w:rsidRDefault="6C95519D" w:rsidP="6968984F">
      <w:pPr>
        <w:spacing w:line="257" w:lineRule="auto"/>
        <w:jc w:val="both"/>
        <w:rPr>
          <w:rFonts w:ascii="Arial" w:eastAsia="Arial" w:hAnsi="Arial" w:cs="Arial"/>
          <w:b/>
          <w:bCs/>
          <w:color w:val="000000" w:themeColor="text1"/>
        </w:rPr>
      </w:pPr>
      <w:r w:rsidRPr="502784EB">
        <w:rPr>
          <w:rFonts w:ascii="Arial" w:eastAsia="Arial" w:hAnsi="Arial" w:cs="Arial"/>
          <w:b/>
          <w:bCs/>
          <w:color w:val="000000" w:themeColor="text1"/>
        </w:rPr>
        <w:t>Grado de Recomendación A</w:t>
      </w:r>
    </w:p>
    <w:p w14:paraId="1639C7DF" w14:textId="658770D9" w:rsidR="080AB871" w:rsidRDefault="6C95519D" w:rsidP="502784EB">
      <w:pPr>
        <w:pStyle w:val="Prrafodelista"/>
        <w:numPr>
          <w:ilvl w:val="0"/>
          <w:numId w:val="10"/>
        </w:numPr>
        <w:spacing w:after="0" w:line="257" w:lineRule="auto"/>
        <w:jc w:val="both"/>
        <w:rPr>
          <w:rFonts w:ascii="Arial" w:eastAsia="Arial" w:hAnsi="Arial" w:cs="Arial"/>
          <w:color w:val="000000" w:themeColor="text1"/>
        </w:rPr>
      </w:pPr>
      <w:r w:rsidRPr="502784EB">
        <w:rPr>
          <w:rFonts w:ascii="Arial" w:eastAsia="Arial" w:hAnsi="Arial" w:cs="Arial"/>
          <w:color w:val="000000" w:themeColor="text1"/>
        </w:rPr>
        <w:lastRenderedPageBreak/>
        <w:t>Los médicos deben utilizar su experiencia para predecir la supervivencia de pacientes con cáncer avanzado incurable (es decir, con un pronóstico de unos pocos meses o menos), pero deben ser conscientes de sus limitaciones y comprender que, en general, existe una tendencia a sobreestimar la supervivencia [III, A].(1</w:t>
      </w:r>
      <w:r w:rsidR="34AD0122" w:rsidRPr="502784EB">
        <w:rPr>
          <w:rFonts w:ascii="Arial" w:eastAsia="Arial" w:hAnsi="Arial" w:cs="Arial"/>
          <w:color w:val="000000" w:themeColor="text1"/>
        </w:rPr>
        <w:t>8</w:t>
      </w:r>
      <w:r w:rsidRPr="502784EB">
        <w:rPr>
          <w:rFonts w:ascii="Arial" w:eastAsia="Arial" w:hAnsi="Arial" w:cs="Arial"/>
          <w:color w:val="000000" w:themeColor="text1"/>
        </w:rPr>
        <w:t>)</w:t>
      </w:r>
    </w:p>
    <w:p w14:paraId="1DC25EEA" w14:textId="2348F92E" w:rsidR="502784EB" w:rsidRDefault="502784EB" w:rsidP="502784EB">
      <w:pPr>
        <w:spacing w:after="0" w:line="257" w:lineRule="auto"/>
        <w:jc w:val="both"/>
        <w:rPr>
          <w:color w:val="000000" w:themeColor="text1"/>
        </w:rPr>
      </w:pPr>
    </w:p>
    <w:p w14:paraId="7B559900" w14:textId="2ECB5A00" w:rsidR="080AB871" w:rsidRDefault="6C95519D" w:rsidP="502784EB">
      <w:pPr>
        <w:pStyle w:val="Prrafodelista"/>
        <w:numPr>
          <w:ilvl w:val="0"/>
          <w:numId w:val="10"/>
        </w:numPr>
        <w:spacing w:after="0" w:line="257" w:lineRule="auto"/>
        <w:jc w:val="both"/>
        <w:rPr>
          <w:rFonts w:ascii="Arial" w:eastAsia="Arial" w:hAnsi="Arial" w:cs="Arial"/>
          <w:color w:val="000000" w:themeColor="text1"/>
        </w:rPr>
      </w:pPr>
      <w:r w:rsidRPr="502784EB">
        <w:rPr>
          <w:color w:val="000000" w:themeColor="text1"/>
        </w:rPr>
        <w:t>Los médicos deben utilizar el esta</w:t>
      </w:r>
      <w:r w:rsidR="7EE5C998" w:rsidRPr="502784EB">
        <w:rPr>
          <w:color w:val="000000" w:themeColor="text1"/>
        </w:rPr>
        <w:t>tus de funcionalidad</w:t>
      </w:r>
      <w:r w:rsidRPr="502784EB">
        <w:rPr>
          <w:color w:val="000000" w:themeColor="text1"/>
        </w:rPr>
        <w:t xml:space="preserve"> y/o medidas de la respuesta inflamatoria sistémica como factores pronósticos para discriminar entre grupos de pacientes con cáncer avanzado y diferentes perspectivas de supervivencia [III, A].</w:t>
      </w:r>
      <w:r w:rsidRPr="502784EB">
        <w:rPr>
          <w:b/>
          <w:bCs/>
          <w:color w:val="000000" w:themeColor="text1"/>
        </w:rPr>
        <w:t>(</w:t>
      </w:r>
      <w:r w:rsidRPr="502784EB">
        <w:rPr>
          <w:rFonts w:ascii="Arial" w:eastAsia="Arial" w:hAnsi="Arial" w:cs="Arial"/>
          <w:color w:val="000000" w:themeColor="text1"/>
        </w:rPr>
        <w:t>1</w:t>
      </w:r>
      <w:r w:rsidR="1BFA29AA" w:rsidRPr="502784EB">
        <w:rPr>
          <w:rFonts w:ascii="Arial" w:eastAsia="Arial" w:hAnsi="Arial" w:cs="Arial"/>
          <w:color w:val="000000" w:themeColor="text1"/>
        </w:rPr>
        <w:t>8</w:t>
      </w:r>
      <w:r w:rsidRPr="502784EB">
        <w:rPr>
          <w:rFonts w:ascii="Arial" w:eastAsia="Arial" w:hAnsi="Arial" w:cs="Arial"/>
          <w:color w:val="000000" w:themeColor="text1"/>
        </w:rPr>
        <w:t>)</w:t>
      </w:r>
    </w:p>
    <w:p w14:paraId="7E8543B7" w14:textId="170A632B" w:rsidR="502784EB" w:rsidRDefault="502784EB" w:rsidP="502784EB">
      <w:pPr>
        <w:pStyle w:val="Prrafodelista"/>
        <w:spacing w:after="0" w:line="257" w:lineRule="auto"/>
        <w:jc w:val="both"/>
        <w:rPr>
          <w:rFonts w:ascii="Arial" w:eastAsia="Arial" w:hAnsi="Arial" w:cs="Arial"/>
          <w:color w:val="000000" w:themeColor="text1"/>
        </w:rPr>
      </w:pPr>
    </w:p>
    <w:p w14:paraId="0A5925B9" w14:textId="33BE3DFF" w:rsidR="080AB871" w:rsidRDefault="6C95519D" w:rsidP="502784EB">
      <w:pPr>
        <w:pStyle w:val="Prrafodelista"/>
        <w:numPr>
          <w:ilvl w:val="0"/>
          <w:numId w:val="10"/>
        </w:numPr>
        <w:spacing w:after="0" w:line="257" w:lineRule="auto"/>
        <w:jc w:val="both"/>
        <w:rPr>
          <w:rFonts w:ascii="Arial" w:eastAsia="Arial" w:hAnsi="Arial" w:cs="Arial"/>
          <w:color w:val="000000" w:themeColor="text1"/>
        </w:rPr>
      </w:pPr>
      <w:r w:rsidRPr="502784EB">
        <w:rPr>
          <w:rFonts w:ascii="Arial" w:eastAsia="Arial" w:hAnsi="Arial" w:cs="Arial"/>
          <w:color w:val="000000" w:themeColor="text1"/>
        </w:rPr>
        <w:t xml:space="preserve">Los médicos deben utilizar la </w:t>
      </w:r>
      <w:proofErr w:type="spellStart"/>
      <w:r w:rsidR="2CE0E533" w:rsidRPr="502784EB">
        <w:rPr>
          <w:rFonts w:ascii="Arial" w:eastAsia="Arial" w:hAnsi="Arial" w:cs="Arial"/>
          <w:color w:val="000000" w:themeColor="text1"/>
        </w:rPr>
        <w:t>Palliative</w:t>
      </w:r>
      <w:proofErr w:type="spellEnd"/>
      <w:r w:rsidR="2CE0E533" w:rsidRPr="502784EB">
        <w:rPr>
          <w:rFonts w:ascii="Arial" w:eastAsia="Arial" w:hAnsi="Arial" w:cs="Arial"/>
          <w:color w:val="000000" w:themeColor="text1"/>
        </w:rPr>
        <w:t xml:space="preserve"> Performance </w:t>
      </w:r>
      <w:proofErr w:type="spellStart"/>
      <w:r w:rsidR="2CE0E533" w:rsidRPr="502784EB">
        <w:rPr>
          <w:rFonts w:ascii="Arial" w:eastAsia="Arial" w:hAnsi="Arial" w:cs="Arial"/>
          <w:color w:val="000000" w:themeColor="text1"/>
        </w:rPr>
        <w:t>Scale</w:t>
      </w:r>
      <w:proofErr w:type="spellEnd"/>
      <w:r w:rsidRPr="502784EB">
        <w:rPr>
          <w:rFonts w:ascii="Arial" w:eastAsia="Arial" w:hAnsi="Arial" w:cs="Arial"/>
          <w:color w:val="000000" w:themeColor="text1"/>
        </w:rPr>
        <w:t xml:space="preserve"> (PPS) u otras medidas de </w:t>
      </w:r>
      <w:r w:rsidR="67991A65" w:rsidRPr="502784EB">
        <w:rPr>
          <w:rFonts w:ascii="Arial" w:eastAsia="Arial" w:hAnsi="Arial" w:cs="Arial"/>
          <w:color w:val="000000" w:themeColor="text1"/>
        </w:rPr>
        <w:t>funcionalidad</w:t>
      </w:r>
      <w:r w:rsidRPr="502784EB">
        <w:rPr>
          <w:rFonts w:ascii="Arial" w:eastAsia="Arial" w:hAnsi="Arial" w:cs="Arial"/>
          <w:color w:val="000000" w:themeColor="text1"/>
        </w:rPr>
        <w:t xml:space="preserve"> como factor pronóstico para distinguir entre pacientes con cáncer avanzado y una expectativa de supervivencia de semanas a meses, con diferentes perspectivas de supervivencia [III, A].(1</w:t>
      </w:r>
      <w:r w:rsidR="0BD823DB" w:rsidRPr="502784EB">
        <w:rPr>
          <w:rFonts w:ascii="Arial" w:eastAsia="Arial" w:hAnsi="Arial" w:cs="Arial"/>
          <w:color w:val="000000" w:themeColor="text1"/>
        </w:rPr>
        <w:t>8</w:t>
      </w:r>
      <w:r w:rsidRPr="502784EB">
        <w:rPr>
          <w:rFonts w:ascii="Arial" w:eastAsia="Arial" w:hAnsi="Arial" w:cs="Arial"/>
          <w:color w:val="000000" w:themeColor="text1"/>
        </w:rPr>
        <w:t>)</w:t>
      </w:r>
    </w:p>
    <w:p w14:paraId="1B1D68DA" w14:textId="5755FC90" w:rsidR="502784EB" w:rsidRDefault="502784EB" w:rsidP="502784EB">
      <w:pPr>
        <w:spacing w:after="0" w:line="257" w:lineRule="auto"/>
        <w:ind w:left="720"/>
        <w:jc w:val="both"/>
        <w:rPr>
          <w:rFonts w:ascii="Arial" w:eastAsia="Arial" w:hAnsi="Arial" w:cs="Arial"/>
          <w:color w:val="000000" w:themeColor="text1"/>
        </w:rPr>
      </w:pPr>
    </w:p>
    <w:p w14:paraId="242C110E" w14:textId="6778F9FF" w:rsidR="080AB871" w:rsidRDefault="6C95519D" w:rsidP="502784EB">
      <w:pPr>
        <w:pStyle w:val="Prrafodelista"/>
        <w:numPr>
          <w:ilvl w:val="0"/>
          <w:numId w:val="10"/>
        </w:numPr>
        <w:spacing w:after="0" w:line="257" w:lineRule="auto"/>
        <w:jc w:val="both"/>
        <w:rPr>
          <w:rFonts w:ascii="Arial" w:eastAsia="Arial" w:hAnsi="Arial" w:cs="Arial"/>
          <w:color w:val="000000" w:themeColor="text1"/>
        </w:rPr>
      </w:pPr>
      <w:r w:rsidRPr="502784EB">
        <w:rPr>
          <w:rFonts w:ascii="Arial" w:eastAsia="Arial" w:hAnsi="Arial" w:cs="Arial"/>
          <w:color w:val="000000" w:themeColor="text1"/>
        </w:rPr>
        <w:t>Los médicos deben estar atentos a los síntomas físicos objetivos que indican un pronóstico de días a semanas, especialmente el deterioro de</w:t>
      </w:r>
      <w:r w:rsidR="61A60A0C" w:rsidRPr="502784EB">
        <w:rPr>
          <w:rFonts w:ascii="Arial" w:eastAsia="Arial" w:hAnsi="Arial" w:cs="Arial"/>
          <w:color w:val="000000" w:themeColor="text1"/>
        </w:rPr>
        <w:t xml:space="preserve"> la funcionalidad</w:t>
      </w:r>
      <w:r w:rsidRPr="502784EB">
        <w:rPr>
          <w:rFonts w:ascii="Arial" w:eastAsia="Arial" w:hAnsi="Arial" w:cs="Arial"/>
          <w:color w:val="000000" w:themeColor="text1"/>
        </w:rPr>
        <w:t>.(</w:t>
      </w:r>
      <w:r w:rsidR="5968257E" w:rsidRPr="502784EB">
        <w:rPr>
          <w:rFonts w:ascii="Arial" w:eastAsia="Arial" w:hAnsi="Arial" w:cs="Arial"/>
          <w:color w:val="000000" w:themeColor="text1"/>
        </w:rPr>
        <w:t>6</w:t>
      </w:r>
      <w:r w:rsidRPr="502784EB">
        <w:rPr>
          <w:rFonts w:ascii="Arial" w:eastAsia="Arial" w:hAnsi="Arial" w:cs="Arial"/>
          <w:color w:val="000000" w:themeColor="text1"/>
        </w:rPr>
        <w:t>)</w:t>
      </w:r>
      <w:r w:rsidR="653CBD87" w:rsidRPr="502784EB">
        <w:rPr>
          <w:rFonts w:ascii="Arial" w:eastAsia="Arial" w:hAnsi="Arial" w:cs="Arial"/>
          <w:color w:val="000000" w:themeColor="text1"/>
        </w:rPr>
        <w:t xml:space="preserve"> (I,A)</w:t>
      </w:r>
    </w:p>
    <w:p w14:paraId="1B5FA4D2" w14:textId="6731DFA7" w:rsidR="502784EB" w:rsidRDefault="502784EB" w:rsidP="502784EB">
      <w:pPr>
        <w:spacing w:after="0" w:line="257" w:lineRule="auto"/>
        <w:ind w:left="720"/>
        <w:jc w:val="both"/>
        <w:rPr>
          <w:rFonts w:ascii="Arial" w:eastAsia="Arial" w:hAnsi="Arial" w:cs="Arial"/>
          <w:color w:val="000000" w:themeColor="text1"/>
        </w:rPr>
      </w:pPr>
    </w:p>
    <w:p w14:paraId="1C4EA14E" w14:textId="4795EC78" w:rsidR="080AB871" w:rsidRDefault="6C95519D" w:rsidP="502784EB">
      <w:pPr>
        <w:pStyle w:val="Prrafodelista"/>
        <w:numPr>
          <w:ilvl w:val="0"/>
          <w:numId w:val="10"/>
        </w:numPr>
        <w:spacing w:after="0" w:line="257" w:lineRule="auto"/>
        <w:jc w:val="both"/>
        <w:rPr>
          <w:rFonts w:ascii="Arial" w:eastAsia="Arial" w:hAnsi="Arial" w:cs="Arial"/>
          <w:color w:val="000000" w:themeColor="text1"/>
        </w:rPr>
      </w:pPr>
      <w:r w:rsidRPr="502784EB">
        <w:rPr>
          <w:rFonts w:ascii="Arial" w:eastAsia="Arial" w:hAnsi="Arial" w:cs="Arial"/>
          <w:color w:val="000000" w:themeColor="text1"/>
        </w:rPr>
        <w:t>El mal pronóstico está asociado con el deterioro d</w:t>
      </w:r>
      <w:r w:rsidR="5F98247F" w:rsidRPr="502784EB">
        <w:rPr>
          <w:rFonts w:ascii="Arial" w:eastAsia="Arial" w:hAnsi="Arial" w:cs="Arial"/>
          <w:color w:val="000000" w:themeColor="text1"/>
        </w:rPr>
        <w:t>e la funcionalidad</w:t>
      </w:r>
      <w:r w:rsidRPr="502784EB">
        <w:rPr>
          <w:rFonts w:ascii="Arial" w:eastAsia="Arial" w:hAnsi="Arial" w:cs="Arial"/>
          <w:color w:val="000000" w:themeColor="text1"/>
        </w:rPr>
        <w:t xml:space="preserve"> y la aparición o empeoramiento de síntomas como disnea, disfagia, pérdida de peso, xerostomía, anorexia y deterioro cognitivo.(</w:t>
      </w:r>
      <w:r w:rsidR="66544AAD" w:rsidRPr="502784EB">
        <w:rPr>
          <w:rFonts w:ascii="Arial" w:eastAsia="Arial" w:hAnsi="Arial" w:cs="Arial"/>
          <w:color w:val="000000" w:themeColor="text1"/>
        </w:rPr>
        <w:t>6</w:t>
      </w:r>
      <w:r w:rsidRPr="502784EB">
        <w:rPr>
          <w:rFonts w:ascii="Arial" w:eastAsia="Arial" w:hAnsi="Arial" w:cs="Arial"/>
          <w:color w:val="000000" w:themeColor="text1"/>
        </w:rPr>
        <w:t>)</w:t>
      </w:r>
      <w:r w:rsidR="2C9A6A6A" w:rsidRPr="502784EB">
        <w:rPr>
          <w:rFonts w:ascii="Arial" w:eastAsia="Arial" w:hAnsi="Arial" w:cs="Arial"/>
          <w:color w:val="000000" w:themeColor="text1"/>
        </w:rPr>
        <w:t xml:space="preserve"> (I,A)</w:t>
      </w:r>
    </w:p>
    <w:p w14:paraId="61A0801F" w14:textId="21E280ED" w:rsidR="6968984F" w:rsidRDefault="6968984F" w:rsidP="6968984F">
      <w:pPr>
        <w:spacing w:line="257" w:lineRule="auto"/>
        <w:jc w:val="both"/>
        <w:rPr>
          <w:rFonts w:ascii="Arial" w:eastAsia="Arial" w:hAnsi="Arial" w:cs="Arial"/>
        </w:rPr>
      </w:pPr>
    </w:p>
    <w:p w14:paraId="5C0A21A1" w14:textId="318BB7BD" w:rsidR="080AB871" w:rsidRDefault="6C95519D" w:rsidP="6968984F">
      <w:pPr>
        <w:spacing w:line="257" w:lineRule="auto"/>
        <w:jc w:val="both"/>
        <w:rPr>
          <w:rFonts w:ascii="Arial" w:eastAsia="Arial" w:hAnsi="Arial" w:cs="Arial"/>
          <w:b/>
          <w:bCs/>
          <w:color w:val="000000" w:themeColor="text1"/>
        </w:rPr>
      </w:pPr>
      <w:r w:rsidRPr="502784EB">
        <w:rPr>
          <w:rFonts w:ascii="Arial" w:eastAsia="Arial" w:hAnsi="Arial" w:cs="Arial"/>
          <w:b/>
          <w:bCs/>
          <w:color w:val="000000" w:themeColor="text1"/>
        </w:rPr>
        <w:t>Grado de Recomendación B</w:t>
      </w:r>
    </w:p>
    <w:p w14:paraId="0FF3A27C" w14:textId="758243EB" w:rsidR="080AB871" w:rsidRDefault="6C95519D" w:rsidP="502784EB">
      <w:pPr>
        <w:pStyle w:val="Prrafodelista"/>
        <w:numPr>
          <w:ilvl w:val="0"/>
          <w:numId w:val="9"/>
        </w:numPr>
        <w:spacing w:after="0" w:line="257" w:lineRule="auto"/>
        <w:jc w:val="both"/>
        <w:rPr>
          <w:rFonts w:ascii="Arial" w:eastAsia="Arial" w:hAnsi="Arial" w:cs="Arial"/>
          <w:color w:val="000000" w:themeColor="text1"/>
        </w:rPr>
      </w:pPr>
      <w:r w:rsidRPr="502784EB">
        <w:rPr>
          <w:rFonts w:ascii="Arial" w:eastAsia="Arial" w:hAnsi="Arial" w:cs="Arial"/>
          <w:color w:val="000000" w:themeColor="text1"/>
        </w:rPr>
        <w:t>La</w:t>
      </w:r>
      <w:r w:rsidR="4691C3D9" w:rsidRPr="502784EB">
        <w:rPr>
          <w:rFonts w:ascii="Arial" w:eastAsia="Arial" w:hAnsi="Arial" w:cs="Arial"/>
          <w:color w:val="000000" w:themeColor="text1"/>
        </w:rPr>
        <w:t xml:space="preserve"> predicción clínica de supervivencia</w:t>
      </w:r>
      <w:r w:rsidRPr="502784EB">
        <w:rPr>
          <w:rFonts w:ascii="Arial" w:eastAsia="Arial" w:hAnsi="Arial" w:cs="Arial"/>
          <w:color w:val="000000" w:themeColor="text1"/>
        </w:rPr>
        <w:t xml:space="preserve"> debe utilizarse para identificar pacientes en los que la muerte es inminente [III, B].(1</w:t>
      </w:r>
      <w:r w:rsidR="0A022AD1" w:rsidRPr="502784EB">
        <w:rPr>
          <w:rFonts w:ascii="Arial" w:eastAsia="Arial" w:hAnsi="Arial" w:cs="Arial"/>
          <w:color w:val="000000" w:themeColor="text1"/>
        </w:rPr>
        <w:t>8</w:t>
      </w:r>
      <w:r w:rsidRPr="502784EB">
        <w:rPr>
          <w:rFonts w:ascii="Arial" w:eastAsia="Arial" w:hAnsi="Arial" w:cs="Arial"/>
          <w:color w:val="000000" w:themeColor="text1"/>
        </w:rPr>
        <w:t>)</w:t>
      </w:r>
    </w:p>
    <w:p w14:paraId="001AC1B6" w14:textId="67AA31DA" w:rsidR="080AB871" w:rsidRDefault="6C95519D" w:rsidP="502784EB">
      <w:pPr>
        <w:pStyle w:val="Prrafodelista"/>
        <w:numPr>
          <w:ilvl w:val="0"/>
          <w:numId w:val="9"/>
        </w:numPr>
        <w:spacing w:after="0" w:line="257" w:lineRule="auto"/>
        <w:jc w:val="both"/>
        <w:rPr>
          <w:rFonts w:ascii="Arial" w:eastAsia="Arial" w:hAnsi="Arial" w:cs="Arial"/>
          <w:color w:val="000000" w:themeColor="text1"/>
        </w:rPr>
      </w:pPr>
      <w:r w:rsidRPr="502784EB">
        <w:rPr>
          <w:rFonts w:ascii="Arial" w:eastAsia="Arial" w:hAnsi="Arial" w:cs="Arial"/>
          <w:color w:val="000000" w:themeColor="text1"/>
        </w:rPr>
        <w:t xml:space="preserve">Los signos tardíos de muerte inminente (por ejemplo, pulso radial ausente, hiperextensión del cuello, respiración con movimiento mandibular, estertores de muerte, caída del pliegue </w:t>
      </w:r>
      <w:proofErr w:type="spellStart"/>
      <w:r w:rsidRPr="502784EB">
        <w:rPr>
          <w:rFonts w:ascii="Arial" w:eastAsia="Arial" w:hAnsi="Arial" w:cs="Arial"/>
          <w:color w:val="000000" w:themeColor="text1"/>
        </w:rPr>
        <w:t>nasolabial</w:t>
      </w:r>
      <w:proofErr w:type="spellEnd"/>
      <w:r w:rsidRPr="502784EB">
        <w:rPr>
          <w:rFonts w:ascii="Arial" w:eastAsia="Arial" w:hAnsi="Arial" w:cs="Arial"/>
          <w:color w:val="000000" w:themeColor="text1"/>
        </w:rPr>
        <w:t>) podrían considerarse para ayudar a identificar la muerte inminente dentro de los 3 días [III, B].(1</w:t>
      </w:r>
      <w:r w:rsidR="03EF6F47" w:rsidRPr="502784EB">
        <w:rPr>
          <w:rFonts w:ascii="Arial" w:eastAsia="Arial" w:hAnsi="Arial" w:cs="Arial"/>
          <w:color w:val="000000" w:themeColor="text1"/>
        </w:rPr>
        <w:t>8</w:t>
      </w:r>
      <w:r w:rsidRPr="502784EB">
        <w:rPr>
          <w:rFonts w:ascii="Arial" w:eastAsia="Arial" w:hAnsi="Arial" w:cs="Arial"/>
          <w:color w:val="000000" w:themeColor="text1"/>
        </w:rPr>
        <w:t>)</w:t>
      </w:r>
    </w:p>
    <w:p w14:paraId="121F30F0" w14:textId="35D08379" w:rsidR="502784EB" w:rsidRDefault="502784EB" w:rsidP="502784EB">
      <w:pPr>
        <w:pStyle w:val="Prrafodelista"/>
        <w:spacing w:after="0" w:line="257" w:lineRule="auto"/>
        <w:jc w:val="both"/>
        <w:rPr>
          <w:rFonts w:ascii="Arial" w:eastAsia="Arial" w:hAnsi="Arial" w:cs="Arial"/>
          <w:color w:val="000000" w:themeColor="text1"/>
        </w:rPr>
      </w:pPr>
    </w:p>
    <w:p w14:paraId="41C2ED3A" w14:textId="65DD9C42" w:rsidR="080AB871" w:rsidRDefault="6C95519D" w:rsidP="502784EB">
      <w:pPr>
        <w:pStyle w:val="Prrafodelista"/>
        <w:numPr>
          <w:ilvl w:val="0"/>
          <w:numId w:val="9"/>
        </w:numPr>
        <w:spacing w:after="0" w:line="257" w:lineRule="auto"/>
        <w:jc w:val="both"/>
        <w:rPr>
          <w:rFonts w:ascii="Arial" w:eastAsia="Arial" w:hAnsi="Arial" w:cs="Arial"/>
          <w:color w:val="000000" w:themeColor="text1"/>
        </w:rPr>
      </w:pPr>
      <w:r w:rsidRPr="502784EB">
        <w:rPr>
          <w:rFonts w:ascii="Arial" w:eastAsia="Arial" w:hAnsi="Arial" w:cs="Arial"/>
          <w:color w:val="000000" w:themeColor="text1"/>
        </w:rPr>
        <w:t xml:space="preserve">El uso rutinario de herramientas </w:t>
      </w:r>
      <w:proofErr w:type="spellStart"/>
      <w:r w:rsidRPr="502784EB">
        <w:rPr>
          <w:rFonts w:ascii="Arial" w:eastAsia="Arial" w:hAnsi="Arial" w:cs="Arial"/>
          <w:color w:val="000000" w:themeColor="text1"/>
        </w:rPr>
        <w:t>pronósticas</w:t>
      </w:r>
      <w:proofErr w:type="spellEnd"/>
      <w:r w:rsidRPr="502784EB">
        <w:rPr>
          <w:rFonts w:ascii="Arial" w:eastAsia="Arial" w:hAnsi="Arial" w:cs="Arial"/>
          <w:color w:val="000000" w:themeColor="text1"/>
        </w:rPr>
        <w:t xml:space="preserve"> puede mejorar la precisión de las predicciones de los médicos</w:t>
      </w:r>
      <w:r w:rsidR="713F9223" w:rsidRPr="502784EB">
        <w:rPr>
          <w:rFonts w:ascii="Arial" w:eastAsia="Arial" w:hAnsi="Arial" w:cs="Arial"/>
          <w:color w:val="000000" w:themeColor="text1"/>
        </w:rPr>
        <w:t xml:space="preserve"> [III, B]</w:t>
      </w:r>
      <w:r w:rsidRPr="502784EB">
        <w:rPr>
          <w:rFonts w:ascii="Arial" w:eastAsia="Arial" w:hAnsi="Arial" w:cs="Arial"/>
          <w:color w:val="000000" w:themeColor="text1"/>
        </w:rPr>
        <w:t>.(</w:t>
      </w:r>
      <w:r w:rsidR="304F69C9" w:rsidRPr="502784EB">
        <w:rPr>
          <w:rFonts w:ascii="Arial" w:eastAsia="Arial" w:hAnsi="Arial" w:cs="Arial"/>
          <w:color w:val="000000" w:themeColor="text1"/>
        </w:rPr>
        <w:t>6</w:t>
      </w:r>
      <w:r w:rsidRPr="502784EB">
        <w:rPr>
          <w:rFonts w:ascii="Arial" w:eastAsia="Arial" w:hAnsi="Arial" w:cs="Arial"/>
          <w:color w:val="000000" w:themeColor="text1"/>
        </w:rPr>
        <w:t>)</w:t>
      </w:r>
    </w:p>
    <w:p w14:paraId="2BFA2969" w14:textId="0708C2A7" w:rsidR="6968984F" w:rsidRDefault="6968984F" w:rsidP="6968984F">
      <w:pPr>
        <w:spacing w:line="257" w:lineRule="auto"/>
        <w:jc w:val="both"/>
        <w:rPr>
          <w:rFonts w:ascii="Arial" w:eastAsia="Arial" w:hAnsi="Arial" w:cs="Arial"/>
        </w:rPr>
      </w:pPr>
    </w:p>
    <w:p w14:paraId="603C06F6" w14:textId="76678F5A" w:rsidR="080AB871" w:rsidRDefault="6C95519D" w:rsidP="6968984F">
      <w:pPr>
        <w:spacing w:line="257" w:lineRule="auto"/>
        <w:jc w:val="both"/>
        <w:rPr>
          <w:rFonts w:ascii="Arial" w:eastAsia="Arial" w:hAnsi="Arial" w:cs="Arial"/>
          <w:b/>
          <w:bCs/>
          <w:color w:val="000000" w:themeColor="text1"/>
        </w:rPr>
      </w:pPr>
      <w:r w:rsidRPr="502784EB">
        <w:rPr>
          <w:rFonts w:ascii="Arial" w:eastAsia="Arial" w:hAnsi="Arial" w:cs="Arial"/>
          <w:b/>
          <w:bCs/>
          <w:color w:val="000000" w:themeColor="text1"/>
        </w:rPr>
        <w:t>Grado de Recomendación C</w:t>
      </w:r>
    </w:p>
    <w:p w14:paraId="332D1341" w14:textId="0DF23D74" w:rsidR="080AB871" w:rsidRDefault="6C95519D" w:rsidP="502784EB">
      <w:pPr>
        <w:pStyle w:val="Prrafodelista"/>
        <w:numPr>
          <w:ilvl w:val="0"/>
          <w:numId w:val="8"/>
        </w:numPr>
        <w:spacing w:after="0" w:line="257" w:lineRule="auto"/>
        <w:jc w:val="both"/>
        <w:rPr>
          <w:rFonts w:ascii="Arial" w:eastAsia="Arial" w:hAnsi="Arial" w:cs="Arial"/>
          <w:color w:val="000000" w:themeColor="text1"/>
        </w:rPr>
      </w:pPr>
      <w:r w:rsidRPr="502784EB">
        <w:rPr>
          <w:rFonts w:ascii="Arial" w:eastAsia="Arial" w:hAnsi="Arial" w:cs="Arial"/>
          <w:color w:val="000000" w:themeColor="text1"/>
        </w:rPr>
        <w:t>Se sugiere que los médicos utilicen estimaciones de supervivencia basadas en aportes de múltiples profesionales para complementar su propio juicio clínico [III, C</w:t>
      </w:r>
      <w:r w:rsidR="0DA228C4" w:rsidRPr="502784EB">
        <w:rPr>
          <w:rFonts w:ascii="Arial" w:eastAsia="Arial" w:hAnsi="Arial" w:cs="Arial"/>
          <w:color w:val="000000" w:themeColor="text1"/>
        </w:rPr>
        <w:t>]. (</w:t>
      </w:r>
      <w:r w:rsidRPr="502784EB">
        <w:rPr>
          <w:rFonts w:ascii="Arial" w:eastAsia="Arial" w:hAnsi="Arial" w:cs="Arial"/>
          <w:color w:val="000000" w:themeColor="text1"/>
        </w:rPr>
        <w:t>1</w:t>
      </w:r>
      <w:r w:rsidR="7A4EB9A6" w:rsidRPr="502784EB">
        <w:rPr>
          <w:rFonts w:ascii="Arial" w:eastAsia="Arial" w:hAnsi="Arial" w:cs="Arial"/>
          <w:color w:val="000000" w:themeColor="text1"/>
        </w:rPr>
        <w:t>8</w:t>
      </w:r>
      <w:r w:rsidRPr="502784EB">
        <w:rPr>
          <w:rFonts w:ascii="Arial" w:eastAsia="Arial" w:hAnsi="Arial" w:cs="Arial"/>
          <w:color w:val="000000" w:themeColor="text1"/>
        </w:rPr>
        <w:t>)</w:t>
      </w:r>
    </w:p>
    <w:p w14:paraId="145E30D2" w14:textId="70401BCC" w:rsidR="502784EB" w:rsidRDefault="502784EB" w:rsidP="502784EB">
      <w:pPr>
        <w:pStyle w:val="Prrafodelista"/>
        <w:spacing w:after="0" w:line="257" w:lineRule="auto"/>
        <w:jc w:val="both"/>
        <w:rPr>
          <w:rFonts w:ascii="Arial" w:eastAsia="Arial" w:hAnsi="Arial" w:cs="Arial"/>
          <w:color w:val="000000" w:themeColor="text1"/>
        </w:rPr>
      </w:pPr>
    </w:p>
    <w:p w14:paraId="4DBEF30A" w14:textId="617EC9B2" w:rsidR="080AB871" w:rsidRDefault="6C95519D" w:rsidP="502784EB">
      <w:pPr>
        <w:pStyle w:val="Prrafodelista"/>
        <w:numPr>
          <w:ilvl w:val="0"/>
          <w:numId w:val="8"/>
        </w:numPr>
        <w:spacing w:after="0" w:line="257" w:lineRule="auto"/>
        <w:jc w:val="both"/>
        <w:rPr>
          <w:rFonts w:ascii="Arial" w:eastAsia="Arial" w:hAnsi="Arial" w:cs="Arial"/>
          <w:color w:val="000000" w:themeColor="text1"/>
        </w:rPr>
      </w:pPr>
      <w:r w:rsidRPr="502784EB">
        <w:rPr>
          <w:rFonts w:ascii="Arial" w:eastAsia="Arial" w:hAnsi="Arial" w:cs="Arial"/>
          <w:color w:val="000000" w:themeColor="text1"/>
        </w:rPr>
        <w:lastRenderedPageBreak/>
        <w:t xml:space="preserve">Opcionalmente, los médicos podrían considerar el uso de modelos </w:t>
      </w:r>
      <w:proofErr w:type="spellStart"/>
      <w:r w:rsidRPr="502784EB">
        <w:rPr>
          <w:rFonts w:ascii="Arial" w:eastAsia="Arial" w:hAnsi="Arial" w:cs="Arial"/>
          <w:color w:val="000000" w:themeColor="text1"/>
        </w:rPr>
        <w:t>multivariables</w:t>
      </w:r>
      <w:proofErr w:type="spellEnd"/>
      <w:r w:rsidRPr="502784EB">
        <w:rPr>
          <w:rFonts w:ascii="Arial" w:eastAsia="Arial" w:hAnsi="Arial" w:cs="Arial"/>
          <w:color w:val="000000" w:themeColor="text1"/>
        </w:rPr>
        <w:t xml:space="preserve"> de predicción de riesgo individual para discriminar entre pacientes con diferentes perspectivas de supervivencia [III, C</w:t>
      </w:r>
      <w:r w:rsidR="649F40EB" w:rsidRPr="502784EB">
        <w:rPr>
          <w:rFonts w:ascii="Arial" w:eastAsia="Arial" w:hAnsi="Arial" w:cs="Arial"/>
          <w:color w:val="000000" w:themeColor="text1"/>
        </w:rPr>
        <w:t>]. (</w:t>
      </w:r>
      <w:r w:rsidRPr="502784EB">
        <w:rPr>
          <w:rFonts w:ascii="Arial" w:eastAsia="Arial" w:hAnsi="Arial" w:cs="Arial"/>
          <w:color w:val="000000" w:themeColor="text1"/>
        </w:rPr>
        <w:t>1</w:t>
      </w:r>
      <w:r w:rsidR="61B2456F" w:rsidRPr="502784EB">
        <w:rPr>
          <w:rFonts w:ascii="Arial" w:eastAsia="Arial" w:hAnsi="Arial" w:cs="Arial"/>
          <w:color w:val="000000" w:themeColor="text1"/>
        </w:rPr>
        <w:t>8</w:t>
      </w:r>
      <w:r w:rsidRPr="502784EB">
        <w:rPr>
          <w:rFonts w:ascii="Arial" w:eastAsia="Arial" w:hAnsi="Arial" w:cs="Arial"/>
          <w:color w:val="000000" w:themeColor="text1"/>
        </w:rPr>
        <w:t>)</w:t>
      </w:r>
    </w:p>
    <w:p w14:paraId="7AB5FF22" w14:textId="40A07E44" w:rsidR="080AB871" w:rsidRDefault="080AB871" w:rsidP="502784EB">
      <w:pPr>
        <w:spacing w:after="0" w:line="257" w:lineRule="auto"/>
        <w:jc w:val="both"/>
        <w:rPr>
          <w:rFonts w:ascii="Arial" w:eastAsia="Arial" w:hAnsi="Arial" w:cs="Arial"/>
          <w:b/>
          <w:bCs/>
          <w:color w:val="000000" w:themeColor="text1"/>
        </w:rPr>
      </w:pPr>
    </w:p>
    <w:p w14:paraId="0AA413B3" w14:textId="24A00759" w:rsidR="080AB871" w:rsidRDefault="6C95519D" w:rsidP="502784EB">
      <w:pPr>
        <w:pStyle w:val="Prrafodelista"/>
        <w:numPr>
          <w:ilvl w:val="0"/>
          <w:numId w:val="8"/>
        </w:numPr>
        <w:spacing w:after="0" w:line="257" w:lineRule="auto"/>
        <w:jc w:val="both"/>
        <w:rPr>
          <w:rFonts w:ascii="Arial" w:eastAsia="Arial" w:hAnsi="Arial" w:cs="Arial"/>
          <w:color w:val="000000" w:themeColor="text1"/>
        </w:rPr>
      </w:pPr>
      <w:r w:rsidRPr="502784EB">
        <w:rPr>
          <w:rFonts w:ascii="Arial" w:eastAsia="Arial" w:hAnsi="Arial" w:cs="Arial"/>
          <w:color w:val="000000" w:themeColor="text1"/>
        </w:rPr>
        <w:t xml:space="preserve">Se sugiere que los médicos podrían utilizar preferentemente modelos pronósticos validados (por ejemplo, </w:t>
      </w:r>
      <w:proofErr w:type="spellStart"/>
      <w:r w:rsidRPr="502784EB">
        <w:rPr>
          <w:rFonts w:ascii="Arial" w:eastAsia="Arial" w:hAnsi="Arial" w:cs="Arial"/>
          <w:color w:val="000000" w:themeColor="text1"/>
        </w:rPr>
        <w:t>PaP</w:t>
      </w:r>
      <w:proofErr w:type="spellEnd"/>
      <w:r w:rsidRPr="502784EB">
        <w:rPr>
          <w:rFonts w:ascii="Arial" w:eastAsia="Arial" w:hAnsi="Arial" w:cs="Arial"/>
          <w:color w:val="000000" w:themeColor="text1"/>
        </w:rPr>
        <w:t xml:space="preserve">, </w:t>
      </w:r>
      <w:proofErr w:type="spellStart"/>
      <w:r w:rsidRPr="502784EB">
        <w:rPr>
          <w:rFonts w:ascii="Arial" w:eastAsia="Arial" w:hAnsi="Arial" w:cs="Arial"/>
          <w:color w:val="000000" w:themeColor="text1"/>
        </w:rPr>
        <w:t>PiPS</w:t>
      </w:r>
      <w:proofErr w:type="spellEnd"/>
      <w:r w:rsidRPr="502784EB">
        <w:rPr>
          <w:rFonts w:ascii="Arial" w:eastAsia="Arial" w:hAnsi="Arial" w:cs="Arial"/>
          <w:color w:val="000000" w:themeColor="text1"/>
        </w:rPr>
        <w:t>-B, FPN), que han demostrado ser tan precisos como las predicciones de supervivencia de médicos expertos, para calcular niveles de riesgo individualizados [III, C].(1</w:t>
      </w:r>
      <w:r w:rsidR="398361E2" w:rsidRPr="502784EB">
        <w:rPr>
          <w:rFonts w:ascii="Arial" w:eastAsia="Arial" w:hAnsi="Arial" w:cs="Arial"/>
          <w:color w:val="000000" w:themeColor="text1"/>
        </w:rPr>
        <w:t>8</w:t>
      </w:r>
      <w:r w:rsidRPr="502784EB">
        <w:rPr>
          <w:rFonts w:ascii="Arial" w:eastAsia="Arial" w:hAnsi="Arial" w:cs="Arial"/>
          <w:color w:val="000000" w:themeColor="text1"/>
        </w:rPr>
        <w:t>)</w:t>
      </w:r>
    </w:p>
    <w:p w14:paraId="489C8DCE" w14:textId="6B603C1E" w:rsidR="502784EB" w:rsidRDefault="502784EB" w:rsidP="502784EB">
      <w:pPr>
        <w:pStyle w:val="Prrafodelista"/>
        <w:spacing w:after="0" w:line="257" w:lineRule="auto"/>
        <w:jc w:val="both"/>
        <w:rPr>
          <w:rFonts w:ascii="Arial" w:eastAsia="Arial" w:hAnsi="Arial" w:cs="Arial"/>
          <w:color w:val="000000" w:themeColor="text1"/>
        </w:rPr>
      </w:pPr>
    </w:p>
    <w:p w14:paraId="21188CE7" w14:textId="05068900" w:rsidR="080AB871" w:rsidRDefault="6C95519D" w:rsidP="502784EB">
      <w:pPr>
        <w:pStyle w:val="Prrafodelista"/>
        <w:numPr>
          <w:ilvl w:val="0"/>
          <w:numId w:val="8"/>
        </w:numPr>
        <w:spacing w:after="0" w:line="257" w:lineRule="auto"/>
        <w:jc w:val="both"/>
        <w:rPr>
          <w:rFonts w:ascii="Arial" w:eastAsia="Arial" w:hAnsi="Arial" w:cs="Arial"/>
          <w:color w:val="000000" w:themeColor="text1"/>
        </w:rPr>
      </w:pPr>
      <w:r w:rsidRPr="502784EB">
        <w:rPr>
          <w:rFonts w:ascii="Arial" w:eastAsia="Arial" w:hAnsi="Arial" w:cs="Arial"/>
          <w:color w:val="000000" w:themeColor="text1"/>
        </w:rPr>
        <w:t xml:space="preserve">El uso de otras herramientas </w:t>
      </w:r>
      <w:proofErr w:type="spellStart"/>
      <w:r w:rsidRPr="502784EB">
        <w:rPr>
          <w:rFonts w:ascii="Arial" w:eastAsia="Arial" w:hAnsi="Arial" w:cs="Arial"/>
          <w:color w:val="000000" w:themeColor="text1"/>
        </w:rPr>
        <w:t>pronósticas</w:t>
      </w:r>
      <w:proofErr w:type="spellEnd"/>
      <w:r w:rsidRPr="502784EB">
        <w:rPr>
          <w:rFonts w:ascii="Arial" w:eastAsia="Arial" w:hAnsi="Arial" w:cs="Arial"/>
          <w:color w:val="000000" w:themeColor="text1"/>
        </w:rPr>
        <w:t xml:space="preserve"> puede considerarse en ciertas circunstancias (por ejemplo, cuando no hay disponible un </w:t>
      </w:r>
      <w:r w:rsidR="143CF108" w:rsidRPr="502784EB">
        <w:rPr>
          <w:rFonts w:ascii="Arial" w:eastAsia="Arial" w:hAnsi="Arial" w:cs="Arial"/>
          <w:color w:val="000000" w:themeColor="text1"/>
        </w:rPr>
        <w:t>experto en predicción clínica</w:t>
      </w:r>
      <w:r w:rsidR="38C658F1" w:rsidRPr="502784EB">
        <w:rPr>
          <w:rFonts w:ascii="Arial" w:eastAsia="Arial" w:hAnsi="Arial" w:cs="Arial"/>
          <w:color w:val="000000" w:themeColor="text1"/>
        </w:rPr>
        <w:t>,</w:t>
      </w:r>
      <w:r w:rsidRPr="502784EB">
        <w:rPr>
          <w:rFonts w:ascii="Arial" w:eastAsia="Arial" w:hAnsi="Arial" w:cs="Arial"/>
          <w:color w:val="000000" w:themeColor="text1"/>
        </w:rPr>
        <w:t xml:space="preserve"> cuando los puntajes pueden calcularse con datos rutinarios o para fines de investigación) [V, C].(1</w:t>
      </w:r>
      <w:r w:rsidR="335AD2E2" w:rsidRPr="502784EB">
        <w:rPr>
          <w:rFonts w:ascii="Arial" w:eastAsia="Arial" w:hAnsi="Arial" w:cs="Arial"/>
          <w:color w:val="000000" w:themeColor="text1"/>
        </w:rPr>
        <w:t>8</w:t>
      </w:r>
      <w:r w:rsidRPr="502784EB">
        <w:rPr>
          <w:rFonts w:ascii="Arial" w:eastAsia="Arial" w:hAnsi="Arial" w:cs="Arial"/>
          <w:color w:val="000000" w:themeColor="text1"/>
        </w:rPr>
        <w:t>)</w:t>
      </w:r>
    </w:p>
    <w:p w14:paraId="5B6BD610" w14:textId="4551A51A" w:rsidR="502784EB" w:rsidRDefault="502784EB" w:rsidP="502784EB">
      <w:pPr>
        <w:pStyle w:val="Prrafodelista"/>
        <w:spacing w:after="0" w:line="257" w:lineRule="auto"/>
        <w:jc w:val="both"/>
        <w:rPr>
          <w:rFonts w:ascii="Arial" w:eastAsia="Arial" w:hAnsi="Arial" w:cs="Arial"/>
          <w:color w:val="000000" w:themeColor="text1"/>
        </w:rPr>
      </w:pPr>
    </w:p>
    <w:p w14:paraId="3B22AA72" w14:textId="499E1745" w:rsidR="080AB871" w:rsidRDefault="6C95519D" w:rsidP="502784EB">
      <w:pPr>
        <w:pStyle w:val="Prrafodelista"/>
        <w:numPr>
          <w:ilvl w:val="0"/>
          <w:numId w:val="8"/>
        </w:numPr>
        <w:spacing w:after="0" w:line="257" w:lineRule="auto"/>
        <w:jc w:val="both"/>
        <w:rPr>
          <w:rFonts w:ascii="Arial" w:eastAsia="Arial" w:hAnsi="Arial" w:cs="Arial"/>
          <w:color w:val="000000" w:themeColor="text1"/>
        </w:rPr>
      </w:pPr>
      <w:r w:rsidRPr="502784EB">
        <w:rPr>
          <w:rFonts w:ascii="Arial" w:eastAsia="Arial" w:hAnsi="Arial" w:cs="Arial"/>
          <w:color w:val="000000" w:themeColor="text1"/>
        </w:rPr>
        <w:t xml:space="preserve">Se sugiere que la elección del modelo pronóstico debe estar influenciada por el tipo de estimación </w:t>
      </w:r>
      <w:proofErr w:type="spellStart"/>
      <w:r w:rsidRPr="502784EB">
        <w:rPr>
          <w:rFonts w:ascii="Arial" w:eastAsia="Arial" w:hAnsi="Arial" w:cs="Arial"/>
          <w:color w:val="000000" w:themeColor="text1"/>
        </w:rPr>
        <w:t>pronóstica</w:t>
      </w:r>
      <w:proofErr w:type="spellEnd"/>
      <w:r w:rsidRPr="502784EB">
        <w:rPr>
          <w:rFonts w:ascii="Arial" w:eastAsia="Arial" w:hAnsi="Arial" w:cs="Arial"/>
          <w:color w:val="000000" w:themeColor="text1"/>
        </w:rPr>
        <w:t xml:space="preserve"> deseada (por ejemplo, cuánto tiempo o cuán probable), la disponibilidad de los datos requeridos (por ejemplo, resultados de análisis de sangre) y el período de tiempo que se está prediciendo [III, C].(1</w:t>
      </w:r>
      <w:r w:rsidR="1368CB94" w:rsidRPr="502784EB">
        <w:rPr>
          <w:rFonts w:ascii="Arial" w:eastAsia="Arial" w:hAnsi="Arial" w:cs="Arial"/>
          <w:color w:val="000000" w:themeColor="text1"/>
        </w:rPr>
        <w:t>8</w:t>
      </w:r>
      <w:r w:rsidRPr="502784EB">
        <w:rPr>
          <w:rFonts w:ascii="Arial" w:eastAsia="Arial" w:hAnsi="Arial" w:cs="Arial"/>
          <w:color w:val="000000" w:themeColor="text1"/>
        </w:rPr>
        <w:t>)</w:t>
      </w:r>
    </w:p>
    <w:p w14:paraId="0FC80C2A" w14:textId="0ED76198" w:rsidR="6968984F" w:rsidRDefault="6968984F" w:rsidP="6968984F">
      <w:pPr>
        <w:spacing w:line="257" w:lineRule="auto"/>
        <w:jc w:val="both"/>
        <w:rPr>
          <w:rFonts w:ascii="Arial" w:eastAsia="Arial" w:hAnsi="Arial" w:cs="Arial"/>
        </w:rPr>
      </w:pPr>
    </w:p>
    <w:p w14:paraId="2D085946" w14:textId="1CBA1AC4" w:rsidR="080AB871" w:rsidRDefault="6C95519D" w:rsidP="6968984F">
      <w:pPr>
        <w:spacing w:line="257" w:lineRule="auto"/>
        <w:jc w:val="both"/>
        <w:rPr>
          <w:rFonts w:ascii="Arial" w:eastAsia="Arial" w:hAnsi="Arial" w:cs="Arial"/>
          <w:b/>
          <w:bCs/>
          <w:color w:val="000000" w:themeColor="text1"/>
        </w:rPr>
      </w:pPr>
      <w:r w:rsidRPr="502784EB">
        <w:rPr>
          <w:rFonts w:ascii="Arial" w:eastAsia="Arial" w:hAnsi="Arial" w:cs="Arial"/>
          <w:b/>
          <w:bCs/>
          <w:color w:val="000000" w:themeColor="text1"/>
        </w:rPr>
        <w:t>Grado de Recomendación D</w:t>
      </w:r>
    </w:p>
    <w:p w14:paraId="0444A3B5" w14:textId="6B618C8D" w:rsidR="080AB871" w:rsidRDefault="6C95519D" w:rsidP="502784EB">
      <w:pPr>
        <w:pStyle w:val="Prrafodelista"/>
        <w:numPr>
          <w:ilvl w:val="0"/>
          <w:numId w:val="5"/>
        </w:numPr>
        <w:spacing w:after="0" w:line="257" w:lineRule="auto"/>
        <w:jc w:val="both"/>
        <w:rPr>
          <w:rFonts w:ascii="Arial" w:eastAsia="Arial" w:hAnsi="Arial" w:cs="Arial"/>
          <w:color w:val="000000" w:themeColor="text1"/>
        </w:rPr>
      </w:pPr>
      <w:r w:rsidRPr="502784EB">
        <w:rPr>
          <w:rFonts w:ascii="Arial" w:eastAsia="Arial" w:hAnsi="Arial" w:cs="Arial"/>
          <w:color w:val="000000" w:themeColor="text1"/>
        </w:rPr>
        <w:t>Los autores aconsejan condicionalmente en contra del uso de modelos de predicción de riesgo individualizados de forma aislada sin el juicio clínico del pronóstico [V, D], y los modelos no deben ser utilizados por pacientes sin la guía de un médico oncólogo o de cuidados paliativos [V, D].(1</w:t>
      </w:r>
      <w:r w:rsidR="2E7D649F" w:rsidRPr="502784EB">
        <w:rPr>
          <w:rFonts w:ascii="Arial" w:eastAsia="Arial" w:hAnsi="Arial" w:cs="Arial"/>
          <w:color w:val="000000" w:themeColor="text1"/>
        </w:rPr>
        <w:t>8</w:t>
      </w:r>
      <w:r w:rsidRPr="502784EB">
        <w:rPr>
          <w:rFonts w:ascii="Arial" w:eastAsia="Arial" w:hAnsi="Arial" w:cs="Arial"/>
          <w:color w:val="000000" w:themeColor="text1"/>
        </w:rPr>
        <w:t>)</w:t>
      </w:r>
    </w:p>
    <w:p w14:paraId="5A72C230" w14:textId="73EEB44A" w:rsidR="6968984F" w:rsidRDefault="6968984F" w:rsidP="6968984F">
      <w:pPr>
        <w:spacing w:line="257" w:lineRule="auto"/>
        <w:jc w:val="both"/>
        <w:rPr>
          <w:rFonts w:ascii="Arial" w:eastAsia="Arial" w:hAnsi="Arial" w:cs="Arial"/>
        </w:rPr>
      </w:pPr>
    </w:p>
    <w:p w14:paraId="0C7B4CE3" w14:textId="679BC4C5" w:rsidR="080AB871" w:rsidRDefault="6C95519D" w:rsidP="6968984F">
      <w:pPr>
        <w:spacing w:line="257" w:lineRule="auto"/>
        <w:jc w:val="both"/>
        <w:rPr>
          <w:rFonts w:ascii="Arial" w:eastAsia="Arial" w:hAnsi="Arial" w:cs="Arial"/>
          <w:b/>
          <w:bCs/>
          <w:color w:val="000000" w:themeColor="text1"/>
        </w:rPr>
      </w:pPr>
      <w:r w:rsidRPr="502784EB">
        <w:rPr>
          <w:rFonts w:ascii="Arial" w:eastAsia="Arial" w:hAnsi="Arial" w:cs="Arial"/>
          <w:b/>
          <w:bCs/>
          <w:color w:val="000000" w:themeColor="text1"/>
        </w:rPr>
        <w:t>Grado de Recomendación E</w:t>
      </w:r>
    </w:p>
    <w:p w14:paraId="6C72A890" w14:textId="6A978904" w:rsidR="6968984F" w:rsidRDefault="6C95519D" w:rsidP="502784EB">
      <w:pPr>
        <w:pStyle w:val="Prrafodelista"/>
        <w:numPr>
          <w:ilvl w:val="0"/>
          <w:numId w:val="4"/>
        </w:numPr>
        <w:spacing w:after="0" w:line="257" w:lineRule="auto"/>
        <w:jc w:val="both"/>
        <w:rPr>
          <w:rFonts w:ascii="Arial" w:eastAsia="Arial" w:hAnsi="Arial" w:cs="Arial"/>
          <w:color w:val="000000" w:themeColor="text1"/>
        </w:rPr>
      </w:pPr>
      <w:r w:rsidRPr="502784EB">
        <w:rPr>
          <w:rFonts w:ascii="Arial" w:eastAsia="Arial" w:hAnsi="Arial" w:cs="Arial"/>
          <w:color w:val="000000" w:themeColor="text1"/>
        </w:rPr>
        <w:t>Los médicos no deben utilizar modelos de predicción de riesgo individualizados de forma aislada sin el juicio clínico del pronóstico [V, E].(1</w:t>
      </w:r>
      <w:r w:rsidR="4B9749B8" w:rsidRPr="502784EB">
        <w:rPr>
          <w:rFonts w:ascii="Arial" w:eastAsia="Arial" w:hAnsi="Arial" w:cs="Arial"/>
          <w:color w:val="000000" w:themeColor="text1"/>
        </w:rPr>
        <w:t>8</w:t>
      </w:r>
      <w:r w:rsidRPr="502784EB">
        <w:rPr>
          <w:rFonts w:ascii="Arial" w:eastAsia="Arial" w:hAnsi="Arial" w:cs="Arial"/>
          <w:color w:val="000000" w:themeColor="text1"/>
        </w:rPr>
        <w:t>)</w:t>
      </w:r>
    </w:p>
    <w:p w14:paraId="6EE9EF1C" w14:textId="5216FECA" w:rsidR="6968984F" w:rsidRDefault="6968984F" w:rsidP="6968984F">
      <w:pPr>
        <w:spacing w:line="257" w:lineRule="auto"/>
        <w:jc w:val="both"/>
        <w:rPr>
          <w:rFonts w:ascii="Arial" w:eastAsia="Arial" w:hAnsi="Arial" w:cs="Arial"/>
        </w:rPr>
      </w:pPr>
    </w:p>
    <w:p w14:paraId="4700E729" w14:textId="2C1FDB3F" w:rsidR="080AB871" w:rsidRDefault="6C95519D" w:rsidP="6968984F">
      <w:pPr>
        <w:spacing w:line="257" w:lineRule="auto"/>
        <w:jc w:val="both"/>
        <w:rPr>
          <w:rFonts w:ascii="Arial" w:eastAsia="Arial" w:hAnsi="Arial" w:cs="Arial"/>
          <w:b/>
          <w:bCs/>
          <w:color w:val="000000" w:themeColor="text1"/>
        </w:rPr>
      </w:pPr>
      <w:r w:rsidRPr="502784EB">
        <w:rPr>
          <w:rFonts w:ascii="Arial" w:eastAsia="Arial" w:hAnsi="Arial" w:cs="Arial"/>
          <w:b/>
          <w:bCs/>
          <w:color w:val="000000" w:themeColor="text1"/>
        </w:rPr>
        <w:t xml:space="preserve">Recomendaciones con nivel de evidencia </w:t>
      </w:r>
      <w:proofErr w:type="spellStart"/>
      <w:r w:rsidRPr="502784EB">
        <w:rPr>
          <w:rFonts w:ascii="Arial" w:eastAsia="Arial" w:hAnsi="Arial" w:cs="Arial"/>
          <w:b/>
          <w:bCs/>
          <w:color w:val="000000" w:themeColor="text1"/>
        </w:rPr>
        <w:t>IIb</w:t>
      </w:r>
      <w:proofErr w:type="spellEnd"/>
    </w:p>
    <w:p w14:paraId="0C5722B1" w14:textId="474EA4F1" w:rsidR="080AB871" w:rsidRDefault="6C95519D" w:rsidP="502784EB">
      <w:pPr>
        <w:pStyle w:val="Prrafodelista"/>
        <w:numPr>
          <w:ilvl w:val="0"/>
          <w:numId w:val="3"/>
        </w:numPr>
        <w:spacing w:after="0" w:line="257" w:lineRule="auto"/>
        <w:jc w:val="both"/>
        <w:rPr>
          <w:rFonts w:ascii="Arial" w:eastAsia="Arial" w:hAnsi="Arial" w:cs="Arial"/>
          <w:color w:val="000000" w:themeColor="text1"/>
        </w:rPr>
      </w:pPr>
      <w:r w:rsidRPr="502784EB">
        <w:rPr>
          <w:rFonts w:ascii="Arial" w:eastAsia="Arial" w:hAnsi="Arial" w:cs="Arial"/>
          <w:color w:val="000000" w:themeColor="text1"/>
        </w:rPr>
        <w:t>Las enfermeras deben comprender los signos y síntomas comunes presentes durante los últimos días y horas de vida.</w:t>
      </w:r>
      <w:r w:rsidR="1DBC149D" w:rsidRPr="502784EB">
        <w:rPr>
          <w:rFonts w:ascii="Arial" w:eastAsia="Arial" w:hAnsi="Arial" w:cs="Arial"/>
          <w:color w:val="000000" w:themeColor="text1"/>
        </w:rPr>
        <w:t xml:space="preserve"> Nivel de evidencia: </w:t>
      </w:r>
      <w:proofErr w:type="spellStart"/>
      <w:r w:rsidR="1DBC149D" w:rsidRPr="502784EB">
        <w:rPr>
          <w:rFonts w:ascii="Arial" w:eastAsia="Arial" w:hAnsi="Arial" w:cs="Arial"/>
          <w:color w:val="000000" w:themeColor="text1"/>
        </w:rPr>
        <w:t>IIb</w:t>
      </w:r>
      <w:proofErr w:type="spellEnd"/>
      <w:r w:rsidR="1DBC149D" w:rsidRPr="502784EB">
        <w:rPr>
          <w:rFonts w:ascii="Arial" w:eastAsia="Arial" w:hAnsi="Arial" w:cs="Arial"/>
          <w:color w:val="000000" w:themeColor="text1"/>
        </w:rPr>
        <w:t xml:space="preserve">–IV </w:t>
      </w:r>
      <w:r w:rsidRPr="502784EB">
        <w:rPr>
          <w:rFonts w:ascii="Arial" w:eastAsia="Arial" w:hAnsi="Arial" w:cs="Arial"/>
          <w:color w:val="000000" w:themeColor="text1"/>
        </w:rPr>
        <w:t>(</w:t>
      </w:r>
      <w:r w:rsidR="6E5C37A0" w:rsidRPr="502784EB">
        <w:rPr>
          <w:rFonts w:ascii="Arial" w:eastAsia="Arial" w:hAnsi="Arial" w:cs="Arial"/>
          <w:color w:val="000000" w:themeColor="text1"/>
        </w:rPr>
        <w:t>5</w:t>
      </w:r>
      <w:r w:rsidRPr="502784EB">
        <w:rPr>
          <w:rFonts w:ascii="Arial" w:eastAsia="Arial" w:hAnsi="Arial" w:cs="Arial"/>
          <w:color w:val="000000" w:themeColor="text1"/>
        </w:rPr>
        <w:t>)</w:t>
      </w:r>
    </w:p>
    <w:p w14:paraId="198DF994" w14:textId="76DA5F43" w:rsidR="37FB81F5" w:rsidRDefault="37FB81F5" w:rsidP="37FB81F5">
      <w:pPr>
        <w:pStyle w:val="Prrafodelista"/>
        <w:spacing w:after="0" w:line="257" w:lineRule="auto"/>
        <w:ind w:left="2160"/>
        <w:jc w:val="both"/>
        <w:rPr>
          <w:rFonts w:ascii="Arial" w:eastAsia="Arial" w:hAnsi="Arial" w:cs="Arial"/>
          <w:color w:val="000000" w:themeColor="text1"/>
        </w:rPr>
      </w:pPr>
    </w:p>
    <w:p w14:paraId="54917BFA" w14:textId="262E6A87" w:rsidR="6C95519D" w:rsidRDefault="6C95519D" w:rsidP="502784EB">
      <w:pPr>
        <w:pStyle w:val="Prrafodelista"/>
        <w:numPr>
          <w:ilvl w:val="0"/>
          <w:numId w:val="2"/>
        </w:numPr>
        <w:spacing w:line="257" w:lineRule="auto"/>
        <w:jc w:val="both"/>
        <w:rPr>
          <w:rFonts w:ascii="Arial" w:eastAsia="Arial" w:hAnsi="Arial" w:cs="Arial"/>
          <w:b/>
          <w:bCs/>
          <w:color w:val="000000" w:themeColor="text1"/>
        </w:rPr>
      </w:pPr>
      <w:r w:rsidRPr="502784EB">
        <w:rPr>
          <w:rFonts w:ascii="Arial" w:eastAsia="Arial" w:hAnsi="Arial" w:cs="Arial"/>
          <w:b/>
          <w:bCs/>
          <w:color w:val="000000" w:themeColor="text1"/>
        </w:rPr>
        <w:t>Recomendaciones con nivel de evidencia IV</w:t>
      </w:r>
    </w:p>
    <w:p w14:paraId="23AEB91F" w14:textId="071824C6" w:rsidR="080AB871" w:rsidRDefault="6C95519D" w:rsidP="502784EB">
      <w:pPr>
        <w:pStyle w:val="Prrafodelista"/>
        <w:numPr>
          <w:ilvl w:val="0"/>
          <w:numId w:val="1"/>
        </w:numPr>
        <w:spacing w:after="0" w:line="257" w:lineRule="auto"/>
        <w:jc w:val="both"/>
        <w:rPr>
          <w:rFonts w:ascii="Arial" w:eastAsia="Arial" w:hAnsi="Arial" w:cs="Arial"/>
          <w:color w:val="000000" w:themeColor="text1"/>
        </w:rPr>
      </w:pPr>
      <w:r w:rsidRPr="502784EB">
        <w:rPr>
          <w:rFonts w:ascii="Arial" w:eastAsia="Arial" w:hAnsi="Arial" w:cs="Arial"/>
          <w:color w:val="000000" w:themeColor="text1"/>
        </w:rPr>
        <w:t>Uso de la experiencia clínica, indicadores específicos de la enfermedad y herramientas validadas para identificar a los pacientes en los últimos días de vida.</w:t>
      </w:r>
      <w:r w:rsidR="590FE073" w:rsidRPr="502784EB">
        <w:rPr>
          <w:rFonts w:ascii="Arial" w:eastAsia="Arial" w:hAnsi="Arial" w:cs="Arial"/>
          <w:color w:val="000000" w:themeColor="text1"/>
        </w:rPr>
        <w:t xml:space="preserve"> Nivel de evidencia: IV </w:t>
      </w:r>
      <w:r w:rsidRPr="502784EB">
        <w:rPr>
          <w:rFonts w:ascii="Arial" w:eastAsia="Arial" w:hAnsi="Arial" w:cs="Arial"/>
          <w:color w:val="000000" w:themeColor="text1"/>
        </w:rPr>
        <w:t>(</w:t>
      </w:r>
      <w:r w:rsidR="557ACB17" w:rsidRPr="502784EB">
        <w:rPr>
          <w:rFonts w:ascii="Arial" w:eastAsia="Arial" w:hAnsi="Arial" w:cs="Arial"/>
          <w:color w:val="000000" w:themeColor="text1"/>
        </w:rPr>
        <w:t>5</w:t>
      </w:r>
      <w:r w:rsidRPr="502784EB">
        <w:rPr>
          <w:rFonts w:ascii="Arial" w:eastAsia="Arial" w:hAnsi="Arial" w:cs="Arial"/>
          <w:color w:val="000000" w:themeColor="text1"/>
        </w:rPr>
        <w:t>)</w:t>
      </w:r>
    </w:p>
    <w:p w14:paraId="4AA611A4" w14:textId="5C0A04CA" w:rsidR="37FB81F5" w:rsidRDefault="37FB81F5" w:rsidP="37FB81F5">
      <w:pPr>
        <w:pStyle w:val="Prrafodelista"/>
        <w:spacing w:after="0" w:line="257" w:lineRule="auto"/>
        <w:ind w:left="2160"/>
        <w:jc w:val="both"/>
        <w:rPr>
          <w:rFonts w:ascii="Arial" w:eastAsia="Arial" w:hAnsi="Arial" w:cs="Arial"/>
          <w:color w:val="000000" w:themeColor="text1"/>
        </w:rPr>
      </w:pPr>
    </w:p>
    <w:p w14:paraId="4CAA7526" w14:textId="067945E8" w:rsidR="080AB871" w:rsidRDefault="6C95519D" w:rsidP="502784EB">
      <w:pPr>
        <w:pStyle w:val="Prrafodelista"/>
        <w:numPr>
          <w:ilvl w:val="0"/>
          <w:numId w:val="1"/>
        </w:numPr>
        <w:spacing w:after="0" w:line="257" w:lineRule="auto"/>
        <w:jc w:val="both"/>
        <w:rPr>
          <w:rFonts w:ascii="Arial" w:eastAsia="Arial" w:hAnsi="Arial" w:cs="Arial"/>
          <w:color w:val="000000" w:themeColor="text1"/>
        </w:rPr>
      </w:pPr>
      <w:r w:rsidRPr="502784EB">
        <w:rPr>
          <w:rFonts w:ascii="Arial" w:eastAsia="Arial" w:hAnsi="Arial" w:cs="Arial"/>
          <w:color w:val="000000" w:themeColor="text1"/>
        </w:rPr>
        <w:t>Comprensión de las trayectorias de fin de vida (por ejemplo, cáncer, enfermedades crónicas y fragilidad</w:t>
      </w:r>
      <w:r w:rsidR="6B4202E3" w:rsidRPr="502784EB">
        <w:rPr>
          <w:rFonts w:ascii="Arial" w:eastAsia="Arial" w:hAnsi="Arial" w:cs="Arial"/>
          <w:color w:val="000000" w:themeColor="text1"/>
        </w:rPr>
        <w:t xml:space="preserve"> Nivel de evidencia: IV</w:t>
      </w:r>
      <w:r w:rsidRPr="502784EB">
        <w:rPr>
          <w:rFonts w:ascii="Arial" w:eastAsia="Arial" w:hAnsi="Arial" w:cs="Arial"/>
          <w:color w:val="000000" w:themeColor="text1"/>
        </w:rPr>
        <w:t>.(</w:t>
      </w:r>
      <w:r w:rsidR="0EB32029" w:rsidRPr="502784EB">
        <w:rPr>
          <w:rFonts w:ascii="Arial" w:eastAsia="Arial" w:hAnsi="Arial" w:cs="Arial"/>
          <w:color w:val="000000" w:themeColor="text1"/>
        </w:rPr>
        <w:t>5</w:t>
      </w:r>
      <w:r w:rsidRPr="502784EB">
        <w:rPr>
          <w:rFonts w:ascii="Arial" w:eastAsia="Arial" w:hAnsi="Arial" w:cs="Arial"/>
          <w:color w:val="000000" w:themeColor="text1"/>
        </w:rPr>
        <w:t>)</w:t>
      </w:r>
    </w:p>
    <w:p w14:paraId="05DF8705" w14:textId="566A06B1" w:rsidR="6968984F" w:rsidRDefault="6968984F" w:rsidP="6968984F">
      <w:pPr>
        <w:jc w:val="both"/>
        <w:rPr>
          <w:rFonts w:ascii="Arial" w:eastAsia="Arial" w:hAnsi="Arial" w:cs="Arial"/>
          <w:b/>
          <w:bCs/>
        </w:rPr>
      </w:pPr>
    </w:p>
    <w:p w14:paraId="4355D828" w14:textId="777B91B2" w:rsidR="1998FBB2" w:rsidRDefault="1998FBB2" w:rsidP="37FB81F5">
      <w:pPr>
        <w:jc w:val="both"/>
        <w:rPr>
          <w:rFonts w:ascii="Arial" w:eastAsia="Arial" w:hAnsi="Arial" w:cs="Arial"/>
          <w:b/>
          <w:bCs/>
        </w:rPr>
      </w:pPr>
      <w:r w:rsidRPr="37FB81F5">
        <w:rPr>
          <w:rFonts w:ascii="Arial" w:eastAsia="Arial" w:hAnsi="Arial" w:cs="Arial"/>
          <w:b/>
          <w:bCs/>
        </w:rPr>
        <w:t xml:space="preserve">Recomendaciones sin nivel o grado de evidencia especificados, pero basados en </w:t>
      </w:r>
      <w:r w:rsidR="7D0C186B" w:rsidRPr="37FB81F5">
        <w:rPr>
          <w:rFonts w:ascii="Arial" w:eastAsia="Arial" w:hAnsi="Arial" w:cs="Arial"/>
          <w:b/>
          <w:bCs/>
        </w:rPr>
        <w:t>revisiones de evidencia de alto grado</w:t>
      </w:r>
    </w:p>
    <w:p w14:paraId="3401A4F8" w14:textId="0EE0D304" w:rsidR="6BA77E75" w:rsidRDefault="0BCFC5B0" w:rsidP="502784EB">
      <w:pPr>
        <w:pStyle w:val="Prrafodelista"/>
        <w:numPr>
          <w:ilvl w:val="0"/>
          <w:numId w:val="14"/>
        </w:numPr>
        <w:jc w:val="both"/>
        <w:rPr>
          <w:rFonts w:ascii="Arial" w:eastAsia="Arial" w:hAnsi="Arial" w:cs="Arial"/>
          <w:color w:val="000000" w:themeColor="text1"/>
        </w:rPr>
      </w:pPr>
      <w:r w:rsidRPr="502784EB">
        <w:rPr>
          <w:rFonts w:ascii="Arial" w:eastAsia="Arial" w:hAnsi="Arial" w:cs="Arial"/>
          <w:color w:val="000000" w:themeColor="text1"/>
        </w:rPr>
        <w:t xml:space="preserve">Los responsables de gestionar y prestar servicios deben desarrollar sistemas para identificar a adultos que probablemente se encuentren en la fase final de la vida (por ejemplo, utilizando herramientas como el </w:t>
      </w:r>
      <w:r w:rsidRPr="502784EB">
        <w:rPr>
          <w:rFonts w:ascii="Arial" w:eastAsia="Arial" w:hAnsi="Arial" w:cs="Arial"/>
          <w:i/>
          <w:iCs/>
          <w:color w:val="000000" w:themeColor="text1"/>
        </w:rPr>
        <w:t xml:space="preserve">Gold </w:t>
      </w:r>
      <w:proofErr w:type="spellStart"/>
      <w:r w:rsidRPr="502784EB">
        <w:rPr>
          <w:rFonts w:ascii="Arial" w:eastAsia="Arial" w:hAnsi="Arial" w:cs="Arial"/>
          <w:i/>
          <w:iCs/>
          <w:color w:val="000000" w:themeColor="text1"/>
        </w:rPr>
        <w:t>Standards</w:t>
      </w:r>
      <w:proofErr w:type="spellEnd"/>
      <w:r w:rsidRPr="502784EB">
        <w:rPr>
          <w:rFonts w:ascii="Arial" w:eastAsia="Arial" w:hAnsi="Arial" w:cs="Arial"/>
          <w:i/>
          <w:iCs/>
          <w:color w:val="000000" w:themeColor="text1"/>
        </w:rPr>
        <w:t xml:space="preserve"> Framework</w:t>
      </w:r>
      <w:r w:rsidRPr="502784EB">
        <w:rPr>
          <w:rFonts w:ascii="Arial" w:eastAsia="Arial" w:hAnsi="Arial" w:cs="Arial"/>
          <w:color w:val="000000" w:themeColor="text1"/>
        </w:rPr>
        <w:t xml:space="preserve">, el </w:t>
      </w:r>
      <w:proofErr w:type="spellStart"/>
      <w:r w:rsidRPr="502784EB">
        <w:rPr>
          <w:rFonts w:ascii="Arial" w:eastAsia="Arial" w:hAnsi="Arial" w:cs="Arial"/>
          <w:i/>
          <w:iCs/>
          <w:color w:val="000000" w:themeColor="text1"/>
        </w:rPr>
        <w:t>Amber</w:t>
      </w:r>
      <w:proofErr w:type="spellEnd"/>
      <w:r w:rsidRPr="502784EB">
        <w:rPr>
          <w:rFonts w:ascii="Arial" w:eastAsia="Arial" w:hAnsi="Arial" w:cs="Arial"/>
          <w:i/>
          <w:iCs/>
          <w:color w:val="000000" w:themeColor="text1"/>
        </w:rPr>
        <w:t xml:space="preserve"> </w:t>
      </w:r>
      <w:proofErr w:type="spellStart"/>
      <w:r w:rsidRPr="502784EB">
        <w:rPr>
          <w:rFonts w:ascii="Arial" w:eastAsia="Arial" w:hAnsi="Arial" w:cs="Arial"/>
          <w:i/>
          <w:iCs/>
          <w:color w:val="000000" w:themeColor="text1"/>
        </w:rPr>
        <w:t>Care</w:t>
      </w:r>
      <w:proofErr w:type="spellEnd"/>
      <w:r w:rsidRPr="502784EB">
        <w:rPr>
          <w:rFonts w:ascii="Arial" w:eastAsia="Arial" w:hAnsi="Arial" w:cs="Arial"/>
          <w:i/>
          <w:iCs/>
          <w:color w:val="000000" w:themeColor="text1"/>
        </w:rPr>
        <w:t xml:space="preserve"> </w:t>
      </w:r>
      <w:proofErr w:type="spellStart"/>
      <w:r w:rsidRPr="502784EB">
        <w:rPr>
          <w:rFonts w:ascii="Arial" w:eastAsia="Arial" w:hAnsi="Arial" w:cs="Arial"/>
          <w:i/>
          <w:iCs/>
          <w:color w:val="000000" w:themeColor="text1"/>
        </w:rPr>
        <w:t>Bundle</w:t>
      </w:r>
      <w:proofErr w:type="spellEnd"/>
      <w:r w:rsidRPr="502784EB">
        <w:rPr>
          <w:rFonts w:ascii="Arial" w:eastAsia="Arial" w:hAnsi="Arial" w:cs="Arial"/>
          <w:color w:val="000000" w:themeColor="text1"/>
        </w:rPr>
        <w:t xml:space="preserve"> o el </w:t>
      </w:r>
      <w:proofErr w:type="spellStart"/>
      <w:r w:rsidRPr="502784EB">
        <w:rPr>
          <w:rFonts w:ascii="Arial" w:eastAsia="Arial" w:hAnsi="Arial" w:cs="Arial"/>
          <w:i/>
          <w:iCs/>
          <w:color w:val="000000" w:themeColor="text1"/>
        </w:rPr>
        <w:t>Supportive</w:t>
      </w:r>
      <w:proofErr w:type="spellEnd"/>
      <w:r w:rsidRPr="502784EB">
        <w:rPr>
          <w:rFonts w:ascii="Arial" w:eastAsia="Arial" w:hAnsi="Arial" w:cs="Arial"/>
          <w:i/>
          <w:iCs/>
          <w:color w:val="000000" w:themeColor="text1"/>
        </w:rPr>
        <w:t xml:space="preserve"> and </w:t>
      </w:r>
      <w:proofErr w:type="spellStart"/>
      <w:r w:rsidRPr="502784EB">
        <w:rPr>
          <w:rFonts w:ascii="Arial" w:eastAsia="Arial" w:hAnsi="Arial" w:cs="Arial"/>
          <w:i/>
          <w:iCs/>
          <w:color w:val="000000" w:themeColor="text1"/>
        </w:rPr>
        <w:t>Palliative</w:t>
      </w:r>
      <w:proofErr w:type="spellEnd"/>
      <w:r w:rsidRPr="502784EB">
        <w:rPr>
          <w:rFonts w:ascii="Arial" w:eastAsia="Arial" w:hAnsi="Arial" w:cs="Arial"/>
          <w:i/>
          <w:iCs/>
          <w:color w:val="000000" w:themeColor="text1"/>
        </w:rPr>
        <w:t xml:space="preserve"> </w:t>
      </w:r>
      <w:proofErr w:type="spellStart"/>
      <w:r w:rsidRPr="502784EB">
        <w:rPr>
          <w:rFonts w:ascii="Arial" w:eastAsia="Arial" w:hAnsi="Arial" w:cs="Arial"/>
          <w:i/>
          <w:iCs/>
          <w:color w:val="000000" w:themeColor="text1"/>
        </w:rPr>
        <w:t>Care</w:t>
      </w:r>
      <w:proofErr w:type="spellEnd"/>
      <w:r w:rsidRPr="502784EB">
        <w:rPr>
          <w:rFonts w:ascii="Arial" w:eastAsia="Arial" w:hAnsi="Arial" w:cs="Arial"/>
          <w:i/>
          <w:iCs/>
          <w:color w:val="000000" w:themeColor="text1"/>
        </w:rPr>
        <w:t xml:space="preserve"> </w:t>
      </w:r>
      <w:proofErr w:type="spellStart"/>
      <w:r w:rsidRPr="502784EB">
        <w:rPr>
          <w:rFonts w:ascii="Arial" w:eastAsia="Arial" w:hAnsi="Arial" w:cs="Arial"/>
          <w:i/>
          <w:iCs/>
          <w:color w:val="000000" w:themeColor="text1"/>
        </w:rPr>
        <w:t>Indicators</w:t>
      </w:r>
      <w:proofErr w:type="spellEnd"/>
      <w:r w:rsidRPr="502784EB">
        <w:rPr>
          <w:rFonts w:ascii="Arial" w:eastAsia="Arial" w:hAnsi="Arial" w:cs="Arial"/>
          <w:i/>
          <w:iCs/>
          <w:color w:val="000000" w:themeColor="text1"/>
        </w:rPr>
        <w:t xml:space="preserve"> </w:t>
      </w:r>
      <w:proofErr w:type="spellStart"/>
      <w:r w:rsidRPr="502784EB">
        <w:rPr>
          <w:rFonts w:ascii="Arial" w:eastAsia="Arial" w:hAnsi="Arial" w:cs="Arial"/>
          <w:i/>
          <w:iCs/>
          <w:color w:val="000000" w:themeColor="text1"/>
        </w:rPr>
        <w:t>Tool</w:t>
      </w:r>
      <w:proofErr w:type="spellEnd"/>
      <w:r w:rsidRPr="502784EB">
        <w:rPr>
          <w:rFonts w:ascii="Arial" w:eastAsia="Arial" w:hAnsi="Arial" w:cs="Arial"/>
          <w:i/>
          <w:iCs/>
          <w:color w:val="000000" w:themeColor="text1"/>
        </w:rPr>
        <w:t xml:space="preserve"> [SPICT]</w:t>
      </w:r>
      <w:r w:rsidRPr="502784EB">
        <w:rPr>
          <w:rFonts w:ascii="Arial" w:eastAsia="Arial" w:hAnsi="Arial" w:cs="Arial"/>
          <w:color w:val="000000" w:themeColor="text1"/>
        </w:rPr>
        <w:t>).</w:t>
      </w:r>
      <w:r w:rsidR="2EC88544" w:rsidRPr="502784EB">
        <w:rPr>
          <w:rFonts w:ascii="Arial" w:eastAsia="Arial" w:hAnsi="Arial" w:cs="Arial"/>
          <w:color w:val="000000" w:themeColor="text1"/>
        </w:rPr>
        <w:t xml:space="preserve"> (7)</w:t>
      </w:r>
    </w:p>
    <w:p w14:paraId="6CF6D69F" w14:textId="4488AFD9" w:rsidR="49FC1427" w:rsidRDefault="35801591" w:rsidP="502784EB">
      <w:pPr>
        <w:pStyle w:val="Prrafodelista"/>
        <w:numPr>
          <w:ilvl w:val="0"/>
          <w:numId w:val="14"/>
        </w:numPr>
        <w:jc w:val="both"/>
        <w:rPr>
          <w:rFonts w:ascii="Arial" w:eastAsia="Arial" w:hAnsi="Arial" w:cs="Arial"/>
        </w:rPr>
      </w:pPr>
      <w:r w:rsidRPr="502784EB">
        <w:rPr>
          <w:rFonts w:ascii="Arial" w:eastAsia="Arial" w:hAnsi="Arial" w:cs="Arial"/>
          <w:color w:val="000000" w:themeColor="text1"/>
        </w:rPr>
        <w:t>Evaluar los cambios en los signos y síntomas de la persona y revisar los resultados de cualquier estudio que ya se haya reportado y que pueda sugerir que está entrando en los últimos días de vida. Estos cambios incluyen lo siguiente:</w:t>
      </w:r>
      <w:r w:rsidR="49FC1427">
        <w:br/>
      </w:r>
      <w:r w:rsidRPr="502784EB">
        <w:rPr>
          <w:rFonts w:ascii="Arial" w:eastAsia="Arial" w:hAnsi="Arial" w:cs="Arial"/>
          <w:color w:val="000000" w:themeColor="text1"/>
        </w:rPr>
        <w:t xml:space="preserve">• Signos como agitación, respiración de </w:t>
      </w:r>
      <w:proofErr w:type="spellStart"/>
      <w:r w:rsidRPr="502784EB">
        <w:rPr>
          <w:rFonts w:ascii="Arial" w:eastAsia="Arial" w:hAnsi="Arial" w:cs="Arial"/>
          <w:color w:val="000000" w:themeColor="text1"/>
        </w:rPr>
        <w:t>Cheyne</w:t>
      </w:r>
      <w:proofErr w:type="spellEnd"/>
      <w:r w:rsidRPr="502784EB">
        <w:rPr>
          <w:rFonts w:ascii="Arial" w:eastAsia="Arial" w:hAnsi="Arial" w:cs="Arial"/>
          <w:color w:val="000000" w:themeColor="text1"/>
        </w:rPr>
        <w:t>-Stokes, deterioro del nivel de conciencia, piel moteada, secreciones respiratorias ruidosas y pérdida de peso progresiva.</w:t>
      </w:r>
      <w:r w:rsidR="49FC1427">
        <w:br/>
      </w:r>
      <w:r w:rsidRPr="502784EB">
        <w:rPr>
          <w:rFonts w:ascii="Arial" w:eastAsia="Arial" w:hAnsi="Arial" w:cs="Arial"/>
          <w:color w:val="000000" w:themeColor="text1"/>
        </w:rPr>
        <w:t>• Síntomas como fatiga creciente y pérdida de apetito.</w:t>
      </w:r>
      <w:r w:rsidR="49FC1427">
        <w:br/>
      </w:r>
      <w:r w:rsidRPr="502784EB">
        <w:rPr>
          <w:rFonts w:ascii="Arial" w:eastAsia="Arial" w:hAnsi="Arial" w:cs="Arial"/>
          <w:color w:val="000000" w:themeColor="text1"/>
        </w:rPr>
        <w:t>• Observaciones funcionales como cambios en la comunicación, deterioro de la movilidad o estado funcional, o retraimiento social (4)</w:t>
      </w:r>
    </w:p>
    <w:p w14:paraId="1B9F1838" w14:textId="04F45389" w:rsidR="37FB81F5" w:rsidRDefault="37FB81F5" w:rsidP="37FB81F5">
      <w:pPr>
        <w:jc w:val="both"/>
        <w:rPr>
          <w:rFonts w:ascii="system-ui" w:eastAsia="system-ui" w:hAnsi="system-ui" w:cs="system-ui"/>
        </w:rPr>
      </w:pPr>
    </w:p>
    <w:p w14:paraId="72FF48DB" w14:textId="77777777" w:rsidR="000B63D4" w:rsidRDefault="000B63D4" w:rsidP="000B63D4">
      <w:pPr>
        <w:pStyle w:val="NormalWeb"/>
        <w:rPr>
          <w:rFonts w:ascii="Arial" w:hAnsi="Arial" w:cs="Arial"/>
          <w:sz w:val="20"/>
          <w:szCs w:val="20"/>
        </w:rPr>
      </w:pPr>
      <w:r>
        <w:rPr>
          <w:noProof/>
        </w:rPr>
        <w:lastRenderedPageBreak/>
        <w:drawing>
          <wp:inline distT="0" distB="0" distL="0" distR="0" wp14:anchorId="090342FD" wp14:editId="69D0F278">
            <wp:extent cx="4495578" cy="4714875"/>
            <wp:effectExtent l="0" t="0" r="635" b="0"/>
            <wp:docPr id="1" name="Imagen 1" descr="C:\Users\natal\Downloads\algoritm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natal\Downloads\algoritmo.png"/>
                    <pic:cNvPicPr>
                      <a:picLocks noChangeAspect="1" noChangeArrowheads="1"/>
                    </pic:cNvPicPr>
                  </pic:nvPicPr>
                  <pic:blipFill rotWithShape="1">
                    <a:blip r:embed="rId10">
                      <a:extLst>
                        <a:ext uri="{28A0092B-C50C-407E-A947-70E740481C1C}">
                          <a14:useLocalDpi xmlns:a14="http://schemas.microsoft.com/office/drawing/2010/main" val="0"/>
                        </a:ext>
                      </a:extLst>
                    </a:blip>
                    <a:srcRect l="12210" r="16279"/>
                    <a:stretch/>
                  </pic:blipFill>
                  <pic:spPr bwMode="auto">
                    <a:xfrm>
                      <a:off x="0" y="0"/>
                      <a:ext cx="4569963" cy="4792888"/>
                    </a:xfrm>
                    <a:prstGeom prst="rect">
                      <a:avLst/>
                    </a:prstGeom>
                    <a:noFill/>
                    <a:ln>
                      <a:noFill/>
                    </a:ln>
                    <a:extLst>
                      <a:ext uri="{53640926-AAD7-44D8-BBD7-CCE9431645EC}">
                        <a14:shadowObscured xmlns:a14="http://schemas.microsoft.com/office/drawing/2010/main"/>
                      </a:ext>
                    </a:extLst>
                  </pic:spPr>
                </pic:pic>
              </a:graphicData>
            </a:graphic>
          </wp:inline>
        </w:drawing>
      </w:r>
      <w:bookmarkStart w:id="0" w:name="_GoBack"/>
      <w:bookmarkEnd w:id="0"/>
    </w:p>
    <w:p w14:paraId="4B2F8D3D" w14:textId="49D90730" w:rsidR="37FB81F5" w:rsidRPr="000B63D4" w:rsidRDefault="000B63D4" w:rsidP="000B63D4">
      <w:pPr>
        <w:pStyle w:val="NormalWeb"/>
      </w:pPr>
      <w:r w:rsidRPr="000B63D4">
        <w:rPr>
          <w:rFonts w:ascii="Arial" w:hAnsi="Arial" w:cs="Arial"/>
          <w:sz w:val="20"/>
          <w:szCs w:val="20"/>
        </w:rPr>
        <w:t>Algoritmo para la valoración del paciente oncológico quien se sospecha estar en final de vida</w:t>
      </w:r>
      <w:r>
        <w:t xml:space="preserve"> </w:t>
      </w:r>
    </w:p>
    <w:p w14:paraId="25F5A590" w14:textId="77777777" w:rsidR="000B63D4" w:rsidRDefault="000B63D4" w:rsidP="6968984F">
      <w:pPr>
        <w:jc w:val="both"/>
        <w:rPr>
          <w:rFonts w:ascii="Arial" w:eastAsia="Arial" w:hAnsi="Arial" w:cs="Arial"/>
          <w:b/>
          <w:bCs/>
        </w:rPr>
      </w:pPr>
    </w:p>
    <w:p w14:paraId="4649621C" w14:textId="19404BB8" w:rsidR="6968984F" w:rsidRDefault="0EFE4795" w:rsidP="6968984F">
      <w:pPr>
        <w:jc w:val="both"/>
        <w:rPr>
          <w:rFonts w:ascii="Arial" w:eastAsia="Arial" w:hAnsi="Arial" w:cs="Arial"/>
          <w:b/>
          <w:bCs/>
        </w:rPr>
      </w:pPr>
      <w:r w:rsidRPr="502784EB">
        <w:rPr>
          <w:rFonts w:ascii="Arial" w:eastAsia="Arial" w:hAnsi="Arial" w:cs="Arial"/>
          <w:b/>
          <w:bCs/>
        </w:rPr>
        <w:t>Discusión</w:t>
      </w:r>
    </w:p>
    <w:p w14:paraId="6D7E65E7" w14:textId="74D53AE8" w:rsidR="33881E9F" w:rsidRDefault="33881E9F" w:rsidP="502784EB">
      <w:pPr>
        <w:jc w:val="both"/>
        <w:rPr>
          <w:rFonts w:ascii="Arial" w:eastAsia="Arial" w:hAnsi="Arial" w:cs="Arial"/>
        </w:rPr>
      </w:pPr>
      <w:r w:rsidRPr="502784EB">
        <w:rPr>
          <w:rFonts w:ascii="Arial" w:eastAsia="Arial" w:hAnsi="Arial" w:cs="Arial"/>
        </w:rPr>
        <w:t>La presente revisión sistemática de la literatura identificó</w:t>
      </w:r>
      <w:r w:rsidR="6549D7BB" w:rsidRPr="502784EB">
        <w:rPr>
          <w:rFonts w:ascii="Arial" w:eastAsia="Arial" w:hAnsi="Arial" w:cs="Arial"/>
        </w:rPr>
        <w:t xml:space="preserve"> seis guías de práctica clínica acerca de pacientes adultos con cáncer avanzado en condición de fin de vida, de las cuales </w:t>
      </w:r>
      <w:r w:rsidR="5B838CD0" w:rsidRPr="502784EB">
        <w:rPr>
          <w:rFonts w:ascii="Arial" w:eastAsia="Arial" w:hAnsi="Arial" w:cs="Arial"/>
        </w:rPr>
        <w:t>5 cumplieron criterios de alta calidad. Una de las guías no cumplía</w:t>
      </w:r>
      <w:r w:rsidR="5D0DCB24" w:rsidRPr="502784EB">
        <w:rPr>
          <w:rFonts w:ascii="Arial" w:eastAsia="Arial" w:hAnsi="Arial" w:cs="Arial"/>
        </w:rPr>
        <w:t xml:space="preserve"> con criterios para ser considerada de alta calidad, principalmente en cuanto al rigor de su elaboración y la claridad de </w:t>
      </w:r>
      <w:r w:rsidR="37DDB07E" w:rsidRPr="502784EB">
        <w:rPr>
          <w:rFonts w:ascii="Arial" w:eastAsia="Arial" w:hAnsi="Arial" w:cs="Arial"/>
        </w:rPr>
        <w:t>presentación. Para la extracción de datos y posterior análisis de las recomendaciones, solo fueron incluidas las cinco guías consideradas de alta calidad.</w:t>
      </w:r>
    </w:p>
    <w:p w14:paraId="0231AE79" w14:textId="40367EF8" w:rsidR="37DDB07E" w:rsidRDefault="37DDB07E" w:rsidP="502784EB">
      <w:pPr>
        <w:jc w:val="both"/>
      </w:pPr>
      <w:r w:rsidRPr="502784EB">
        <w:rPr>
          <w:rFonts w:ascii="Arial" w:eastAsia="Arial" w:hAnsi="Arial" w:cs="Arial"/>
        </w:rPr>
        <w:t>Este proceso de selección y análisis de calidad de las guías permitió obtener información de la más alta calidad de evidencia. Cabe resaltar que las guías seleccionadas han sido realizadas por las principales organizaciones mundiales en m</w:t>
      </w:r>
      <w:r w:rsidR="2DD51ED6" w:rsidRPr="502784EB">
        <w:rPr>
          <w:rFonts w:ascii="Arial" w:eastAsia="Arial" w:hAnsi="Arial" w:cs="Arial"/>
        </w:rPr>
        <w:t xml:space="preserve">ateria de oncología tales como ESMO. </w:t>
      </w:r>
      <w:r w:rsidR="35C4AEE6" w:rsidRPr="502784EB">
        <w:rPr>
          <w:rFonts w:ascii="Arial" w:eastAsia="Arial" w:hAnsi="Arial" w:cs="Arial"/>
        </w:rPr>
        <w:t>La diferencia en la trayectoria de las enfermedades crónicas oncológicas y no oncológicas ha sido clásicamente descrito</w:t>
      </w:r>
      <w:r w:rsidR="3B68074F" w:rsidRPr="502784EB">
        <w:rPr>
          <w:rFonts w:ascii="Arial" w:eastAsia="Arial" w:hAnsi="Arial" w:cs="Arial"/>
        </w:rPr>
        <w:t xml:space="preserve"> </w:t>
      </w:r>
      <w:sdt>
        <w:sdtPr>
          <w:tag w:val="MENDELEY_CITATION_v3_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"/>
          <w:id w:val="1433662233"/>
          <w:placeholder>
            <w:docPart w:val="DefaultPlaceholder_-1854013440"/>
          </w:placeholder>
        </w:sdtPr>
        <w:sdtEndPr/>
        <w:sdtContent>
          <w:r w:rsidR="502784EB" w:rsidRPr="502784EB">
            <w:rPr>
              <w:rFonts w:ascii="Arial" w:eastAsia="Arial" w:hAnsi="Arial" w:cs="Arial"/>
              <w:color w:val="000000" w:themeColor="text1"/>
            </w:rPr>
            <w:t>(</w:t>
          </w:r>
          <w:proofErr w:type="spellStart"/>
          <w:r w:rsidR="502784EB" w:rsidRPr="502784EB">
            <w:rPr>
              <w:rFonts w:ascii="Arial" w:eastAsia="Arial" w:hAnsi="Arial" w:cs="Arial"/>
              <w:color w:val="000000" w:themeColor="text1"/>
            </w:rPr>
            <w:t>Lunney</w:t>
          </w:r>
          <w:proofErr w:type="spellEnd"/>
          <w:r w:rsidR="502784EB" w:rsidRPr="502784EB">
            <w:rPr>
              <w:rFonts w:ascii="Arial" w:eastAsia="Arial" w:hAnsi="Arial" w:cs="Arial"/>
              <w:color w:val="000000" w:themeColor="text1"/>
            </w:rPr>
            <w:t xml:space="preserve"> et al., </w:t>
          </w:r>
          <w:proofErr w:type="spellStart"/>
          <w:r w:rsidR="502784EB" w:rsidRPr="502784EB">
            <w:rPr>
              <w:rFonts w:ascii="Arial" w:eastAsia="Arial" w:hAnsi="Arial" w:cs="Arial"/>
              <w:color w:val="000000" w:themeColor="text1"/>
            </w:rPr>
            <w:t>n.d</w:t>
          </w:r>
          <w:proofErr w:type="spellEnd"/>
          <w:r w:rsidR="502784EB" w:rsidRPr="502784EB">
            <w:rPr>
              <w:rFonts w:ascii="Arial" w:eastAsia="Arial" w:hAnsi="Arial" w:cs="Arial"/>
              <w:color w:val="000000" w:themeColor="text1"/>
            </w:rPr>
            <w:t>.)</w:t>
          </w:r>
        </w:sdtContent>
      </w:sdt>
      <w:r w:rsidR="209BA281">
        <w:t xml:space="preserve">, y es también </w:t>
      </w:r>
      <w:r w:rsidR="209BA281">
        <w:lastRenderedPageBreak/>
        <w:t xml:space="preserve">evidente a través de la práctica clínica. Por este motivo, es valioso contar con las recomendaciones específicas de organizaciones expertas en oncología que reconozcan el proceso de fallecimiento del paciente oncológico. </w:t>
      </w:r>
    </w:p>
    <w:p w14:paraId="34AC2AF1" w14:textId="42D158FF" w:rsidR="209BA281" w:rsidRDefault="209BA281" w:rsidP="502784EB">
      <w:pPr>
        <w:jc w:val="both"/>
      </w:pPr>
      <w:r>
        <w:t>Si bien la definición de fin de vida es variable entre las diferentes guías, lo cual se abordará posteriormente, todas las guías coinciden en la importancia de combinar el juicio</w:t>
      </w:r>
      <w:r w:rsidR="6F1EEBBC">
        <w:t xml:space="preserve"> clínico del profesional de la salud que evalúa al paciente, con el estatus de funcionalidad y, de acuerdo al caso individual, aplicar herramientas </w:t>
      </w:r>
      <w:proofErr w:type="spellStart"/>
      <w:r w:rsidR="6F1EEBBC">
        <w:t>pronósticas</w:t>
      </w:r>
      <w:proofErr w:type="spellEnd"/>
      <w:r w:rsidR="6F1EEBBC">
        <w:t xml:space="preserve"> que apoyen al clínico en la evaluación de la condici</w:t>
      </w:r>
      <w:r w:rsidR="43934AC0">
        <w:t>ón de fin de vida del paciente.</w:t>
      </w:r>
    </w:p>
    <w:p w14:paraId="3FA9E804" w14:textId="493B9540" w:rsidR="758F5189" w:rsidRDefault="43934AC0" w:rsidP="37FB81F5">
      <w:pPr>
        <w:jc w:val="both"/>
        <w:rPr>
          <w:rFonts w:ascii="Arial" w:eastAsia="Arial" w:hAnsi="Arial" w:cs="Arial"/>
        </w:rPr>
      </w:pPr>
      <w:r w:rsidRPr="502784EB">
        <w:rPr>
          <w:rFonts w:ascii="Arial" w:eastAsia="Arial" w:hAnsi="Arial" w:cs="Arial"/>
        </w:rPr>
        <w:t>Como hemos mencionado, l</w:t>
      </w:r>
      <w:r w:rsidR="58C79D1B" w:rsidRPr="502784EB">
        <w:rPr>
          <w:rFonts w:ascii="Arial" w:eastAsia="Arial" w:hAnsi="Arial" w:cs="Arial"/>
        </w:rPr>
        <w:t>a definición específica de fin de vida</w:t>
      </w:r>
      <w:r w:rsidR="0A196C3F" w:rsidRPr="502784EB">
        <w:rPr>
          <w:rFonts w:ascii="Arial" w:eastAsia="Arial" w:hAnsi="Arial" w:cs="Arial"/>
        </w:rPr>
        <w:t xml:space="preserve"> varía ampliamente entre las diferentes guías.</w:t>
      </w:r>
      <w:r w:rsidR="7B338771" w:rsidRPr="502784EB">
        <w:rPr>
          <w:rFonts w:ascii="Arial" w:eastAsia="Arial" w:hAnsi="Arial" w:cs="Arial"/>
        </w:rPr>
        <w:t xml:space="preserve"> Los rangos temporales entre los que se encuentra el fin de vida </w:t>
      </w:r>
      <w:proofErr w:type="gramStart"/>
      <w:r w:rsidR="7B338771" w:rsidRPr="502784EB">
        <w:rPr>
          <w:rFonts w:ascii="Arial" w:eastAsia="Arial" w:hAnsi="Arial" w:cs="Arial"/>
        </w:rPr>
        <w:t>varía</w:t>
      </w:r>
      <w:proofErr w:type="gramEnd"/>
      <w:r w:rsidR="7B338771" w:rsidRPr="502784EB">
        <w:rPr>
          <w:rFonts w:ascii="Arial" w:eastAsia="Arial" w:hAnsi="Arial" w:cs="Arial"/>
        </w:rPr>
        <w:t xml:space="preserve"> entre los últimos tres días hasta los últimos años de vida, dependiendo de la condición. </w:t>
      </w:r>
      <w:r w:rsidR="23A21812" w:rsidRPr="502784EB">
        <w:rPr>
          <w:rFonts w:ascii="Arial" w:eastAsia="Arial" w:hAnsi="Arial" w:cs="Arial"/>
        </w:rPr>
        <w:t>S</w:t>
      </w:r>
      <w:r w:rsidR="7B338771" w:rsidRPr="502784EB">
        <w:rPr>
          <w:rFonts w:ascii="Arial" w:eastAsia="Arial" w:hAnsi="Arial" w:cs="Arial"/>
        </w:rPr>
        <w:t>i</w:t>
      </w:r>
      <w:r w:rsidR="45CFFD66" w:rsidRPr="502784EB">
        <w:rPr>
          <w:rFonts w:ascii="Arial" w:eastAsia="Arial" w:hAnsi="Arial" w:cs="Arial"/>
        </w:rPr>
        <w:t xml:space="preserve"> bien la temporalidad es variable, un principal aspecto de las definiciones y su correlación con los signos clíni</w:t>
      </w:r>
      <w:r w:rsidR="2239778A" w:rsidRPr="502784EB">
        <w:rPr>
          <w:rFonts w:ascii="Arial" w:eastAsia="Arial" w:hAnsi="Arial" w:cs="Arial"/>
        </w:rPr>
        <w:t xml:space="preserve">cos a evaluar y las herramientas a utilizar es la presencia o el momento en que ocurre un deterioro clínico rápido como </w:t>
      </w:r>
      <w:r w:rsidR="24547A21" w:rsidRPr="502784EB">
        <w:rPr>
          <w:rFonts w:ascii="Arial" w:eastAsia="Arial" w:hAnsi="Arial" w:cs="Arial"/>
        </w:rPr>
        <w:t>consecuencia</w:t>
      </w:r>
      <w:r w:rsidR="2239778A" w:rsidRPr="502784EB">
        <w:rPr>
          <w:rFonts w:ascii="Arial" w:eastAsia="Arial" w:hAnsi="Arial" w:cs="Arial"/>
        </w:rPr>
        <w:t xml:space="preserve"> de la enfermedad. Posible</w:t>
      </w:r>
      <w:r w:rsidR="4B92B06C" w:rsidRPr="502784EB">
        <w:rPr>
          <w:rFonts w:ascii="Arial" w:eastAsia="Arial" w:hAnsi="Arial" w:cs="Arial"/>
        </w:rPr>
        <w:t xml:space="preserve">mente la definición más adecuada es la planteada por las guías NICE, las cuales más allá de la temporalidad tienen en cuenta las características de la enfermedad y el paciente, siendo esta una enfermedad avanzada, incurable, progresiva; y el paciente siendo </w:t>
      </w:r>
      <w:r w:rsidR="1830BEC7" w:rsidRPr="502784EB">
        <w:rPr>
          <w:rFonts w:ascii="Arial" w:eastAsia="Arial" w:hAnsi="Arial" w:cs="Arial"/>
        </w:rPr>
        <w:t>frágil y con comorbilidades que contribuyan negativamente al tiempo de supervivencia del paciente.</w:t>
      </w:r>
      <w:r w:rsidR="758F5189">
        <w:br/>
      </w:r>
      <w:r w:rsidR="758F5189">
        <w:br/>
      </w:r>
      <w:r w:rsidR="746601E1" w:rsidRPr="502784EB">
        <w:rPr>
          <w:rFonts w:ascii="Arial" w:eastAsia="Arial" w:hAnsi="Arial" w:cs="Arial"/>
        </w:rPr>
        <w:t xml:space="preserve">El objeto principal de estudio de la actual revisión sistemática de la </w:t>
      </w:r>
      <w:r w:rsidR="3AE53822" w:rsidRPr="502784EB">
        <w:rPr>
          <w:rFonts w:ascii="Arial" w:eastAsia="Arial" w:hAnsi="Arial" w:cs="Arial"/>
        </w:rPr>
        <w:t>literatura</w:t>
      </w:r>
      <w:r w:rsidR="746601E1" w:rsidRPr="502784EB">
        <w:rPr>
          <w:rFonts w:ascii="Arial" w:eastAsia="Arial" w:hAnsi="Arial" w:cs="Arial"/>
        </w:rPr>
        <w:t xml:space="preserve"> son los signos clínicos </w:t>
      </w:r>
      <w:r w:rsidR="5D8CD7CA" w:rsidRPr="502784EB">
        <w:rPr>
          <w:rFonts w:ascii="Arial" w:eastAsia="Arial" w:hAnsi="Arial" w:cs="Arial"/>
        </w:rPr>
        <w:t>y las herramientas que deben utilizarse para identificar al paciente con cáncer avanzado en fin de vida.</w:t>
      </w:r>
      <w:r w:rsidR="4C79A034" w:rsidRPr="502784EB">
        <w:rPr>
          <w:rFonts w:ascii="Arial" w:eastAsia="Arial" w:hAnsi="Arial" w:cs="Arial"/>
        </w:rPr>
        <w:t xml:space="preserve"> Todas las guías incluyen bien sea </w:t>
      </w:r>
      <w:r w:rsidR="5C7B469E" w:rsidRPr="502784EB">
        <w:rPr>
          <w:rFonts w:ascii="Arial" w:eastAsia="Arial" w:hAnsi="Arial" w:cs="Arial"/>
        </w:rPr>
        <w:t xml:space="preserve">signos clínicos o herramientas </w:t>
      </w:r>
      <w:proofErr w:type="spellStart"/>
      <w:r w:rsidR="5C7B469E" w:rsidRPr="502784EB">
        <w:rPr>
          <w:rFonts w:ascii="Arial" w:eastAsia="Arial" w:hAnsi="Arial" w:cs="Arial"/>
        </w:rPr>
        <w:t>pronósticas</w:t>
      </w:r>
      <w:proofErr w:type="spellEnd"/>
      <w:r w:rsidR="5C7B469E" w:rsidRPr="502784EB">
        <w:rPr>
          <w:rFonts w:ascii="Arial" w:eastAsia="Arial" w:hAnsi="Arial" w:cs="Arial"/>
        </w:rPr>
        <w:t xml:space="preserve"> para evaluar</w:t>
      </w:r>
      <w:r w:rsidR="5D8CD7CA" w:rsidRPr="502784EB">
        <w:rPr>
          <w:rFonts w:ascii="Arial" w:eastAsia="Arial" w:hAnsi="Arial" w:cs="Arial"/>
        </w:rPr>
        <w:t>.</w:t>
      </w:r>
      <w:r w:rsidR="0BC20CA0" w:rsidRPr="502784EB">
        <w:rPr>
          <w:rFonts w:ascii="Arial" w:eastAsia="Arial" w:hAnsi="Arial" w:cs="Arial"/>
        </w:rPr>
        <w:t xml:space="preserve"> </w:t>
      </w:r>
      <w:r w:rsidR="28C2ACB1" w:rsidRPr="502784EB">
        <w:rPr>
          <w:rFonts w:ascii="Arial" w:eastAsia="Arial" w:hAnsi="Arial" w:cs="Arial"/>
        </w:rPr>
        <w:t>En cuanto a los signos clínicos</w:t>
      </w:r>
      <w:r w:rsidR="795EC8E0" w:rsidRPr="502784EB">
        <w:rPr>
          <w:rFonts w:ascii="Arial" w:eastAsia="Arial" w:hAnsi="Arial" w:cs="Arial"/>
        </w:rPr>
        <w:t>, es mu</w:t>
      </w:r>
      <w:r w:rsidR="7DADE985" w:rsidRPr="502784EB">
        <w:rPr>
          <w:rFonts w:ascii="Arial" w:eastAsia="Arial" w:hAnsi="Arial" w:cs="Arial"/>
        </w:rPr>
        <w:t xml:space="preserve">y valiosa la clasificación </w:t>
      </w:r>
      <w:r w:rsidR="17BFF0EC" w:rsidRPr="502784EB">
        <w:rPr>
          <w:rFonts w:ascii="Arial" w:eastAsia="Arial" w:hAnsi="Arial" w:cs="Arial"/>
        </w:rPr>
        <w:t>de acuerdo con</w:t>
      </w:r>
      <w:r w:rsidR="7DADE985" w:rsidRPr="502784EB">
        <w:rPr>
          <w:rFonts w:ascii="Arial" w:eastAsia="Arial" w:hAnsi="Arial" w:cs="Arial"/>
        </w:rPr>
        <w:t xml:space="preserve"> la temporalidad </w:t>
      </w:r>
      <w:r w:rsidR="153D285C" w:rsidRPr="502784EB">
        <w:rPr>
          <w:rFonts w:ascii="Arial" w:eastAsia="Arial" w:hAnsi="Arial" w:cs="Arial"/>
        </w:rPr>
        <w:t xml:space="preserve">de ocurrencia </w:t>
      </w:r>
      <w:r w:rsidR="7DADE985" w:rsidRPr="502784EB">
        <w:rPr>
          <w:rFonts w:ascii="Arial" w:eastAsia="Arial" w:hAnsi="Arial" w:cs="Arial"/>
        </w:rPr>
        <w:t>que se espera previa al fallecimiento</w:t>
      </w:r>
      <w:r w:rsidR="6404F546" w:rsidRPr="502784EB">
        <w:rPr>
          <w:rFonts w:ascii="Arial" w:eastAsia="Arial" w:hAnsi="Arial" w:cs="Arial"/>
        </w:rPr>
        <w:t>.</w:t>
      </w:r>
    </w:p>
    <w:p w14:paraId="77E608EB" w14:textId="4DA7A685" w:rsidR="40A9F5F1" w:rsidRDefault="7DADE985" w:rsidP="502784EB">
      <w:pPr>
        <w:jc w:val="both"/>
        <w:rPr>
          <w:rFonts w:ascii="Arial" w:eastAsia="Arial" w:hAnsi="Arial" w:cs="Arial"/>
        </w:rPr>
      </w:pPr>
      <w:r w:rsidRPr="502784EB">
        <w:rPr>
          <w:rFonts w:ascii="Arial" w:eastAsia="Arial" w:hAnsi="Arial" w:cs="Arial"/>
        </w:rPr>
        <w:t>Los signos clínicos tempranos (alteración del estado de conciencia, los signos que componen un puntaje PPS &lt;20% (postración en cama, dependencia funcional total, disminución del apetito hasta hacerse nulo) y la disfagia para líquidos</w:t>
      </w:r>
      <w:r w:rsidR="61F5246E" w:rsidRPr="502784EB">
        <w:rPr>
          <w:rFonts w:ascii="Arial" w:eastAsia="Arial" w:hAnsi="Arial" w:cs="Arial"/>
        </w:rPr>
        <w:t xml:space="preserve">) </w:t>
      </w:r>
      <w:r w:rsidR="6EAC2389" w:rsidRPr="502784EB">
        <w:rPr>
          <w:rFonts w:ascii="Arial" w:eastAsia="Arial" w:hAnsi="Arial" w:cs="Arial"/>
        </w:rPr>
        <w:t>orientan</w:t>
      </w:r>
      <w:r w:rsidR="61F5246E" w:rsidRPr="502784EB">
        <w:rPr>
          <w:rFonts w:ascii="Arial" w:eastAsia="Arial" w:hAnsi="Arial" w:cs="Arial"/>
        </w:rPr>
        <w:t xml:space="preserve"> acerca de un </w:t>
      </w:r>
      <w:r w:rsidR="7DDA1FC3" w:rsidRPr="502784EB">
        <w:rPr>
          <w:rFonts w:ascii="Arial" w:eastAsia="Arial" w:hAnsi="Arial" w:cs="Arial"/>
        </w:rPr>
        <w:t>deterioro</w:t>
      </w:r>
      <w:r w:rsidR="61F5246E" w:rsidRPr="502784EB">
        <w:rPr>
          <w:rFonts w:ascii="Arial" w:eastAsia="Arial" w:hAnsi="Arial" w:cs="Arial"/>
        </w:rPr>
        <w:t xml:space="preserve"> clínico y físico progresivo, momento en el cual el paciente </w:t>
      </w:r>
      <w:r w:rsidR="66514C54" w:rsidRPr="502784EB">
        <w:rPr>
          <w:rFonts w:ascii="Arial" w:eastAsia="Arial" w:hAnsi="Arial" w:cs="Arial"/>
        </w:rPr>
        <w:t>inicia</w:t>
      </w:r>
      <w:r w:rsidR="61F5246E" w:rsidRPr="502784EB">
        <w:rPr>
          <w:rFonts w:ascii="Arial" w:eastAsia="Arial" w:hAnsi="Arial" w:cs="Arial"/>
        </w:rPr>
        <w:t xml:space="preserve"> progresivamente e</w:t>
      </w:r>
      <w:r w:rsidR="0252650D" w:rsidRPr="502784EB">
        <w:rPr>
          <w:rFonts w:ascii="Arial" w:eastAsia="Arial" w:hAnsi="Arial" w:cs="Arial"/>
        </w:rPr>
        <w:t>l</w:t>
      </w:r>
      <w:r w:rsidR="61F5246E" w:rsidRPr="502784EB">
        <w:rPr>
          <w:rFonts w:ascii="Arial" w:eastAsia="Arial" w:hAnsi="Arial" w:cs="Arial"/>
        </w:rPr>
        <w:t xml:space="preserve"> proceso de fallecimiento</w:t>
      </w:r>
      <w:r w:rsidR="37B9724D" w:rsidRPr="502784EB">
        <w:rPr>
          <w:rFonts w:ascii="Arial" w:eastAsia="Arial" w:hAnsi="Arial" w:cs="Arial"/>
        </w:rPr>
        <w:t xml:space="preserve"> activo</w:t>
      </w:r>
      <w:r w:rsidR="61F5246E" w:rsidRPr="502784EB">
        <w:rPr>
          <w:rFonts w:ascii="Arial" w:eastAsia="Arial" w:hAnsi="Arial" w:cs="Arial"/>
        </w:rPr>
        <w:t xml:space="preserve">. Desde este momento es necesario que </w:t>
      </w:r>
      <w:r w:rsidR="26C2D8C5" w:rsidRPr="502784EB">
        <w:rPr>
          <w:rFonts w:ascii="Arial" w:eastAsia="Arial" w:hAnsi="Arial" w:cs="Arial"/>
        </w:rPr>
        <w:t>se realicen</w:t>
      </w:r>
      <w:r w:rsidR="61F5246E" w:rsidRPr="502784EB">
        <w:rPr>
          <w:rFonts w:ascii="Arial" w:eastAsia="Arial" w:hAnsi="Arial" w:cs="Arial"/>
        </w:rPr>
        <w:t xml:space="preserve"> las intervenciones necesarias par</w:t>
      </w:r>
      <w:r w:rsidR="6601DE96" w:rsidRPr="502784EB">
        <w:rPr>
          <w:rFonts w:ascii="Arial" w:eastAsia="Arial" w:hAnsi="Arial" w:cs="Arial"/>
        </w:rPr>
        <w:t>a que el proceso de fallecimiento ocurra con la menor carga sintomática y el mayor apoyo psicosocial posible.</w:t>
      </w:r>
    </w:p>
    <w:p w14:paraId="152C7624" w14:textId="211C99FF" w:rsidR="69B7C2EF" w:rsidRDefault="69B7C2EF" w:rsidP="502784EB">
      <w:pPr>
        <w:jc w:val="both"/>
      </w:pPr>
      <w:r w:rsidRPr="502784EB">
        <w:rPr>
          <w:rFonts w:ascii="Arial" w:eastAsia="Arial" w:hAnsi="Arial" w:cs="Arial"/>
        </w:rPr>
        <w:t>Por su parte, los signos clínicos tardíos</w:t>
      </w:r>
      <w:r w:rsidR="6D32A411" w:rsidRPr="502784EB">
        <w:rPr>
          <w:rFonts w:ascii="Arial" w:eastAsia="Arial" w:hAnsi="Arial" w:cs="Arial"/>
        </w:rPr>
        <w:t xml:space="preserve"> </w:t>
      </w:r>
      <w:r w:rsidR="71FC3105" w:rsidRPr="502784EB">
        <w:rPr>
          <w:rFonts w:ascii="Arial" w:eastAsia="Arial" w:hAnsi="Arial" w:cs="Arial"/>
        </w:rPr>
        <w:t>(</w:t>
      </w:r>
      <w:proofErr w:type="spellStart"/>
      <w:r w:rsidR="71FC3105" w:rsidRPr="502784EB">
        <w:rPr>
          <w:rFonts w:ascii="Arial" w:eastAsia="Arial" w:hAnsi="Arial" w:cs="Arial"/>
        </w:rPr>
        <w:t>hiporreactividad</w:t>
      </w:r>
      <w:proofErr w:type="spellEnd"/>
      <w:r w:rsidR="71FC3105" w:rsidRPr="502784EB">
        <w:rPr>
          <w:rFonts w:ascii="Arial" w:eastAsia="Arial" w:hAnsi="Arial" w:cs="Arial"/>
        </w:rPr>
        <w:t xml:space="preserve"> pupilar, disminución del pulso de la arterial radial, oliguria (menos de 100 </w:t>
      </w:r>
      <w:proofErr w:type="spellStart"/>
      <w:r w:rsidR="71FC3105" w:rsidRPr="502784EB">
        <w:rPr>
          <w:rFonts w:ascii="Arial" w:eastAsia="Arial" w:hAnsi="Arial" w:cs="Arial"/>
        </w:rPr>
        <w:t>mL</w:t>
      </w:r>
      <w:proofErr w:type="spellEnd"/>
      <w:r w:rsidR="71FC3105" w:rsidRPr="502784EB">
        <w:rPr>
          <w:rFonts w:ascii="Arial" w:eastAsia="Arial" w:hAnsi="Arial" w:cs="Arial"/>
        </w:rPr>
        <w:t xml:space="preserve"> de orina en 12 horas), falta de cierre de los párpados, respiración de </w:t>
      </w:r>
      <w:proofErr w:type="spellStart"/>
      <w:r w:rsidR="71FC3105" w:rsidRPr="502784EB">
        <w:rPr>
          <w:rFonts w:ascii="Arial" w:eastAsia="Arial" w:hAnsi="Arial" w:cs="Arial"/>
        </w:rPr>
        <w:t>Cheyne</w:t>
      </w:r>
      <w:proofErr w:type="spellEnd"/>
      <w:r w:rsidR="71FC3105" w:rsidRPr="502784EB">
        <w:rPr>
          <w:rFonts w:ascii="Arial" w:eastAsia="Arial" w:hAnsi="Arial" w:cs="Arial"/>
        </w:rPr>
        <w:t>-Stokes y respiración ruidosa) son altamente indicativos de un fallecimiento inminente</w:t>
      </w:r>
      <w:r w:rsidR="3CB10870" w:rsidRPr="502784EB">
        <w:rPr>
          <w:rFonts w:ascii="Arial" w:eastAsia="Arial" w:hAnsi="Arial" w:cs="Arial"/>
        </w:rPr>
        <w:t>, el cual es reconocido como el momento de fin de vida definitivo.</w:t>
      </w:r>
      <w:r w:rsidR="50AD41A8" w:rsidRPr="502784EB">
        <w:rPr>
          <w:rFonts w:ascii="Arial" w:eastAsia="Arial" w:hAnsi="Arial" w:cs="Arial"/>
        </w:rPr>
        <w:t xml:space="preserve"> Estos signos clínicos de fallecimiento inminente han sido evaluados y </w:t>
      </w:r>
      <w:r w:rsidR="50AD41A8" w:rsidRPr="502784EB">
        <w:rPr>
          <w:rFonts w:ascii="Arial" w:eastAsia="Arial" w:hAnsi="Arial" w:cs="Arial"/>
        </w:rPr>
        <w:lastRenderedPageBreak/>
        <w:t xml:space="preserve">presentan una especificidad mayor al 95%, por lo cual deben ser considerados dentro del diagnóstico del fin de vida </w:t>
      </w:r>
      <w:sdt>
        <w:sdtPr>
          <w:tag w:val="MENDELEY_CITATION_v3_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"/>
          <w:id w:val="642653810"/>
          <w:placeholder>
            <w:docPart w:val="DefaultPlaceholder_-1854013440"/>
          </w:placeholder>
        </w:sdtPr>
        <w:sdtEndPr/>
        <w:sdtContent>
          <w:r w:rsidR="502784EB" w:rsidRPr="502784EB">
            <w:rPr>
              <w:rFonts w:ascii="Arial" w:eastAsia="Arial" w:hAnsi="Arial" w:cs="Arial"/>
              <w:color w:val="000000" w:themeColor="text1"/>
            </w:rPr>
            <w:t>(</w:t>
          </w:r>
          <w:proofErr w:type="spellStart"/>
          <w:r w:rsidR="502784EB" w:rsidRPr="502784EB">
            <w:rPr>
              <w:rFonts w:ascii="Arial" w:eastAsia="Arial" w:hAnsi="Arial" w:cs="Arial"/>
              <w:color w:val="000000" w:themeColor="text1"/>
            </w:rPr>
            <w:t>Simões</w:t>
          </w:r>
          <w:proofErr w:type="spellEnd"/>
          <w:r w:rsidR="502784EB" w:rsidRPr="502784EB">
            <w:rPr>
              <w:rFonts w:ascii="Arial" w:eastAsia="Arial" w:hAnsi="Arial" w:cs="Arial"/>
              <w:color w:val="000000" w:themeColor="text1"/>
            </w:rPr>
            <w:t xml:space="preserve"> et al., 2025)</w:t>
          </w:r>
        </w:sdtContent>
      </w:sdt>
      <w:r w:rsidR="50AD41A8">
        <w:t>.</w:t>
      </w:r>
    </w:p>
    <w:p w14:paraId="1FAC6A15" w14:textId="530AECFA" w:rsidR="1D85A9A7" w:rsidRDefault="11CE9150" w:rsidP="502784EB">
      <w:pPr>
        <w:jc w:val="both"/>
        <w:rPr>
          <w:rFonts w:ascii="Arial" w:eastAsia="Arial" w:hAnsi="Arial" w:cs="Arial"/>
        </w:rPr>
      </w:pPr>
      <w:r w:rsidRPr="502784EB">
        <w:rPr>
          <w:rFonts w:ascii="Arial" w:eastAsia="Arial" w:hAnsi="Arial" w:cs="Arial"/>
        </w:rPr>
        <w:t xml:space="preserve">En relación con el uso de </w:t>
      </w:r>
      <w:r w:rsidR="71713BC6" w:rsidRPr="502784EB">
        <w:rPr>
          <w:rFonts w:ascii="Arial" w:eastAsia="Arial" w:hAnsi="Arial" w:cs="Arial"/>
        </w:rPr>
        <w:t>herramientas</w:t>
      </w:r>
      <w:r w:rsidRPr="502784EB">
        <w:rPr>
          <w:rFonts w:ascii="Arial" w:eastAsia="Arial" w:hAnsi="Arial" w:cs="Arial"/>
        </w:rPr>
        <w:t xml:space="preserve"> </w:t>
      </w:r>
      <w:proofErr w:type="spellStart"/>
      <w:r w:rsidRPr="502784EB">
        <w:rPr>
          <w:rFonts w:ascii="Arial" w:eastAsia="Arial" w:hAnsi="Arial" w:cs="Arial"/>
        </w:rPr>
        <w:t>pronósticas</w:t>
      </w:r>
      <w:proofErr w:type="spellEnd"/>
      <w:r w:rsidRPr="502784EB">
        <w:rPr>
          <w:rFonts w:ascii="Arial" w:eastAsia="Arial" w:hAnsi="Arial" w:cs="Arial"/>
        </w:rPr>
        <w:t xml:space="preserve"> para la identificación de pacientes en situación de final de vida, es fundamental realizar una evaluación individualizada.</w:t>
      </w:r>
      <w:r w:rsidR="31ABA56D" w:rsidRPr="502784EB">
        <w:rPr>
          <w:rFonts w:ascii="Arial" w:eastAsia="Arial" w:hAnsi="Arial" w:cs="Arial"/>
        </w:rPr>
        <w:t xml:space="preserve"> Cada una de las herramientas</w:t>
      </w:r>
      <w:r w:rsidR="18FF5EB7" w:rsidRPr="502784EB">
        <w:rPr>
          <w:rFonts w:ascii="Arial" w:eastAsia="Arial" w:hAnsi="Arial" w:cs="Arial"/>
        </w:rPr>
        <w:t xml:space="preserve"> posee unas características particulares, con ítems específicos a evaluar.</w:t>
      </w:r>
      <w:r w:rsidRPr="502784EB">
        <w:rPr>
          <w:rFonts w:ascii="Arial" w:eastAsia="Arial" w:hAnsi="Arial" w:cs="Arial"/>
        </w:rPr>
        <w:t xml:space="preserve"> La elección del instrumento más adecuado dependerá de las características clínicas particulares de cada paciente y del contexto en el que se encuentre. Algunas escalas, como el </w:t>
      </w:r>
      <w:proofErr w:type="spellStart"/>
      <w:r w:rsidRPr="502784EB">
        <w:rPr>
          <w:rFonts w:ascii="Arial" w:eastAsia="Arial" w:hAnsi="Arial" w:cs="Arial"/>
        </w:rPr>
        <w:t>PaP</w:t>
      </w:r>
      <w:proofErr w:type="spellEnd"/>
      <w:r w:rsidRPr="502784EB">
        <w:rPr>
          <w:rFonts w:ascii="Arial" w:eastAsia="Arial" w:hAnsi="Arial" w:cs="Arial"/>
        </w:rPr>
        <w:t xml:space="preserve"> (</w:t>
      </w:r>
      <w:proofErr w:type="spellStart"/>
      <w:r w:rsidRPr="502784EB">
        <w:rPr>
          <w:rFonts w:ascii="Arial" w:eastAsia="Arial" w:hAnsi="Arial" w:cs="Arial"/>
        </w:rPr>
        <w:t>Palliative</w:t>
      </w:r>
      <w:proofErr w:type="spellEnd"/>
      <w:r w:rsidRPr="502784EB">
        <w:rPr>
          <w:rFonts w:ascii="Arial" w:eastAsia="Arial" w:hAnsi="Arial" w:cs="Arial"/>
        </w:rPr>
        <w:t xml:space="preserve"> </w:t>
      </w:r>
      <w:proofErr w:type="spellStart"/>
      <w:r w:rsidRPr="502784EB">
        <w:rPr>
          <w:rFonts w:ascii="Arial" w:eastAsia="Arial" w:hAnsi="Arial" w:cs="Arial"/>
        </w:rPr>
        <w:t>Prognostic</w:t>
      </w:r>
      <w:proofErr w:type="spellEnd"/>
      <w:r w:rsidRPr="502784EB">
        <w:rPr>
          <w:rFonts w:ascii="Arial" w:eastAsia="Arial" w:hAnsi="Arial" w:cs="Arial"/>
        </w:rPr>
        <w:t xml:space="preserve"> Score) o el GPS (Glasgow </w:t>
      </w:r>
      <w:proofErr w:type="spellStart"/>
      <w:r w:rsidRPr="502784EB">
        <w:rPr>
          <w:rFonts w:ascii="Arial" w:eastAsia="Arial" w:hAnsi="Arial" w:cs="Arial"/>
        </w:rPr>
        <w:t>Prognostic</w:t>
      </w:r>
      <w:proofErr w:type="spellEnd"/>
      <w:r w:rsidRPr="502784EB">
        <w:rPr>
          <w:rFonts w:ascii="Arial" w:eastAsia="Arial" w:hAnsi="Arial" w:cs="Arial"/>
        </w:rPr>
        <w:t xml:space="preserve"> Score), incorporan parámetros de laboratorio que</w:t>
      </w:r>
      <w:r w:rsidR="724BA261" w:rsidRPr="502784EB">
        <w:rPr>
          <w:rFonts w:ascii="Arial" w:eastAsia="Arial" w:hAnsi="Arial" w:cs="Arial"/>
        </w:rPr>
        <w:t>, si bien</w:t>
      </w:r>
      <w:r w:rsidRPr="502784EB">
        <w:rPr>
          <w:rFonts w:ascii="Arial" w:eastAsia="Arial" w:hAnsi="Arial" w:cs="Arial"/>
        </w:rPr>
        <w:t xml:space="preserve"> pueden ofrecer una estimación más objetiva del pronóstico</w:t>
      </w:r>
      <w:r w:rsidR="5F2A39A1" w:rsidRPr="502784EB">
        <w:rPr>
          <w:rFonts w:ascii="Arial" w:eastAsia="Arial" w:hAnsi="Arial" w:cs="Arial"/>
        </w:rPr>
        <w:t>, puede que no se cuente con ellos en la situación particular del paciente</w:t>
      </w:r>
      <w:r w:rsidRPr="502784EB">
        <w:rPr>
          <w:rFonts w:ascii="Arial" w:eastAsia="Arial" w:hAnsi="Arial" w:cs="Arial"/>
        </w:rPr>
        <w:t>.</w:t>
      </w:r>
      <w:r w:rsidR="042BAEC2" w:rsidRPr="502784EB">
        <w:rPr>
          <w:rFonts w:ascii="Arial" w:eastAsia="Arial" w:hAnsi="Arial" w:cs="Arial"/>
        </w:rPr>
        <w:t xml:space="preserve"> Debemos tener en cuenta este punto especialmente en el contexto de los cuidados paliativos, en el cual puede considerarse dependiendo del contexto que no deben realizarse evaluaciones o paraclínicos fútiles.</w:t>
      </w:r>
    </w:p>
    <w:p w14:paraId="2DB4691C" w14:textId="05581847" w:rsidR="1D85A9A7" w:rsidRDefault="331B0DE3" w:rsidP="502784EB">
      <w:pPr>
        <w:jc w:val="both"/>
        <w:rPr>
          <w:rFonts w:ascii="Arial" w:eastAsia="Arial" w:hAnsi="Arial" w:cs="Arial"/>
        </w:rPr>
      </w:pPr>
      <w:r w:rsidRPr="21DE038B">
        <w:rPr>
          <w:rFonts w:ascii="Arial" w:eastAsia="Arial" w:hAnsi="Arial" w:cs="Arial"/>
        </w:rPr>
        <w:t>L</w:t>
      </w:r>
      <w:r w:rsidR="11CE9150" w:rsidRPr="21DE038B">
        <w:rPr>
          <w:rFonts w:ascii="Arial" w:eastAsia="Arial" w:hAnsi="Arial" w:cs="Arial"/>
        </w:rPr>
        <w:t xml:space="preserve">a evidencia disponible sugiere que no existe una diferencia significativa en la precisión </w:t>
      </w:r>
      <w:proofErr w:type="spellStart"/>
      <w:r w:rsidR="11CE9150" w:rsidRPr="21DE038B">
        <w:rPr>
          <w:rFonts w:ascii="Arial" w:eastAsia="Arial" w:hAnsi="Arial" w:cs="Arial"/>
        </w:rPr>
        <w:t>pronóstica</w:t>
      </w:r>
      <w:proofErr w:type="spellEnd"/>
      <w:r w:rsidR="11CE9150" w:rsidRPr="21DE038B">
        <w:rPr>
          <w:rFonts w:ascii="Arial" w:eastAsia="Arial" w:hAnsi="Arial" w:cs="Arial"/>
        </w:rPr>
        <w:t xml:space="preserve"> entre las distintas escalas</w:t>
      </w:r>
      <w:r w:rsidR="4EF762E1" w:rsidRPr="21DE038B">
        <w:rPr>
          <w:rFonts w:ascii="Arial" w:eastAsia="Arial" w:hAnsi="Arial" w:cs="Arial"/>
        </w:rPr>
        <w:t xml:space="preserve"> </w:t>
      </w:r>
      <w:sdt>
        <w:sdtPr>
          <w:tag w:val="MENDELEY_CITATION_v3_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"/>
          <w:id w:val="1597815853"/>
          <w:placeholder>
            <w:docPart w:val="DefaultPlaceholder_-1854013440"/>
          </w:placeholder>
        </w:sdtPr>
        <w:sdtEndPr/>
        <w:sdtContent>
          <w:r w:rsidR="502784EB" w:rsidRPr="21DE038B">
            <w:rPr>
              <w:rFonts w:ascii="Arial" w:eastAsia="Arial" w:hAnsi="Arial" w:cs="Arial"/>
              <w:color w:val="000000" w:themeColor="text1"/>
            </w:rPr>
            <w:t>(</w:t>
          </w:r>
          <w:r w:rsidR="7C91EBC6" w:rsidRPr="21DE038B">
            <w:rPr>
              <w:rFonts w:ascii="Arial" w:eastAsia="Arial" w:hAnsi="Arial" w:cs="Arial"/>
              <w:color w:val="000000" w:themeColor="text1"/>
            </w:rPr>
            <w:t>15</w:t>
          </w:r>
          <w:r w:rsidR="502784EB" w:rsidRPr="21DE038B">
            <w:rPr>
              <w:rFonts w:ascii="Arial" w:eastAsia="Arial" w:hAnsi="Arial" w:cs="Arial"/>
              <w:color w:val="000000" w:themeColor="text1"/>
            </w:rPr>
            <w:t>)</w:t>
          </w:r>
        </w:sdtContent>
      </w:sdt>
      <w:r w:rsidR="11CE9150">
        <w:t>, por lo que su aplicación debería guiarse por la disponibilidad de recursos y el criterio clínico.</w:t>
      </w:r>
      <w:r w:rsidR="4E9C5B84" w:rsidRPr="21DE038B">
        <w:rPr>
          <w:rFonts w:ascii="Arial" w:eastAsia="Arial" w:hAnsi="Arial" w:cs="Arial"/>
        </w:rPr>
        <w:t xml:space="preserve"> </w:t>
      </w:r>
      <w:r w:rsidR="41A192CC" w:rsidRPr="21DE038B">
        <w:rPr>
          <w:rFonts w:ascii="Arial" w:eastAsia="Arial" w:hAnsi="Arial" w:cs="Arial"/>
        </w:rPr>
        <w:t xml:space="preserve">Podemos analizar este punto desde el análisis del </w:t>
      </w:r>
      <w:proofErr w:type="spellStart"/>
      <w:r w:rsidR="41A192CC" w:rsidRPr="21DE038B">
        <w:rPr>
          <w:rFonts w:ascii="Arial" w:eastAsia="Arial" w:hAnsi="Arial" w:cs="Arial"/>
        </w:rPr>
        <w:t>PaP</w:t>
      </w:r>
      <w:proofErr w:type="spellEnd"/>
      <w:r w:rsidR="41A192CC" w:rsidRPr="21DE038B">
        <w:rPr>
          <w:rFonts w:ascii="Arial" w:eastAsia="Arial" w:hAnsi="Arial" w:cs="Arial"/>
        </w:rPr>
        <w:t xml:space="preserve"> score, una de las herramientas más utilizadas en la predicción de supervivencia en cuidados paliativos. </w:t>
      </w:r>
      <w:r w:rsidR="534D0375" w:rsidRPr="21DE038B">
        <w:rPr>
          <w:rFonts w:ascii="Arial" w:eastAsia="Arial" w:hAnsi="Arial" w:cs="Arial"/>
        </w:rPr>
        <w:t xml:space="preserve"> Si bien se trata de una herramienta que permite establecer unos grupos claros en términos de supervivencia, posee dos características particulares que pueden limitar su uso. Por un parte, integra la predicción clínica de la supervivencia en periodos de tiempo específicos, los cuales pueden ser altamente subjetivos y com</w:t>
      </w:r>
      <w:r w:rsidR="21926831" w:rsidRPr="21DE038B">
        <w:rPr>
          <w:rFonts w:ascii="Arial" w:eastAsia="Arial" w:hAnsi="Arial" w:cs="Arial"/>
        </w:rPr>
        <w:t>plejos de establecer para un clínico con poca experiencia. Por otra parte, integra parámetros del hemograma (conteo leucoci</w:t>
      </w:r>
      <w:r w:rsidR="30A72CAE" w:rsidRPr="21DE038B">
        <w:rPr>
          <w:rFonts w:ascii="Arial" w:eastAsia="Arial" w:hAnsi="Arial" w:cs="Arial"/>
        </w:rPr>
        <w:t>tario y linfocitario), el cual dependiendo del paciente puede que contemos o no con dicha información; y en la cual debemos evaluar si es pertinente obtenerlo en el contexto de un fallecimiento inminente. Este es un ejemplo que ilustra la necesidad de ad</w:t>
      </w:r>
      <w:r w:rsidR="121B882B" w:rsidRPr="21DE038B">
        <w:rPr>
          <w:rFonts w:ascii="Arial" w:eastAsia="Arial" w:hAnsi="Arial" w:cs="Arial"/>
        </w:rPr>
        <w:t xml:space="preserve">aptar el uso de cada herramienta </w:t>
      </w:r>
      <w:proofErr w:type="spellStart"/>
      <w:r w:rsidR="121B882B" w:rsidRPr="21DE038B">
        <w:rPr>
          <w:rFonts w:ascii="Arial" w:eastAsia="Arial" w:hAnsi="Arial" w:cs="Arial"/>
        </w:rPr>
        <w:t>pronóstica</w:t>
      </w:r>
      <w:proofErr w:type="spellEnd"/>
      <w:r w:rsidR="121B882B" w:rsidRPr="21DE038B">
        <w:rPr>
          <w:rFonts w:ascii="Arial" w:eastAsia="Arial" w:hAnsi="Arial" w:cs="Arial"/>
        </w:rPr>
        <w:t xml:space="preserve"> al contexto del paciente y a una adecuada evaluación individualizada.</w:t>
      </w:r>
    </w:p>
    <w:p w14:paraId="66EE003A" w14:textId="5F2E2006" w:rsidR="1D85A9A7" w:rsidRDefault="50744610" w:rsidP="37FB81F5">
      <w:pPr>
        <w:jc w:val="both"/>
        <w:rPr>
          <w:rFonts w:ascii="Arial" w:eastAsia="Arial" w:hAnsi="Arial" w:cs="Arial"/>
        </w:rPr>
      </w:pPr>
      <w:r w:rsidRPr="502784EB">
        <w:rPr>
          <w:rFonts w:ascii="Arial" w:eastAsia="Arial" w:hAnsi="Arial" w:cs="Arial"/>
        </w:rPr>
        <w:t>La evaluación de la condición funcional del paciente constituye una herramienta clave para orientar al clínico respecto al grado de deterioro que este pueda estar experimentando. El uso de escalas estandarizadas para valorar esta dimensión permite realizar una estimación clínica más precisa del estado funcional, lo cual facilita la toma de decisiones terapéuticas oportunas, especialmente en etapas previas al inicio del proceso de final de vida.</w:t>
      </w:r>
      <w:r w:rsidR="41A93D61" w:rsidRPr="502784EB">
        <w:rPr>
          <w:rFonts w:ascii="Arial" w:eastAsia="Arial" w:hAnsi="Arial" w:cs="Arial"/>
        </w:rPr>
        <w:t xml:space="preserve"> Así mismo, las recomendaciones de las guías establecen el reconocimiento del deterioro en el estatus funcional como un punto fundamental en el diagnóstico de fin de vida.</w:t>
      </w:r>
    </w:p>
    <w:p w14:paraId="16473A7B" w14:textId="7612DCBB" w:rsidR="35C10996" w:rsidRDefault="35C10996" w:rsidP="37FB81F5">
      <w:pPr>
        <w:jc w:val="both"/>
        <w:rPr>
          <w:rFonts w:ascii="Arial" w:eastAsia="Arial" w:hAnsi="Arial" w:cs="Arial"/>
        </w:rPr>
      </w:pPr>
      <w:r w:rsidRPr="37FB81F5">
        <w:rPr>
          <w:rFonts w:ascii="Arial" w:eastAsia="Arial" w:hAnsi="Arial" w:cs="Arial"/>
        </w:rPr>
        <w:t xml:space="preserve">Si bien hemos visto que varias escalas clínicas pueden utilizarse, a través de los grados recomendación de las diversas guías podemos evidenciar que el parámetro fundamental a tener en cuenta es el juicio clínico, esto reflejado a través de la predicción clínica de </w:t>
      </w:r>
      <w:r w:rsidRPr="37FB81F5">
        <w:rPr>
          <w:rFonts w:ascii="Arial" w:eastAsia="Arial" w:hAnsi="Arial" w:cs="Arial"/>
        </w:rPr>
        <w:lastRenderedPageBreak/>
        <w:t xml:space="preserve">supervivencia </w:t>
      </w:r>
      <w:r w:rsidR="0B2AFCD9" w:rsidRPr="37FB81F5">
        <w:rPr>
          <w:rFonts w:ascii="Arial" w:eastAsia="Arial" w:hAnsi="Arial" w:cs="Arial"/>
        </w:rPr>
        <w:t>(CPS, por sus siglas en inglés). Es necesario resaltar</w:t>
      </w:r>
      <w:r w:rsidR="2C25EB01" w:rsidRPr="37FB81F5">
        <w:rPr>
          <w:rFonts w:ascii="Arial" w:eastAsia="Arial" w:hAnsi="Arial" w:cs="Arial"/>
        </w:rPr>
        <w:t xml:space="preserve"> que el punto de comparación de las herramientas clínicas es el juicio clínico.</w:t>
      </w:r>
      <w:r w:rsidR="1B56AF68" w:rsidRPr="37FB81F5">
        <w:rPr>
          <w:rFonts w:ascii="Arial" w:eastAsia="Arial" w:hAnsi="Arial" w:cs="Arial"/>
        </w:rPr>
        <w:t xml:space="preserve"> Las guías realizan una clara recomendación en contra del uso aislado de las herramientas </w:t>
      </w:r>
      <w:proofErr w:type="spellStart"/>
      <w:r w:rsidR="1B56AF68" w:rsidRPr="37FB81F5">
        <w:rPr>
          <w:rFonts w:ascii="Arial" w:eastAsia="Arial" w:hAnsi="Arial" w:cs="Arial"/>
        </w:rPr>
        <w:t>multivariables</w:t>
      </w:r>
      <w:proofErr w:type="spellEnd"/>
      <w:r w:rsidR="1B56AF68" w:rsidRPr="37FB81F5">
        <w:rPr>
          <w:rFonts w:ascii="Arial" w:eastAsia="Arial" w:hAnsi="Arial" w:cs="Arial"/>
        </w:rPr>
        <w:t xml:space="preserve"> de pronóstico sin tener en cuenta el juicio clínico.</w:t>
      </w:r>
    </w:p>
    <w:p w14:paraId="735076A9" w14:textId="0FDDE073" w:rsidR="65EC2D17" w:rsidRDefault="65EC2D17" w:rsidP="37FB81F5">
      <w:pPr>
        <w:jc w:val="both"/>
        <w:rPr>
          <w:rFonts w:ascii="Arial" w:eastAsia="Arial" w:hAnsi="Arial" w:cs="Arial"/>
        </w:rPr>
      </w:pPr>
      <w:r w:rsidRPr="37FB81F5">
        <w:rPr>
          <w:rFonts w:ascii="Arial" w:eastAsia="Arial" w:hAnsi="Arial" w:cs="Arial"/>
        </w:rPr>
        <w:t>Es interesante la clasificación de las recomendaciones y aspectos a tener en cuenta en la evaluación del paciente de acuerdo con el tiempo que nos encontremos prediciendo</w:t>
      </w:r>
      <w:r w:rsidR="7EF6B96F" w:rsidRPr="37FB81F5">
        <w:rPr>
          <w:rFonts w:ascii="Arial" w:eastAsia="Arial" w:hAnsi="Arial" w:cs="Arial"/>
        </w:rPr>
        <w:t xml:space="preserve">. En el caso de los pacientes con expectativa de meses, lo que va a primar es la predicción clínica de la supervivencia, junto con la evaluación de la funcionalidad a través del ECOG principalmente. </w:t>
      </w:r>
      <w:r w:rsidR="30BE248A" w:rsidRPr="37FB81F5">
        <w:rPr>
          <w:rFonts w:ascii="Arial" w:eastAsia="Arial" w:hAnsi="Arial" w:cs="Arial"/>
        </w:rPr>
        <w:t xml:space="preserve">En aquellos pacientes que se predice un fallecimiento entre semanas a meses, que ya no están recibiendo tratamiento oncológico, también prima la predicción clínica de supervivencia, y debe considerarse el uso de modelos pronósticos </w:t>
      </w:r>
      <w:proofErr w:type="spellStart"/>
      <w:r w:rsidR="30BE248A" w:rsidRPr="37FB81F5">
        <w:rPr>
          <w:rFonts w:ascii="Arial" w:eastAsia="Arial" w:hAnsi="Arial" w:cs="Arial"/>
        </w:rPr>
        <w:t>m</w:t>
      </w:r>
      <w:r w:rsidR="634EEA18" w:rsidRPr="37FB81F5">
        <w:rPr>
          <w:rFonts w:ascii="Arial" w:eastAsia="Arial" w:hAnsi="Arial" w:cs="Arial"/>
        </w:rPr>
        <w:t>ultivariables</w:t>
      </w:r>
      <w:proofErr w:type="spellEnd"/>
      <w:r w:rsidR="634EEA18" w:rsidRPr="37FB81F5">
        <w:rPr>
          <w:rFonts w:ascii="Arial" w:eastAsia="Arial" w:hAnsi="Arial" w:cs="Arial"/>
        </w:rPr>
        <w:t xml:space="preserve"> tales como el </w:t>
      </w:r>
      <w:proofErr w:type="spellStart"/>
      <w:r w:rsidR="634EEA18" w:rsidRPr="37FB81F5">
        <w:rPr>
          <w:rFonts w:ascii="Arial" w:eastAsia="Arial" w:hAnsi="Arial" w:cs="Arial"/>
        </w:rPr>
        <w:t>PapScore</w:t>
      </w:r>
      <w:proofErr w:type="spellEnd"/>
      <w:r w:rsidR="634EEA18" w:rsidRPr="37FB81F5">
        <w:rPr>
          <w:rFonts w:ascii="Arial" w:eastAsia="Arial" w:hAnsi="Arial" w:cs="Arial"/>
        </w:rPr>
        <w:t xml:space="preserve"> y el PPI. En el caso de pacientes con predicción de supervivencia de días, debe usarse la predicción clínica de supervive</w:t>
      </w:r>
      <w:r w:rsidR="7821A7E0" w:rsidRPr="37FB81F5">
        <w:rPr>
          <w:rFonts w:ascii="Arial" w:eastAsia="Arial" w:hAnsi="Arial" w:cs="Arial"/>
        </w:rPr>
        <w:t>ncia y considerar utilizar otros factores predictores como el PPS</w:t>
      </w:r>
      <w:r w:rsidR="2B7A95F6" w:rsidRPr="37FB81F5">
        <w:rPr>
          <w:rFonts w:ascii="Arial" w:eastAsia="Arial" w:hAnsi="Arial" w:cs="Arial"/>
        </w:rPr>
        <w:t xml:space="preserve"> y, sobre todo, los signos clínicos de fallecimiento inminente.</w:t>
      </w:r>
      <w:r w:rsidR="17E7678E" w:rsidRPr="37FB81F5">
        <w:rPr>
          <w:rFonts w:ascii="Arial" w:eastAsia="Arial" w:hAnsi="Arial" w:cs="Arial"/>
        </w:rPr>
        <w:t xml:space="preserve"> </w:t>
      </w:r>
      <w:r w:rsidR="2B7A95F6" w:rsidRPr="37FB81F5">
        <w:rPr>
          <w:rFonts w:ascii="Arial" w:eastAsia="Arial" w:hAnsi="Arial" w:cs="Arial"/>
        </w:rPr>
        <w:t xml:space="preserve">Específicamente en este caso, no se recomienda el uso de herramientas </w:t>
      </w:r>
      <w:proofErr w:type="spellStart"/>
      <w:r w:rsidR="2B7A95F6" w:rsidRPr="37FB81F5">
        <w:rPr>
          <w:rFonts w:ascii="Arial" w:eastAsia="Arial" w:hAnsi="Arial" w:cs="Arial"/>
        </w:rPr>
        <w:t>multivariable</w:t>
      </w:r>
      <w:proofErr w:type="spellEnd"/>
      <w:r w:rsidR="2B7A95F6" w:rsidRPr="37FB81F5">
        <w:rPr>
          <w:rFonts w:ascii="Arial" w:eastAsia="Arial" w:hAnsi="Arial" w:cs="Arial"/>
        </w:rPr>
        <w:t xml:space="preserve"> sin acompañarlo por la p</w:t>
      </w:r>
      <w:r w:rsidR="04AEEDA0" w:rsidRPr="37FB81F5">
        <w:rPr>
          <w:rFonts w:ascii="Arial" w:eastAsia="Arial" w:hAnsi="Arial" w:cs="Arial"/>
        </w:rPr>
        <w:t>redicción clínica de supervivencia.</w:t>
      </w:r>
      <w:r w:rsidR="09FAEE07" w:rsidRPr="37FB81F5">
        <w:rPr>
          <w:rFonts w:ascii="Arial" w:eastAsia="Arial" w:hAnsi="Arial" w:cs="Arial"/>
        </w:rPr>
        <w:t xml:space="preserve"> Es de esta manera que evidenciamos la gran importancia que tiene el juicio clínico en la predicción de la supervivencia de los pacientes.</w:t>
      </w:r>
    </w:p>
    <w:p w14:paraId="0BEFE9D6" w14:textId="0E0DB881" w:rsidR="2101CEDD" w:rsidRDefault="2101CEDD" w:rsidP="21DE038B">
      <w:pPr>
        <w:jc w:val="both"/>
        <w:rPr>
          <w:rFonts w:ascii="Arial" w:eastAsia="Arial" w:hAnsi="Arial" w:cs="Arial"/>
        </w:rPr>
      </w:pPr>
      <w:r w:rsidRPr="21DE038B">
        <w:rPr>
          <w:rFonts w:ascii="Arial" w:eastAsia="Arial" w:hAnsi="Arial" w:cs="Arial"/>
        </w:rPr>
        <w:t>Considerando lo anteriormente expuesto, la identificación del paciente en situación de final de vida se reconoce como un proceso complejo que requiere tanto del uso combinado de múltiples herramientas como de una sólida experticia clínica. Debido a esta complejidad, se han desarrollado estrategias estructuradas, como el paquete de cuidados AMBER, y herramientas como el SPICT (</w:t>
      </w:r>
      <w:proofErr w:type="spellStart"/>
      <w:r w:rsidRPr="21DE038B">
        <w:rPr>
          <w:rFonts w:ascii="Arial" w:eastAsia="Arial" w:hAnsi="Arial" w:cs="Arial"/>
        </w:rPr>
        <w:t>Supportive</w:t>
      </w:r>
      <w:proofErr w:type="spellEnd"/>
      <w:r w:rsidRPr="21DE038B">
        <w:rPr>
          <w:rFonts w:ascii="Arial" w:eastAsia="Arial" w:hAnsi="Arial" w:cs="Arial"/>
        </w:rPr>
        <w:t xml:space="preserve"> and </w:t>
      </w:r>
      <w:proofErr w:type="spellStart"/>
      <w:r w:rsidRPr="21DE038B">
        <w:rPr>
          <w:rFonts w:ascii="Arial" w:eastAsia="Arial" w:hAnsi="Arial" w:cs="Arial"/>
        </w:rPr>
        <w:t>Palliative</w:t>
      </w:r>
      <w:proofErr w:type="spellEnd"/>
      <w:r w:rsidRPr="21DE038B">
        <w:rPr>
          <w:rFonts w:ascii="Arial" w:eastAsia="Arial" w:hAnsi="Arial" w:cs="Arial"/>
        </w:rPr>
        <w:t xml:space="preserve"> </w:t>
      </w:r>
      <w:proofErr w:type="spellStart"/>
      <w:r w:rsidRPr="21DE038B">
        <w:rPr>
          <w:rFonts w:ascii="Arial" w:eastAsia="Arial" w:hAnsi="Arial" w:cs="Arial"/>
        </w:rPr>
        <w:t>Care</w:t>
      </w:r>
      <w:proofErr w:type="spellEnd"/>
      <w:r w:rsidRPr="21DE038B">
        <w:rPr>
          <w:rFonts w:ascii="Arial" w:eastAsia="Arial" w:hAnsi="Arial" w:cs="Arial"/>
        </w:rPr>
        <w:t xml:space="preserve"> </w:t>
      </w:r>
      <w:proofErr w:type="spellStart"/>
      <w:r w:rsidRPr="21DE038B">
        <w:rPr>
          <w:rFonts w:ascii="Arial" w:eastAsia="Arial" w:hAnsi="Arial" w:cs="Arial"/>
        </w:rPr>
        <w:t>Indicators</w:t>
      </w:r>
      <w:proofErr w:type="spellEnd"/>
      <w:r w:rsidRPr="21DE038B">
        <w:rPr>
          <w:rFonts w:ascii="Arial" w:eastAsia="Arial" w:hAnsi="Arial" w:cs="Arial"/>
        </w:rPr>
        <w:t xml:space="preserve"> </w:t>
      </w:r>
      <w:proofErr w:type="spellStart"/>
      <w:r w:rsidRPr="21DE038B">
        <w:rPr>
          <w:rFonts w:ascii="Arial" w:eastAsia="Arial" w:hAnsi="Arial" w:cs="Arial"/>
        </w:rPr>
        <w:t>Tool</w:t>
      </w:r>
      <w:proofErr w:type="spellEnd"/>
      <w:r w:rsidRPr="21DE038B">
        <w:rPr>
          <w:rFonts w:ascii="Arial" w:eastAsia="Arial" w:hAnsi="Arial" w:cs="Arial"/>
        </w:rPr>
        <w:t xml:space="preserve">), que buscan orientar al equipo de salud en la identificación oportuna y en el abordaje integral de pacientes en condiciones de </w:t>
      </w:r>
      <w:proofErr w:type="spellStart"/>
      <w:r w:rsidRPr="21DE038B">
        <w:rPr>
          <w:rFonts w:ascii="Arial" w:eastAsia="Arial" w:hAnsi="Arial" w:cs="Arial"/>
        </w:rPr>
        <w:t>terminalidad</w:t>
      </w:r>
      <w:proofErr w:type="spellEnd"/>
      <w:r w:rsidRPr="21DE038B">
        <w:rPr>
          <w:rFonts w:ascii="Arial" w:eastAsia="Arial" w:hAnsi="Arial" w:cs="Arial"/>
        </w:rPr>
        <w:t>.</w:t>
      </w:r>
      <w:r w:rsidR="63154FC1" w:rsidRPr="21DE038B">
        <w:rPr>
          <w:rFonts w:ascii="Arial" w:eastAsia="Arial" w:hAnsi="Arial" w:cs="Arial"/>
        </w:rPr>
        <w:t xml:space="preserve"> </w:t>
      </w:r>
    </w:p>
    <w:p w14:paraId="49877FAF" w14:textId="4227E314" w:rsidR="21DE038B" w:rsidRDefault="21DE038B" w:rsidP="21DE038B">
      <w:pPr>
        <w:jc w:val="both"/>
        <w:rPr>
          <w:rFonts w:ascii="Arial" w:eastAsia="Arial" w:hAnsi="Arial" w:cs="Arial"/>
        </w:rPr>
      </w:pPr>
    </w:p>
    <w:p w14:paraId="0FA3143A" w14:textId="655FAE31" w:rsidR="63DC1130" w:rsidRDefault="63DC1130" w:rsidP="21DE038B">
      <w:pPr>
        <w:jc w:val="both"/>
        <w:rPr>
          <w:rFonts w:ascii="Arial" w:eastAsia="Arial" w:hAnsi="Arial" w:cs="Arial"/>
          <w:b/>
          <w:bCs/>
        </w:rPr>
      </w:pPr>
      <w:r w:rsidRPr="21DE038B">
        <w:rPr>
          <w:rFonts w:ascii="Arial" w:eastAsia="Arial" w:hAnsi="Arial" w:cs="Arial"/>
          <w:b/>
          <w:bCs/>
        </w:rPr>
        <w:t>Limitaciones</w:t>
      </w:r>
    </w:p>
    <w:p w14:paraId="44AEFF02" w14:textId="7671A633" w:rsidR="1B0EED26" w:rsidRDefault="1B0EED26" w:rsidP="21DE038B">
      <w:pPr>
        <w:jc w:val="both"/>
        <w:rPr>
          <w:rFonts w:ascii="Arial" w:eastAsia="Arial" w:hAnsi="Arial" w:cs="Arial"/>
        </w:rPr>
      </w:pPr>
      <w:r w:rsidRPr="21DE038B">
        <w:rPr>
          <w:rFonts w:ascii="Arial" w:eastAsia="Arial" w:hAnsi="Arial" w:cs="Arial"/>
        </w:rPr>
        <w:t>Entre las principales limitaciones identificadas en esta revisión se encuentra la escasa cantidad de guías de práctica clínica de alta calidad disponibles específicamente para pacientes con cáncer avanzado en situación de final de vida. Además, existe una notable heterogeneidad en la forma en que las distintas guías definen esta etapa, lo que dificulta la estandarización de criterios clínicos y puede generar incertidumbre en la práctica asistencial. A esto se suma el componente inevitable de subjetividad, particularmente en lo referente a la predicción clínica de la supervivencia, lo cual puede verse influido por la experiencia del profesional y el contexto clínico en el que se desempeña.</w:t>
      </w:r>
    </w:p>
    <w:p w14:paraId="1B3F1BCD" w14:textId="560580E2" w:rsidR="6968984F" w:rsidRDefault="6968984F" w:rsidP="21DE038B">
      <w:pPr>
        <w:jc w:val="both"/>
        <w:rPr>
          <w:rFonts w:ascii="Arial" w:eastAsia="Arial" w:hAnsi="Arial" w:cs="Arial"/>
        </w:rPr>
      </w:pPr>
    </w:p>
    <w:p w14:paraId="75023F13" w14:textId="2118BE43" w:rsidR="51EDDD58" w:rsidRDefault="6DC9765C" w:rsidP="6968984F">
      <w:pPr>
        <w:jc w:val="both"/>
        <w:rPr>
          <w:rFonts w:ascii="Arial" w:eastAsia="Arial" w:hAnsi="Arial" w:cs="Arial"/>
          <w:b/>
          <w:bCs/>
        </w:rPr>
      </w:pPr>
      <w:r w:rsidRPr="37FB81F5">
        <w:rPr>
          <w:rFonts w:ascii="Arial" w:eastAsia="Arial" w:hAnsi="Arial" w:cs="Arial"/>
          <w:b/>
          <w:bCs/>
        </w:rPr>
        <w:t xml:space="preserve">Conclusiones </w:t>
      </w:r>
    </w:p>
    <w:p w14:paraId="7FA4A2B3" w14:textId="56BBBEB9" w:rsidR="3F8F37B2" w:rsidRDefault="108363E8" w:rsidP="21DE038B">
      <w:pPr>
        <w:jc w:val="both"/>
        <w:rPr>
          <w:rFonts w:ascii="Arial" w:eastAsia="Arial" w:hAnsi="Arial" w:cs="Arial"/>
        </w:rPr>
      </w:pPr>
      <w:r w:rsidRPr="21DE038B">
        <w:rPr>
          <w:rFonts w:ascii="Arial" w:eastAsia="Arial" w:hAnsi="Arial" w:cs="Arial"/>
        </w:rPr>
        <w:lastRenderedPageBreak/>
        <w:t>Esta revisión sistemática resalta la relevancia de guías clínicas de alta calidad para la identificación del paciente con cáncer avanzado en situación de final de vida. A pesar de la variabilidad en su definición, existe consenso en combinar el juicio clínico con herramientas como signos clínicos, escalas funcionales y modelos pronósticos. El juicio clínico se reafirma como el eje fundamental en este proceso, siendo indispensable para aplicar de forma contextualizada las herramientas disponibles y garantizar un abordaje individualizado, proporcional y centrado en el bienestar del paciente.</w:t>
      </w:r>
    </w:p>
    <w:p w14:paraId="65A9708F" w14:textId="684B8381" w:rsidR="6968984F" w:rsidRDefault="6968984F" w:rsidP="6968984F">
      <w:pPr>
        <w:jc w:val="both"/>
        <w:rPr>
          <w:rFonts w:ascii="Arial" w:eastAsia="Arial" w:hAnsi="Arial" w:cs="Arial"/>
          <w:b/>
          <w:bCs/>
        </w:rPr>
      </w:pPr>
    </w:p>
    <w:p w14:paraId="7C449693" w14:textId="1B49795B" w:rsidR="6968984F" w:rsidRPr="00FF435D" w:rsidRDefault="6968984F" w:rsidP="6968984F">
      <w:pPr>
        <w:spacing w:after="0"/>
        <w:ind w:left="640" w:hanging="640"/>
        <w:jc w:val="both"/>
        <w:rPr>
          <w:rFonts w:ascii="Arial" w:eastAsia="Arial" w:hAnsi="Arial" w:cs="Arial"/>
        </w:rPr>
      </w:pPr>
    </w:p>
    <w:p w14:paraId="0C7CB284" w14:textId="50ACDB62" w:rsidR="6968984F" w:rsidRPr="00FF435D" w:rsidRDefault="6968984F" w:rsidP="6968984F">
      <w:pPr>
        <w:spacing w:after="0"/>
        <w:ind w:left="640" w:hanging="640"/>
        <w:jc w:val="both"/>
        <w:rPr>
          <w:rFonts w:ascii="Arial" w:eastAsia="Arial" w:hAnsi="Arial" w:cs="Arial"/>
        </w:rPr>
      </w:pPr>
    </w:p>
    <w:p w14:paraId="48D6B4CE" w14:textId="3701C7E7" w:rsidR="28117B2E" w:rsidRDefault="28117B2E" w:rsidP="6968984F">
      <w:pPr>
        <w:spacing w:after="0"/>
        <w:ind w:left="640" w:hanging="640"/>
        <w:jc w:val="both"/>
        <w:rPr>
          <w:rFonts w:ascii="Arial" w:eastAsia="Arial" w:hAnsi="Arial" w:cs="Arial"/>
          <w:b/>
          <w:bCs/>
          <w:lang w:val="en-US"/>
        </w:rPr>
      </w:pPr>
      <w:proofErr w:type="spellStart"/>
      <w:r w:rsidRPr="6968984F">
        <w:rPr>
          <w:rFonts w:ascii="Arial" w:eastAsia="Arial" w:hAnsi="Arial" w:cs="Arial"/>
          <w:b/>
          <w:bCs/>
          <w:lang w:val="en-US"/>
        </w:rPr>
        <w:t>Referencias</w:t>
      </w:r>
      <w:proofErr w:type="spellEnd"/>
    </w:p>
    <w:p w14:paraId="628708AF" w14:textId="326A30FC" w:rsidR="6968984F" w:rsidRDefault="6968984F" w:rsidP="6968984F">
      <w:pPr>
        <w:spacing w:after="0"/>
        <w:ind w:left="640" w:hanging="640"/>
        <w:jc w:val="both"/>
        <w:rPr>
          <w:rFonts w:ascii="Arial" w:eastAsia="Arial" w:hAnsi="Arial" w:cs="Arial"/>
          <w:lang w:val="en-US"/>
        </w:rPr>
      </w:pPr>
    </w:p>
    <w:p w14:paraId="19AE180B" w14:textId="6085E399" w:rsidR="5250CD85" w:rsidRDefault="5250CD85" w:rsidP="6968984F">
      <w:pPr>
        <w:spacing w:after="0"/>
        <w:ind w:left="640" w:hanging="640"/>
        <w:jc w:val="both"/>
        <w:rPr>
          <w:rFonts w:ascii="Arial" w:eastAsia="Arial" w:hAnsi="Arial" w:cs="Arial"/>
          <w:lang w:val="en-US"/>
        </w:rPr>
      </w:pPr>
      <w:r w:rsidRPr="6968984F">
        <w:rPr>
          <w:rFonts w:ascii="Arial" w:eastAsia="Arial" w:hAnsi="Arial" w:cs="Arial"/>
          <w:lang w:val="en-US"/>
        </w:rPr>
        <w:t>1.</w:t>
      </w:r>
      <w:r w:rsidRPr="00FF435D">
        <w:rPr>
          <w:lang w:val="en-US"/>
        </w:rPr>
        <w:tab/>
      </w:r>
      <w:proofErr w:type="spellStart"/>
      <w:r w:rsidRPr="6968984F">
        <w:rPr>
          <w:rFonts w:ascii="Arial" w:eastAsia="Arial" w:hAnsi="Arial" w:cs="Arial"/>
          <w:lang w:val="en-US"/>
        </w:rPr>
        <w:t>Hui</w:t>
      </w:r>
      <w:proofErr w:type="spellEnd"/>
      <w:r w:rsidRPr="6968984F">
        <w:rPr>
          <w:rFonts w:ascii="Arial" w:eastAsia="Arial" w:hAnsi="Arial" w:cs="Arial"/>
          <w:lang w:val="en-US"/>
        </w:rPr>
        <w:t xml:space="preserve"> D, Dos Santos R, Chisholm G, Bansal S, </w:t>
      </w:r>
      <w:proofErr w:type="spellStart"/>
      <w:r w:rsidRPr="6968984F">
        <w:rPr>
          <w:rFonts w:ascii="Arial" w:eastAsia="Arial" w:hAnsi="Arial" w:cs="Arial"/>
          <w:lang w:val="en-US"/>
        </w:rPr>
        <w:t>Crovador</w:t>
      </w:r>
      <w:proofErr w:type="spellEnd"/>
      <w:r w:rsidRPr="6968984F">
        <w:rPr>
          <w:rFonts w:ascii="Arial" w:eastAsia="Arial" w:hAnsi="Arial" w:cs="Arial"/>
          <w:lang w:val="en-US"/>
        </w:rPr>
        <w:t xml:space="preserve"> CS, </w:t>
      </w:r>
      <w:proofErr w:type="spellStart"/>
      <w:proofErr w:type="gramStart"/>
      <w:r w:rsidRPr="6968984F">
        <w:rPr>
          <w:rFonts w:ascii="Arial" w:eastAsia="Arial" w:hAnsi="Arial" w:cs="Arial"/>
          <w:lang w:val="en-US"/>
        </w:rPr>
        <w:t>Bruera</w:t>
      </w:r>
      <w:proofErr w:type="spellEnd"/>
      <w:proofErr w:type="gramEnd"/>
      <w:r w:rsidRPr="6968984F">
        <w:rPr>
          <w:rFonts w:ascii="Arial" w:eastAsia="Arial" w:hAnsi="Arial" w:cs="Arial"/>
          <w:lang w:val="en-US"/>
        </w:rPr>
        <w:t xml:space="preserve"> E. Bedside clinical signs associated with impending death in patients with advanced cancer: Preliminary findings of a prospective, longitudinal cohort study. Cancer. 2015 Mar 1</w:t>
      </w:r>
      <w:proofErr w:type="gramStart"/>
      <w:r w:rsidRPr="6968984F">
        <w:rPr>
          <w:rFonts w:ascii="Arial" w:eastAsia="Arial" w:hAnsi="Arial" w:cs="Arial"/>
          <w:lang w:val="en-US"/>
        </w:rPr>
        <w:t>;121</w:t>
      </w:r>
      <w:proofErr w:type="gramEnd"/>
      <w:r w:rsidRPr="6968984F">
        <w:rPr>
          <w:rFonts w:ascii="Arial" w:eastAsia="Arial" w:hAnsi="Arial" w:cs="Arial"/>
          <w:lang w:val="en-US"/>
        </w:rPr>
        <w:t xml:space="preserve">(6):960–7.  </w:t>
      </w:r>
    </w:p>
    <w:p w14:paraId="48314AC9" w14:textId="69893201" w:rsidR="5250CD85" w:rsidRDefault="5250CD85" w:rsidP="6968984F">
      <w:pPr>
        <w:spacing w:after="0"/>
        <w:ind w:left="640" w:hanging="640"/>
        <w:jc w:val="both"/>
        <w:rPr>
          <w:rFonts w:ascii="Arial" w:eastAsia="Arial" w:hAnsi="Arial" w:cs="Arial"/>
          <w:lang w:val="en-US"/>
        </w:rPr>
      </w:pPr>
      <w:r w:rsidRPr="6968984F">
        <w:rPr>
          <w:rFonts w:ascii="Arial" w:eastAsia="Arial" w:hAnsi="Arial" w:cs="Arial"/>
          <w:lang w:val="en-US"/>
        </w:rPr>
        <w:t xml:space="preserve"> </w:t>
      </w:r>
    </w:p>
    <w:p w14:paraId="4A17FD37" w14:textId="016D849B" w:rsidR="5250CD85" w:rsidRPr="00FF435D" w:rsidRDefault="5250CD85" w:rsidP="6968984F">
      <w:pPr>
        <w:spacing w:after="0"/>
        <w:ind w:left="640" w:hanging="640"/>
        <w:jc w:val="both"/>
        <w:rPr>
          <w:rFonts w:ascii="Arial" w:eastAsia="Arial" w:hAnsi="Arial" w:cs="Arial"/>
        </w:rPr>
      </w:pPr>
      <w:r w:rsidRPr="6968984F">
        <w:rPr>
          <w:rFonts w:ascii="Arial" w:eastAsia="Arial" w:hAnsi="Arial" w:cs="Arial"/>
          <w:lang w:val="en-US"/>
        </w:rPr>
        <w:t>2.</w:t>
      </w:r>
      <w:r w:rsidRPr="00FF435D">
        <w:rPr>
          <w:lang w:val="en-US"/>
        </w:rPr>
        <w:tab/>
      </w:r>
      <w:r w:rsidRPr="6968984F">
        <w:rPr>
          <w:rFonts w:ascii="Arial" w:eastAsia="Arial" w:hAnsi="Arial" w:cs="Arial"/>
          <w:lang w:val="en-US"/>
        </w:rPr>
        <w:t xml:space="preserve">Mori M, Morita T, </w:t>
      </w:r>
      <w:proofErr w:type="spellStart"/>
      <w:r w:rsidRPr="6968984F">
        <w:rPr>
          <w:rFonts w:ascii="Arial" w:eastAsia="Arial" w:hAnsi="Arial" w:cs="Arial"/>
          <w:lang w:val="en-US"/>
        </w:rPr>
        <w:t>Bruera</w:t>
      </w:r>
      <w:proofErr w:type="spellEnd"/>
      <w:r w:rsidRPr="6968984F">
        <w:rPr>
          <w:rFonts w:ascii="Arial" w:eastAsia="Arial" w:hAnsi="Arial" w:cs="Arial"/>
          <w:lang w:val="en-US"/>
        </w:rPr>
        <w:t xml:space="preserve"> E, </w:t>
      </w:r>
      <w:proofErr w:type="spellStart"/>
      <w:r w:rsidRPr="6968984F">
        <w:rPr>
          <w:rFonts w:ascii="Arial" w:eastAsia="Arial" w:hAnsi="Arial" w:cs="Arial"/>
          <w:lang w:val="en-US"/>
        </w:rPr>
        <w:t>Hui</w:t>
      </w:r>
      <w:proofErr w:type="spellEnd"/>
      <w:r w:rsidRPr="6968984F">
        <w:rPr>
          <w:rFonts w:ascii="Arial" w:eastAsia="Arial" w:hAnsi="Arial" w:cs="Arial"/>
          <w:lang w:val="en-US"/>
        </w:rPr>
        <w:t xml:space="preserve"> D. Prognostication of the Last Days of Life. </w:t>
      </w:r>
      <w:proofErr w:type="spellStart"/>
      <w:r w:rsidRPr="00FF435D">
        <w:rPr>
          <w:rFonts w:ascii="Arial" w:eastAsia="Arial" w:hAnsi="Arial" w:cs="Arial"/>
        </w:rPr>
        <w:t>Cancer</w:t>
      </w:r>
      <w:proofErr w:type="spellEnd"/>
      <w:r w:rsidRPr="00FF435D">
        <w:rPr>
          <w:rFonts w:ascii="Arial" w:eastAsia="Arial" w:hAnsi="Arial" w:cs="Arial"/>
        </w:rPr>
        <w:t xml:space="preserve"> Res </w:t>
      </w:r>
      <w:proofErr w:type="spellStart"/>
      <w:r w:rsidRPr="00FF435D">
        <w:rPr>
          <w:rFonts w:ascii="Arial" w:eastAsia="Arial" w:hAnsi="Arial" w:cs="Arial"/>
        </w:rPr>
        <w:t>Treat</w:t>
      </w:r>
      <w:proofErr w:type="spellEnd"/>
      <w:r w:rsidRPr="00FF435D">
        <w:rPr>
          <w:rFonts w:ascii="Arial" w:eastAsia="Arial" w:hAnsi="Arial" w:cs="Arial"/>
        </w:rPr>
        <w:t>. 2022 Jul 1</w:t>
      </w:r>
      <w:proofErr w:type="gramStart"/>
      <w:r w:rsidRPr="00FF435D">
        <w:rPr>
          <w:rFonts w:ascii="Arial" w:eastAsia="Arial" w:hAnsi="Arial" w:cs="Arial"/>
        </w:rPr>
        <w:t>;54</w:t>
      </w:r>
      <w:proofErr w:type="gramEnd"/>
      <w:r w:rsidRPr="00FF435D">
        <w:rPr>
          <w:rFonts w:ascii="Arial" w:eastAsia="Arial" w:hAnsi="Arial" w:cs="Arial"/>
        </w:rPr>
        <w:t xml:space="preserve">(3):631–43.  </w:t>
      </w:r>
    </w:p>
    <w:p w14:paraId="71D15B7D" w14:textId="111D6E1B" w:rsidR="5250CD85" w:rsidRPr="00FF435D" w:rsidRDefault="5250CD85" w:rsidP="6968984F">
      <w:pPr>
        <w:spacing w:after="0"/>
        <w:ind w:left="640" w:hanging="640"/>
        <w:jc w:val="both"/>
        <w:rPr>
          <w:rFonts w:ascii="Arial" w:eastAsia="Arial" w:hAnsi="Arial" w:cs="Arial"/>
        </w:rPr>
      </w:pPr>
      <w:r w:rsidRPr="00FF435D">
        <w:rPr>
          <w:rFonts w:ascii="Arial" w:eastAsia="Arial" w:hAnsi="Arial" w:cs="Arial"/>
        </w:rPr>
        <w:t xml:space="preserve"> </w:t>
      </w:r>
    </w:p>
    <w:p w14:paraId="0DB02DE5" w14:textId="284430B4" w:rsidR="5250CD85" w:rsidRDefault="5250CD85" w:rsidP="6968984F">
      <w:pPr>
        <w:spacing w:after="0"/>
        <w:ind w:left="640" w:hanging="640"/>
        <w:jc w:val="both"/>
        <w:rPr>
          <w:rFonts w:ascii="Arial" w:eastAsia="Arial" w:hAnsi="Arial" w:cs="Arial"/>
          <w:lang w:val="en-US"/>
        </w:rPr>
      </w:pPr>
      <w:r w:rsidRPr="00FF435D">
        <w:rPr>
          <w:rFonts w:ascii="Arial" w:eastAsia="Arial" w:hAnsi="Arial" w:cs="Arial"/>
        </w:rPr>
        <w:t>3.</w:t>
      </w:r>
      <w:r>
        <w:tab/>
      </w:r>
      <w:r w:rsidRPr="00FF435D">
        <w:rPr>
          <w:rFonts w:ascii="Arial" w:eastAsia="Arial" w:hAnsi="Arial" w:cs="Arial"/>
        </w:rPr>
        <w:t xml:space="preserve">Para I, De LE, De G, Clínica P. INSTRUMENTO AGREE II [Internet]. </w:t>
      </w:r>
      <w:r w:rsidRPr="6968984F">
        <w:rPr>
          <w:rFonts w:ascii="Arial" w:eastAsia="Arial" w:hAnsi="Arial" w:cs="Arial"/>
          <w:lang w:val="en-US"/>
        </w:rPr>
        <w:t xml:space="preserve">2009. Available from: http://www.guiasalud.es. </w:t>
      </w:r>
    </w:p>
    <w:p w14:paraId="5D0F92FF" w14:textId="3D2374AB" w:rsidR="5250CD85" w:rsidRDefault="5250CD85" w:rsidP="6968984F">
      <w:pPr>
        <w:spacing w:after="0"/>
        <w:ind w:left="640" w:hanging="640"/>
        <w:jc w:val="both"/>
        <w:rPr>
          <w:rFonts w:ascii="Arial" w:eastAsia="Arial" w:hAnsi="Arial" w:cs="Arial"/>
          <w:lang w:val="en-US"/>
        </w:rPr>
      </w:pPr>
      <w:r w:rsidRPr="6968984F">
        <w:rPr>
          <w:rFonts w:ascii="Arial" w:eastAsia="Arial" w:hAnsi="Arial" w:cs="Arial"/>
          <w:lang w:val="en-US"/>
        </w:rPr>
        <w:t xml:space="preserve"> </w:t>
      </w:r>
    </w:p>
    <w:p w14:paraId="01D1CE66" w14:textId="5D95A948" w:rsidR="5250CD85" w:rsidRDefault="5250CD85" w:rsidP="6968984F">
      <w:pPr>
        <w:spacing w:after="0"/>
        <w:ind w:left="640" w:hanging="640"/>
        <w:jc w:val="both"/>
        <w:rPr>
          <w:rFonts w:ascii="Arial" w:eastAsia="Arial" w:hAnsi="Arial" w:cs="Arial"/>
          <w:lang w:val="en-US"/>
        </w:rPr>
      </w:pPr>
      <w:r w:rsidRPr="6968984F">
        <w:rPr>
          <w:rFonts w:ascii="Arial" w:eastAsia="Arial" w:hAnsi="Arial" w:cs="Arial"/>
          <w:lang w:val="en-US"/>
        </w:rPr>
        <w:t>4.</w:t>
      </w:r>
      <w:r w:rsidRPr="00FF435D">
        <w:rPr>
          <w:lang w:val="en-US"/>
        </w:rPr>
        <w:tab/>
      </w:r>
      <w:r w:rsidRPr="6968984F">
        <w:rPr>
          <w:rFonts w:ascii="Arial" w:eastAsia="Arial" w:hAnsi="Arial" w:cs="Arial"/>
          <w:lang w:val="en-US"/>
        </w:rPr>
        <w:t xml:space="preserve">Care of dying adults in the last days of life NICE guideline [Internet]. 2015. Available from: www.nice.org.uk/guidance/ng31 </w:t>
      </w:r>
    </w:p>
    <w:p w14:paraId="6C68B42D" w14:textId="2579BEB2" w:rsidR="5250CD85" w:rsidRDefault="5250CD85" w:rsidP="6968984F">
      <w:pPr>
        <w:spacing w:after="0"/>
        <w:ind w:left="640" w:hanging="640"/>
        <w:jc w:val="both"/>
        <w:rPr>
          <w:rFonts w:ascii="Arial" w:eastAsia="Arial" w:hAnsi="Arial" w:cs="Arial"/>
          <w:lang w:val="en-US"/>
        </w:rPr>
      </w:pPr>
      <w:r w:rsidRPr="6968984F">
        <w:rPr>
          <w:rFonts w:ascii="Arial" w:eastAsia="Arial" w:hAnsi="Arial" w:cs="Arial"/>
          <w:lang w:val="en-US"/>
        </w:rPr>
        <w:t xml:space="preserve"> </w:t>
      </w:r>
    </w:p>
    <w:p w14:paraId="443AB43D" w14:textId="2E16A9D5" w:rsidR="5250CD85" w:rsidRDefault="5250CD85" w:rsidP="6968984F">
      <w:pPr>
        <w:spacing w:after="0"/>
        <w:ind w:left="640" w:hanging="640"/>
        <w:jc w:val="both"/>
        <w:rPr>
          <w:rFonts w:ascii="Arial" w:eastAsia="Arial" w:hAnsi="Arial" w:cs="Arial"/>
          <w:lang w:val="en-US"/>
        </w:rPr>
      </w:pPr>
      <w:proofErr w:type="gramStart"/>
      <w:r w:rsidRPr="6968984F">
        <w:rPr>
          <w:rFonts w:ascii="Arial" w:eastAsia="Arial" w:hAnsi="Arial" w:cs="Arial"/>
          <w:lang w:val="en-US"/>
        </w:rPr>
        <w:t>5.</w:t>
      </w:r>
      <w:r w:rsidRPr="00FF435D">
        <w:rPr>
          <w:lang w:val="en-US"/>
        </w:rPr>
        <w:tab/>
      </w:r>
      <w:r w:rsidRPr="6968984F">
        <w:rPr>
          <w:rFonts w:ascii="Arial" w:eastAsia="Arial" w:hAnsi="Arial" w:cs="Arial"/>
          <w:lang w:val="en-US"/>
        </w:rPr>
        <w:t>End-of-life Care During the Last Days</w:t>
      </w:r>
      <w:proofErr w:type="gramEnd"/>
      <w:r w:rsidRPr="6968984F">
        <w:rPr>
          <w:rFonts w:ascii="Arial" w:eastAsia="Arial" w:hAnsi="Arial" w:cs="Arial"/>
          <w:lang w:val="en-US"/>
        </w:rPr>
        <w:t xml:space="preserve"> and Hours Clinical Best Practice Guidelines [Internet]. 2011. Available from: www.rnao.org/bestpractices </w:t>
      </w:r>
    </w:p>
    <w:p w14:paraId="5A1C55BE" w14:textId="24109C26" w:rsidR="5250CD85" w:rsidRDefault="5250CD85" w:rsidP="6968984F">
      <w:pPr>
        <w:spacing w:after="0"/>
        <w:ind w:left="640" w:hanging="640"/>
        <w:jc w:val="both"/>
        <w:rPr>
          <w:rFonts w:ascii="Arial" w:eastAsia="Arial" w:hAnsi="Arial" w:cs="Arial"/>
          <w:lang w:val="en-US"/>
        </w:rPr>
      </w:pPr>
      <w:r w:rsidRPr="6968984F">
        <w:rPr>
          <w:rFonts w:ascii="Arial" w:eastAsia="Arial" w:hAnsi="Arial" w:cs="Arial"/>
          <w:lang w:val="en-US"/>
        </w:rPr>
        <w:t xml:space="preserve"> </w:t>
      </w:r>
    </w:p>
    <w:p w14:paraId="2ABA6E6C" w14:textId="2038D5EC" w:rsidR="5250CD85" w:rsidRDefault="5250CD85" w:rsidP="6968984F">
      <w:pPr>
        <w:spacing w:after="0"/>
        <w:ind w:left="640" w:hanging="640"/>
        <w:jc w:val="both"/>
        <w:rPr>
          <w:rFonts w:ascii="Arial" w:eastAsia="Arial" w:hAnsi="Arial" w:cs="Arial"/>
          <w:lang w:val="en-US"/>
        </w:rPr>
      </w:pPr>
      <w:r w:rsidRPr="6968984F">
        <w:rPr>
          <w:rFonts w:ascii="Arial" w:eastAsia="Arial" w:hAnsi="Arial" w:cs="Arial"/>
          <w:lang w:val="en-US"/>
        </w:rPr>
        <w:t>6.</w:t>
      </w:r>
      <w:r w:rsidRPr="00FF435D">
        <w:rPr>
          <w:lang w:val="en-US"/>
        </w:rPr>
        <w:tab/>
      </w:r>
      <w:r w:rsidRPr="6968984F">
        <w:rPr>
          <w:rFonts w:ascii="Arial" w:eastAsia="Arial" w:hAnsi="Arial" w:cs="Arial"/>
          <w:lang w:val="en-US"/>
        </w:rPr>
        <w:t xml:space="preserve">Crawford GB, </w:t>
      </w:r>
      <w:proofErr w:type="spellStart"/>
      <w:r w:rsidRPr="6968984F">
        <w:rPr>
          <w:rFonts w:ascii="Arial" w:eastAsia="Arial" w:hAnsi="Arial" w:cs="Arial"/>
          <w:lang w:val="en-US"/>
        </w:rPr>
        <w:t>Dzierżanowski</w:t>
      </w:r>
      <w:proofErr w:type="spellEnd"/>
      <w:r w:rsidRPr="6968984F">
        <w:rPr>
          <w:rFonts w:ascii="Arial" w:eastAsia="Arial" w:hAnsi="Arial" w:cs="Arial"/>
          <w:lang w:val="en-US"/>
        </w:rPr>
        <w:t xml:space="preserve"> T, Hauser K, Larkin P, </w:t>
      </w:r>
      <w:proofErr w:type="spellStart"/>
      <w:r w:rsidRPr="6968984F">
        <w:rPr>
          <w:rFonts w:ascii="Arial" w:eastAsia="Arial" w:hAnsi="Arial" w:cs="Arial"/>
          <w:lang w:val="en-US"/>
        </w:rPr>
        <w:t>Luque</w:t>
      </w:r>
      <w:proofErr w:type="spellEnd"/>
      <w:r w:rsidRPr="6968984F">
        <w:rPr>
          <w:rFonts w:ascii="Arial" w:eastAsia="Arial" w:hAnsi="Arial" w:cs="Arial"/>
          <w:lang w:val="en-US"/>
        </w:rPr>
        <w:t>-Blanco AI, Murphy I, et al. Care of the adult cancer patient at the end of life: ESMO Clinical Practice Guidelines ☆. ESMO Open. 2021 Aug 1</w:t>
      </w:r>
      <w:proofErr w:type="gramStart"/>
      <w:r w:rsidRPr="6968984F">
        <w:rPr>
          <w:rFonts w:ascii="Arial" w:eastAsia="Arial" w:hAnsi="Arial" w:cs="Arial"/>
          <w:lang w:val="en-US"/>
        </w:rPr>
        <w:t>;6</w:t>
      </w:r>
      <w:proofErr w:type="gramEnd"/>
      <w:r w:rsidRPr="6968984F">
        <w:rPr>
          <w:rFonts w:ascii="Arial" w:eastAsia="Arial" w:hAnsi="Arial" w:cs="Arial"/>
          <w:lang w:val="en-US"/>
        </w:rPr>
        <w:t xml:space="preserve">(4).  </w:t>
      </w:r>
    </w:p>
    <w:p w14:paraId="530DB7EA" w14:textId="5FACC84F" w:rsidR="5250CD85" w:rsidRDefault="5250CD85" w:rsidP="6968984F">
      <w:pPr>
        <w:spacing w:after="0"/>
        <w:ind w:left="640" w:hanging="640"/>
        <w:jc w:val="both"/>
        <w:rPr>
          <w:rFonts w:ascii="Arial" w:eastAsia="Arial" w:hAnsi="Arial" w:cs="Arial"/>
          <w:lang w:val="en-US"/>
        </w:rPr>
      </w:pPr>
      <w:r w:rsidRPr="6968984F">
        <w:rPr>
          <w:rFonts w:ascii="Arial" w:eastAsia="Arial" w:hAnsi="Arial" w:cs="Arial"/>
          <w:lang w:val="en-US"/>
        </w:rPr>
        <w:t xml:space="preserve"> </w:t>
      </w:r>
    </w:p>
    <w:p w14:paraId="52AD2D5F" w14:textId="3BBE2869" w:rsidR="5250CD85" w:rsidRDefault="5250CD85" w:rsidP="6968984F">
      <w:pPr>
        <w:spacing w:after="0"/>
        <w:ind w:left="640" w:hanging="640"/>
        <w:jc w:val="both"/>
        <w:rPr>
          <w:rFonts w:ascii="Arial" w:eastAsia="Arial" w:hAnsi="Arial" w:cs="Arial"/>
          <w:lang w:val="en-US"/>
        </w:rPr>
      </w:pPr>
      <w:r w:rsidRPr="6968984F">
        <w:rPr>
          <w:rFonts w:ascii="Arial" w:eastAsia="Arial" w:hAnsi="Arial" w:cs="Arial"/>
          <w:lang w:val="en-US"/>
        </w:rPr>
        <w:t xml:space="preserve">7.        End of life care for adults: service delivery NICE guideline [Internet]. 2019. Available from: www.nice.org.uk/guidance/ng142 </w:t>
      </w:r>
    </w:p>
    <w:p w14:paraId="366AC6B5" w14:textId="0A0DF5D1" w:rsidR="5250CD85" w:rsidRDefault="5250CD85" w:rsidP="6968984F">
      <w:pPr>
        <w:spacing w:after="0"/>
        <w:ind w:left="640" w:hanging="640"/>
        <w:jc w:val="both"/>
        <w:rPr>
          <w:rFonts w:ascii="Arial" w:eastAsia="Arial" w:hAnsi="Arial" w:cs="Arial"/>
          <w:lang w:val="en-US"/>
        </w:rPr>
      </w:pPr>
      <w:r w:rsidRPr="6968984F">
        <w:rPr>
          <w:rFonts w:ascii="Arial" w:eastAsia="Arial" w:hAnsi="Arial" w:cs="Arial"/>
          <w:lang w:val="en-US"/>
        </w:rPr>
        <w:t xml:space="preserve"> </w:t>
      </w:r>
    </w:p>
    <w:p w14:paraId="066E773F" w14:textId="3CF34EE3" w:rsidR="5250CD85" w:rsidRDefault="5250CD85" w:rsidP="6968984F">
      <w:pPr>
        <w:spacing w:after="0"/>
        <w:ind w:left="640" w:hanging="640"/>
        <w:jc w:val="both"/>
        <w:rPr>
          <w:rFonts w:ascii="Arial" w:eastAsia="Arial" w:hAnsi="Arial" w:cs="Arial"/>
          <w:lang w:val="en-US"/>
        </w:rPr>
      </w:pPr>
      <w:r w:rsidRPr="6968984F">
        <w:rPr>
          <w:rFonts w:ascii="Arial" w:eastAsia="Arial" w:hAnsi="Arial" w:cs="Arial"/>
          <w:lang w:val="en-US"/>
        </w:rPr>
        <w:t xml:space="preserve">8.        Thomas K, Watson M, Armstrong Wilson J, GSF team. The Gold Standards </w:t>
      </w:r>
      <w:proofErr w:type="gramStart"/>
      <w:r w:rsidRPr="6968984F">
        <w:rPr>
          <w:rFonts w:ascii="Arial" w:eastAsia="Arial" w:hAnsi="Arial" w:cs="Arial"/>
          <w:lang w:val="en-US"/>
        </w:rPr>
        <w:t>Framework  Proactive</w:t>
      </w:r>
      <w:proofErr w:type="gramEnd"/>
      <w:r w:rsidRPr="6968984F">
        <w:rPr>
          <w:rFonts w:ascii="Arial" w:eastAsia="Arial" w:hAnsi="Arial" w:cs="Arial"/>
          <w:lang w:val="en-US"/>
        </w:rPr>
        <w:t xml:space="preserve"> Identification Guidance (PIG) [Internet]. 2022 Jun. Available from: https://www.nice.org.uk/guidance/ng56BGS-</w:t>
      </w:r>
      <w:r w:rsidRPr="6968984F">
        <w:rPr>
          <w:rFonts w:ascii="Arial" w:eastAsia="Arial" w:hAnsi="Arial" w:cs="Arial"/>
          <w:lang w:val="en-US"/>
        </w:rPr>
        <w:lastRenderedPageBreak/>
        <w:t xml:space="preserve">https://www.bgs.org.uk/topics/multimorbiditywww.goldstandardsframework.org.uk/PIGinfo@gsfcentre.co.uk </w:t>
      </w:r>
    </w:p>
    <w:p w14:paraId="689371F5" w14:textId="06A58FDC" w:rsidR="5250CD85" w:rsidRDefault="5250CD85" w:rsidP="6968984F">
      <w:pPr>
        <w:spacing w:after="0"/>
        <w:ind w:left="640" w:hanging="640"/>
        <w:jc w:val="both"/>
        <w:rPr>
          <w:rFonts w:ascii="Arial" w:eastAsia="Arial" w:hAnsi="Arial" w:cs="Arial"/>
          <w:lang w:val="en-US"/>
        </w:rPr>
      </w:pPr>
      <w:r w:rsidRPr="6968984F">
        <w:rPr>
          <w:rFonts w:ascii="Arial" w:eastAsia="Arial" w:hAnsi="Arial" w:cs="Arial"/>
          <w:lang w:val="en-US"/>
        </w:rPr>
        <w:t xml:space="preserve"> </w:t>
      </w:r>
    </w:p>
    <w:p w14:paraId="4DBDD27F" w14:textId="61B652A0" w:rsidR="5250CD85" w:rsidRDefault="5250CD85" w:rsidP="6968984F">
      <w:pPr>
        <w:spacing w:after="0"/>
        <w:ind w:left="640" w:hanging="640"/>
        <w:jc w:val="both"/>
        <w:rPr>
          <w:rFonts w:ascii="Arial" w:eastAsia="Arial" w:hAnsi="Arial" w:cs="Arial"/>
          <w:lang w:val="en-US"/>
        </w:rPr>
      </w:pPr>
      <w:r w:rsidRPr="6968984F">
        <w:rPr>
          <w:rFonts w:ascii="Arial" w:eastAsia="Arial" w:hAnsi="Arial" w:cs="Arial"/>
          <w:lang w:val="en-US"/>
        </w:rPr>
        <w:t xml:space="preserve">9.         </w:t>
      </w:r>
      <w:proofErr w:type="spellStart"/>
      <w:r w:rsidRPr="6968984F">
        <w:rPr>
          <w:rFonts w:ascii="Arial" w:eastAsia="Arial" w:hAnsi="Arial" w:cs="Arial"/>
          <w:lang w:val="en-US"/>
        </w:rPr>
        <w:t>Bristowe</w:t>
      </w:r>
      <w:proofErr w:type="spellEnd"/>
      <w:r w:rsidRPr="6968984F">
        <w:rPr>
          <w:rFonts w:ascii="Arial" w:eastAsia="Arial" w:hAnsi="Arial" w:cs="Arial"/>
          <w:lang w:val="en-US"/>
        </w:rPr>
        <w:t xml:space="preserve"> K, Carey I, Hopper A, </w:t>
      </w:r>
      <w:proofErr w:type="spellStart"/>
      <w:r w:rsidRPr="6968984F">
        <w:rPr>
          <w:rFonts w:ascii="Arial" w:eastAsia="Arial" w:hAnsi="Arial" w:cs="Arial"/>
          <w:lang w:val="en-US"/>
        </w:rPr>
        <w:t>Shouls</w:t>
      </w:r>
      <w:proofErr w:type="spellEnd"/>
      <w:r w:rsidRPr="6968984F">
        <w:rPr>
          <w:rFonts w:ascii="Arial" w:eastAsia="Arial" w:hAnsi="Arial" w:cs="Arial"/>
          <w:lang w:val="en-US"/>
        </w:rPr>
        <w:t xml:space="preserve"> S, Prentice W, </w:t>
      </w:r>
      <w:proofErr w:type="spellStart"/>
      <w:r w:rsidRPr="6968984F">
        <w:rPr>
          <w:rFonts w:ascii="Arial" w:eastAsia="Arial" w:hAnsi="Arial" w:cs="Arial"/>
          <w:lang w:val="en-US"/>
        </w:rPr>
        <w:t>Caulkin</w:t>
      </w:r>
      <w:proofErr w:type="spellEnd"/>
      <w:r w:rsidRPr="6968984F">
        <w:rPr>
          <w:rFonts w:ascii="Arial" w:eastAsia="Arial" w:hAnsi="Arial" w:cs="Arial"/>
          <w:lang w:val="en-US"/>
        </w:rPr>
        <w:t xml:space="preserve"> R, et al. Patient and </w:t>
      </w:r>
      <w:proofErr w:type="spellStart"/>
      <w:r w:rsidRPr="6968984F">
        <w:rPr>
          <w:rFonts w:ascii="Arial" w:eastAsia="Arial" w:hAnsi="Arial" w:cs="Arial"/>
          <w:lang w:val="en-US"/>
        </w:rPr>
        <w:t>carer</w:t>
      </w:r>
      <w:proofErr w:type="spellEnd"/>
      <w:r w:rsidRPr="6968984F">
        <w:rPr>
          <w:rFonts w:ascii="Arial" w:eastAsia="Arial" w:hAnsi="Arial" w:cs="Arial"/>
          <w:lang w:val="en-US"/>
        </w:rPr>
        <w:t xml:space="preserve"> experiences of clinical uncertainty and deterioration, in the face of limited reversibility: A comparative observational study of the AMBER care bundle. </w:t>
      </w:r>
      <w:proofErr w:type="spellStart"/>
      <w:r w:rsidRPr="6968984F">
        <w:rPr>
          <w:rFonts w:ascii="Arial" w:eastAsia="Arial" w:hAnsi="Arial" w:cs="Arial"/>
          <w:lang w:val="en-US"/>
        </w:rPr>
        <w:t>Palliat</w:t>
      </w:r>
      <w:proofErr w:type="spellEnd"/>
      <w:r w:rsidRPr="6968984F">
        <w:rPr>
          <w:rFonts w:ascii="Arial" w:eastAsia="Arial" w:hAnsi="Arial" w:cs="Arial"/>
          <w:lang w:val="en-US"/>
        </w:rPr>
        <w:t xml:space="preserve"> Med. 2015 Oct 22</w:t>
      </w:r>
      <w:proofErr w:type="gramStart"/>
      <w:r w:rsidRPr="6968984F">
        <w:rPr>
          <w:rFonts w:ascii="Arial" w:eastAsia="Arial" w:hAnsi="Arial" w:cs="Arial"/>
          <w:lang w:val="en-US"/>
        </w:rPr>
        <w:t>;29</w:t>
      </w:r>
      <w:proofErr w:type="gramEnd"/>
      <w:r w:rsidRPr="6968984F">
        <w:rPr>
          <w:rFonts w:ascii="Arial" w:eastAsia="Arial" w:hAnsi="Arial" w:cs="Arial"/>
          <w:lang w:val="en-US"/>
        </w:rPr>
        <w:t xml:space="preserve">(9):797–807. </w:t>
      </w:r>
    </w:p>
    <w:p w14:paraId="2CFC93B7" w14:textId="031DE949" w:rsidR="5250CD85" w:rsidRDefault="5250CD85" w:rsidP="6968984F">
      <w:pPr>
        <w:spacing w:after="0"/>
        <w:ind w:left="640" w:hanging="640"/>
        <w:jc w:val="both"/>
        <w:rPr>
          <w:rFonts w:ascii="Arial" w:eastAsia="Arial" w:hAnsi="Arial" w:cs="Arial"/>
          <w:lang w:val="en-US"/>
        </w:rPr>
      </w:pPr>
      <w:r w:rsidRPr="6968984F">
        <w:rPr>
          <w:rFonts w:ascii="Arial" w:eastAsia="Arial" w:hAnsi="Arial" w:cs="Arial"/>
          <w:lang w:val="en-US"/>
        </w:rPr>
        <w:t xml:space="preserve"> </w:t>
      </w:r>
    </w:p>
    <w:p w14:paraId="06D73856" w14:textId="4FA3AEBE" w:rsidR="5250CD85" w:rsidRDefault="5250CD85" w:rsidP="6968984F">
      <w:pPr>
        <w:spacing w:after="0"/>
        <w:ind w:left="640" w:hanging="640"/>
        <w:jc w:val="both"/>
        <w:rPr>
          <w:rFonts w:ascii="Arial" w:eastAsia="Arial" w:hAnsi="Arial" w:cs="Arial"/>
          <w:lang w:val="en-US"/>
        </w:rPr>
      </w:pPr>
      <w:r w:rsidRPr="6968984F">
        <w:rPr>
          <w:rFonts w:ascii="Arial" w:eastAsia="Arial" w:hAnsi="Arial" w:cs="Arial"/>
          <w:lang w:val="en-US"/>
        </w:rPr>
        <w:t xml:space="preserve">10.      White N, Reid F, Harris A, Harries P, Stone P. A systematic review of predictions of survival in palliative care: How accurate are clinicians and who are the experts? Vol. 11, </w:t>
      </w:r>
      <w:proofErr w:type="spellStart"/>
      <w:r w:rsidRPr="6968984F">
        <w:rPr>
          <w:rFonts w:ascii="Arial" w:eastAsia="Arial" w:hAnsi="Arial" w:cs="Arial"/>
          <w:lang w:val="en-US"/>
        </w:rPr>
        <w:t>PLoS</w:t>
      </w:r>
      <w:proofErr w:type="spellEnd"/>
      <w:r w:rsidRPr="6968984F">
        <w:rPr>
          <w:rFonts w:ascii="Arial" w:eastAsia="Arial" w:hAnsi="Arial" w:cs="Arial"/>
          <w:lang w:val="en-US"/>
        </w:rPr>
        <w:t xml:space="preserve"> ONE. Public Library of Science; 2016. </w:t>
      </w:r>
    </w:p>
    <w:p w14:paraId="068A5D4F" w14:textId="559B0EF2" w:rsidR="5250CD85" w:rsidRDefault="5250CD85" w:rsidP="6968984F">
      <w:pPr>
        <w:spacing w:after="0"/>
        <w:ind w:left="640" w:hanging="640"/>
        <w:jc w:val="both"/>
        <w:rPr>
          <w:rFonts w:ascii="Arial" w:eastAsia="Arial" w:hAnsi="Arial" w:cs="Arial"/>
          <w:lang w:val="en-US"/>
        </w:rPr>
      </w:pPr>
      <w:r w:rsidRPr="6968984F">
        <w:rPr>
          <w:rFonts w:ascii="Arial" w:eastAsia="Arial" w:hAnsi="Arial" w:cs="Arial"/>
          <w:lang w:val="en-US"/>
        </w:rPr>
        <w:t xml:space="preserve"> </w:t>
      </w:r>
    </w:p>
    <w:p w14:paraId="12DFFCBB" w14:textId="14FECA63" w:rsidR="5250CD85" w:rsidRDefault="5250CD85" w:rsidP="6968984F">
      <w:pPr>
        <w:spacing w:after="0"/>
        <w:ind w:left="640" w:hanging="640"/>
        <w:jc w:val="both"/>
        <w:rPr>
          <w:rFonts w:ascii="Arial" w:eastAsia="Arial" w:hAnsi="Arial" w:cs="Arial"/>
          <w:lang w:val="en-US"/>
        </w:rPr>
      </w:pPr>
      <w:r w:rsidRPr="6968984F">
        <w:rPr>
          <w:rFonts w:ascii="Arial" w:eastAsia="Arial" w:hAnsi="Arial" w:cs="Arial"/>
          <w:lang w:val="en-US"/>
        </w:rPr>
        <w:t xml:space="preserve">11.      White N, </w:t>
      </w:r>
      <w:proofErr w:type="spellStart"/>
      <w:r w:rsidRPr="6968984F">
        <w:rPr>
          <w:rFonts w:ascii="Arial" w:eastAsia="Arial" w:hAnsi="Arial" w:cs="Arial"/>
          <w:lang w:val="en-US"/>
        </w:rPr>
        <w:t>Kupeli</w:t>
      </w:r>
      <w:proofErr w:type="spellEnd"/>
      <w:r w:rsidRPr="6968984F">
        <w:rPr>
          <w:rFonts w:ascii="Arial" w:eastAsia="Arial" w:hAnsi="Arial" w:cs="Arial"/>
          <w:lang w:val="en-US"/>
        </w:rPr>
        <w:t xml:space="preserve"> N, </w:t>
      </w:r>
      <w:proofErr w:type="spellStart"/>
      <w:r w:rsidRPr="6968984F">
        <w:rPr>
          <w:rFonts w:ascii="Arial" w:eastAsia="Arial" w:hAnsi="Arial" w:cs="Arial"/>
          <w:lang w:val="en-US"/>
        </w:rPr>
        <w:t>Vickerstaff</w:t>
      </w:r>
      <w:proofErr w:type="spellEnd"/>
      <w:r w:rsidRPr="6968984F">
        <w:rPr>
          <w:rFonts w:ascii="Arial" w:eastAsia="Arial" w:hAnsi="Arial" w:cs="Arial"/>
          <w:lang w:val="en-US"/>
        </w:rPr>
        <w:t xml:space="preserve"> V, Stone P. How accurate is the “Surprise Question” at identifying patients at the end of life? A systematic review and meta-analysis. BMC Med. 2017 Aug 2</w:t>
      </w:r>
      <w:proofErr w:type="gramStart"/>
      <w:r w:rsidRPr="6968984F">
        <w:rPr>
          <w:rFonts w:ascii="Arial" w:eastAsia="Arial" w:hAnsi="Arial" w:cs="Arial"/>
          <w:lang w:val="en-US"/>
        </w:rPr>
        <w:t>;15</w:t>
      </w:r>
      <w:proofErr w:type="gramEnd"/>
      <w:r w:rsidRPr="6968984F">
        <w:rPr>
          <w:rFonts w:ascii="Arial" w:eastAsia="Arial" w:hAnsi="Arial" w:cs="Arial"/>
          <w:lang w:val="en-US"/>
        </w:rPr>
        <w:t xml:space="preserve">(1). </w:t>
      </w:r>
    </w:p>
    <w:p w14:paraId="1C114F2B" w14:textId="2088A154" w:rsidR="5250CD85" w:rsidRDefault="5250CD85" w:rsidP="6968984F">
      <w:pPr>
        <w:spacing w:after="0"/>
        <w:ind w:left="640" w:hanging="640"/>
        <w:jc w:val="both"/>
        <w:rPr>
          <w:rFonts w:ascii="Arial" w:eastAsia="Arial" w:hAnsi="Arial" w:cs="Arial"/>
          <w:lang w:val="en-US"/>
        </w:rPr>
      </w:pPr>
      <w:r w:rsidRPr="6968984F">
        <w:rPr>
          <w:rFonts w:ascii="Arial" w:eastAsia="Arial" w:hAnsi="Arial" w:cs="Arial"/>
          <w:lang w:val="en-US"/>
        </w:rPr>
        <w:t xml:space="preserve"> </w:t>
      </w:r>
    </w:p>
    <w:p w14:paraId="31BAD36C" w14:textId="23F4889E" w:rsidR="5250CD85" w:rsidRDefault="5250CD85" w:rsidP="6968984F">
      <w:pPr>
        <w:spacing w:after="0"/>
        <w:ind w:left="640" w:hanging="640"/>
        <w:jc w:val="both"/>
        <w:rPr>
          <w:rFonts w:ascii="Arial" w:eastAsia="Arial" w:hAnsi="Arial" w:cs="Arial"/>
          <w:lang w:val="en-US"/>
        </w:rPr>
      </w:pPr>
      <w:r w:rsidRPr="6968984F">
        <w:rPr>
          <w:rFonts w:ascii="Arial" w:eastAsia="Arial" w:hAnsi="Arial" w:cs="Arial"/>
          <w:lang w:val="en-US"/>
        </w:rPr>
        <w:t xml:space="preserve">12.      Kumar D, </w:t>
      </w:r>
      <w:proofErr w:type="spellStart"/>
      <w:r w:rsidRPr="6968984F">
        <w:rPr>
          <w:rFonts w:ascii="Arial" w:eastAsia="Arial" w:hAnsi="Arial" w:cs="Arial"/>
          <w:lang w:val="en-US"/>
        </w:rPr>
        <w:t>Neeman</w:t>
      </w:r>
      <w:proofErr w:type="spellEnd"/>
      <w:r w:rsidRPr="6968984F">
        <w:rPr>
          <w:rFonts w:ascii="Arial" w:eastAsia="Arial" w:hAnsi="Arial" w:cs="Arial"/>
          <w:lang w:val="en-US"/>
        </w:rPr>
        <w:t xml:space="preserve"> E, Zhu S, Sun H, </w:t>
      </w:r>
      <w:proofErr w:type="spellStart"/>
      <w:r w:rsidRPr="6968984F">
        <w:rPr>
          <w:rFonts w:ascii="Arial" w:eastAsia="Arial" w:hAnsi="Arial" w:cs="Arial"/>
          <w:lang w:val="en-US"/>
        </w:rPr>
        <w:t>Kotak</w:t>
      </w:r>
      <w:proofErr w:type="spellEnd"/>
      <w:r w:rsidRPr="6968984F">
        <w:rPr>
          <w:rFonts w:ascii="Arial" w:eastAsia="Arial" w:hAnsi="Arial" w:cs="Arial"/>
          <w:lang w:val="en-US"/>
        </w:rPr>
        <w:t xml:space="preserve"> D, Liu R. Revisiting the Association of ECOG Performance Status With Clinical Outcomes in Diverse Patients With Cancer. JNCCN Journal of the National Comprehensive Cancer Network. 2024 Jun 1</w:t>
      </w:r>
      <w:proofErr w:type="gramStart"/>
      <w:r w:rsidRPr="6968984F">
        <w:rPr>
          <w:rFonts w:ascii="Arial" w:eastAsia="Arial" w:hAnsi="Arial" w:cs="Arial"/>
          <w:lang w:val="en-US"/>
        </w:rPr>
        <w:t>;22</w:t>
      </w:r>
      <w:proofErr w:type="gramEnd"/>
      <w:r w:rsidRPr="6968984F">
        <w:rPr>
          <w:rFonts w:ascii="Arial" w:eastAsia="Arial" w:hAnsi="Arial" w:cs="Arial"/>
          <w:lang w:val="en-US"/>
        </w:rPr>
        <w:t xml:space="preserve">(2d). </w:t>
      </w:r>
    </w:p>
    <w:p w14:paraId="4D330F08" w14:textId="1804CF5A" w:rsidR="5250CD85" w:rsidRDefault="5250CD85" w:rsidP="6968984F">
      <w:pPr>
        <w:spacing w:after="0"/>
        <w:ind w:left="640" w:hanging="640"/>
        <w:jc w:val="both"/>
        <w:rPr>
          <w:rFonts w:ascii="Arial" w:eastAsia="Arial" w:hAnsi="Arial" w:cs="Arial"/>
          <w:lang w:val="en-US"/>
        </w:rPr>
      </w:pPr>
      <w:r w:rsidRPr="6968984F">
        <w:rPr>
          <w:rFonts w:ascii="Arial" w:eastAsia="Arial" w:hAnsi="Arial" w:cs="Arial"/>
          <w:lang w:val="en-US"/>
        </w:rPr>
        <w:t xml:space="preserve"> </w:t>
      </w:r>
    </w:p>
    <w:p w14:paraId="5A917947" w14:textId="6C4CCFB0" w:rsidR="5250CD85" w:rsidRDefault="5250CD85" w:rsidP="6968984F">
      <w:pPr>
        <w:spacing w:after="0"/>
        <w:ind w:left="640" w:hanging="640"/>
        <w:jc w:val="both"/>
        <w:rPr>
          <w:rFonts w:ascii="Arial" w:eastAsia="Arial" w:hAnsi="Arial" w:cs="Arial"/>
          <w:lang w:val="en-US"/>
        </w:rPr>
      </w:pPr>
      <w:r w:rsidRPr="6968984F">
        <w:rPr>
          <w:rFonts w:ascii="Arial" w:eastAsia="Arial" w:hAnsi="Arial" w:cs="Arial"/>
          <w:lang w:val="en-US"/>
        </w:rPr>
        <w:t xml:space="preserve">13.      Freeman M, Ennis M, </w:t>
      </w:r>
      <w:proofErr w:type="spellStart"/>
      <w:r w:rsidRPr="6968984F">
        <w:rPr>
          <w:rFonts w:ascii="Arial" w:eastAsia="Arial" w:hAnsi="Arial" w:cs="Arial"/>
          <w:lang w:val="en-US"/>
        </w:rPr>
        <w:t>Jerzak</w:t>
      </w:r>
      <w:proofErr w:type="spellEnd"/>
      <w:r w:rsidRPr="6968984F">
        <w:rPr>
          <w:rFonts w:ascii="Arial" w:eastAsia="Arial" w:hAnsi="Arial" w:cs="Arial"/>
          <w:lang w:val="en-US"/>
        </w:rPr>
        <w:t xml:space="preserve"> KJ. </w:t>
      </w:r>
      <w:proofErr w:type="spellStart"/>
      <w:r w:rsidRPr="6968984F">
        <w:rPr>
          <w:rFonts w:ascii="Arial" w:eastAsia="Arial" w:hAnsi="Arial" w:cs="Arial"/>
          <w:lang w:val="en-US"/>
        </w:rPr>
        <w:t>Karnofsky</w:t>
      </w:r>
      <w:proofErr w:type="spellEnd"/>
      <w:r w:rsidRPr="6968984F">
        <w:rPr>
          <w:rFonts w:ascii="Arial" w:eastAsia="Arial" w:hAnsi="Arial" w:cs="Arial"/>
          <w:lang w:val="en-US"/>
        </w:rPr>
        <w:t xml:space="preserve"> Performance Status (KPS) ≤60 Is Strongly Associated </w:t>
      </w:r>
      <w:proofErr w:type="gramStart"/>
      <w:r w:rsidRPr="6968984F">
        <w:rPr>
          <w:rFonts w:ascii="Arial" w:eastAsia="Arial" w:hAnsi="Arial" w:cs="Arial"/>
          <w:lang w:val="en-US"/>
        </w:rPr>
        <w:t>With Shorter Brain-Specific Progression-Free Survival Among Patients With Metastatic Breast Cancer With</w:t>
      </w:r>
      <w:proofErr w:type="gramEnd"/>
      <w:r w:rsidRPr="6968984F">
        <w:rPr>
          <w:rFonts w:ascii="Arial" w:eastAsia="Arial" w:hAnsi="Arial" w:cs="Arial"/>
          <w:lang w:val="en-US"/>
        </w:rPr>
        <w:t xml:space="preserve"> Brain Metastases. Front </w:t>
      </w:r>
      <w:proofErr w:type="spellStart"/>
      <w:r w:rsidRPr="6968984F">
        <w:rPr>
          <w:rFonts w:ascii="Arial" w:eastAsia="Arial" w:hAnsi="Arial" w:cs="Arial"/>
          <w:lang w:val="en-US"/>
        </w:rPr>
        <w:t>Oncol</w:t>
      </w:r>
      <w:proofErr w:type="spellEnd"/>
      <w:r w:rsidRPr="6968984F">
        <w:rPr>
          <w:rFonts w:ascii="Arial" w:eastAsia="Arial" w:hAnsi="Arial" w:cs="Arial"/>
          <w:lang w:val="en-US"/>
        </w:rPr>
        <w:t>. 2022 Jul 27</w:t>
      </w:r>
      <w:proofErr w:type="gramStart"/>
      <w:r w:rsidRPr="6968984F">
        <w:rPr>
          <w:rFonts w:ascii="Arial" w:eastAsia="Arial" w:hAnsi="Arial" w:cs="Arial"/>
          <w:lang w:val="en-US"/>
        </w:rPr>
        <w:t>;12</w:t>
      </w:r>
      <w:proofErr w:type="gramEnd"/>
      <w:r w:rsidRPr="6968984F">
        <w:rPr>
          <w:rFonts w:ascii="Arial" w:eastAsia="Arial" w:hAnsi="Arial" w:cs="Arial"/>
          <w:lang w:val="en-US"/>
        </w:rPr>
        <w:t xml:space="preserve">. </w:t>
      </w:r>
    </w:p>
    <w:p w14:paraId="1C4E6D1A" w14:textId="4A3CEA4E" w:rsidR="5250CD85" w:rsidRDefault="5250CD85" w:rsidP="6968984F">
      <w:pPr>
        <w:spacing w:after="0"/>
        <w:ind w:left="640" w:hanging="640"/>
        <w:jc w:val="both"/>
        <w:rPr>
          <w:rFonts w:ascii="Arial" w:eastAsia="Arial" w:hAnsi="Arial" w:cs="Arial"/>
          <w:lang w:val="en-US"/>
        </w:rPr>
      </w:pPr>
      <w:r w:rsidRPr="6968984F">
        <w:rPr>
          <w:rFonts w:ascii="Arial" w:eastAsia="Arial" w:hAnsi="Arial" w:cs="Arial"/>
          <w:lang w:val="en-US"/>
        </w:rPr>
        <w:t xml:space="preserve"> </w:t>
      </w:r>
    </w:p>
    <w:p w14:paraId="3BEAE14A" w14:textId="2A8949FA" w:rsidR="5250CD85" w:rsidRDefault="5250CD85" w:rsidP="6968984F">
      <w:pPr>
        <w:spacing w:after="0"/>
        <w:ind w:left="640" w:hanging="640"/>
        <w:jc w:val="both"/>
        <w:rPr>
          <w:rFonts w:ascii="Arial" w:eastAsia="Arial" w:hAnsi="Arial" w:cs="Arial"/>
          <w:lang w:val="en-US"/>
        </w:rPr>
      </w:pPr>
      <w:r w:rsidRPr="6968984F">
        <w:rPr>
          <w:rFonts w:ascii="Arial" w:eastAsia="Arial" w:hAnsi="Arial" w:cs="Arial"/>
          <w:lang w:val="en-US"/>
        </w:rPr>
        <w:t xml:space="preserve">14.      Dolan RD, </w:t>
      </w:r>
      <w:proofErr w:type="spellStart"/>
      <w:r w:rsidRPr="6968984F">
        <w:rPr>
          <w:rFonts w:ascii="Arial" w:eastAsia="Arial" w:hAnsi="Arial" w:cs="Arial"/>
          <w:lang w:val="en-US"/>
        </w:rPr>
        <w:t>McSorley</w:t>
      </w:r>
      <w:proofErr w:type="spellEnd"/>
      <w:r w:rsidRPr="6968984F">
        <w:rPr>
          <w:rFonts w:ascii="Arial" w:eastAsia="Arial" w:hAnsi="Arial" w:cs="Arial"/>
          <w:lang w:val="en-US"/>
        </w:rPr>
        <w:t xml:space="preserve"> ST, </w:t>
      </w:r>
      <w:proofErr w:type="spellStart"/>
      <w:r w:rsidRPr="6968984F">
        <w:rPr>
          <w:rFonts w:ascii="Arial" w:eastAsia="Arial" w:hAnsi="Arial" w:cs="Arial"/>
          <w:lang w:val="en-US"/>
        </w:rPr>
        <w:t>Horgan</w:t>
      </w:r>
      <w:proofErr w:type="spellEnd"/>
      <w:r w:rsidRPr="6968984F">
        <w:rPr>
          <w:rFonts w:ascii="Arial" w:eastAsia="Arial" w:hAnsi="Arial" w:cs="Arial"/>
          <w:lang w:val="en-US"/>
        </w:rPr>
        <w:t xml:space="preserve"> PG, Laird B, McMillan DC. The role of the systemic inflammatory response in predicting outcomes in patients with advanced inoperable cancer: Systematic review and meta-analysis. Vol. 116, Critical Reviews in Oncology/Hematology. Elsevier Ireland Ltd; 2017. p. 134–46. </w:t>
      </w:r>
    </w:p>
    <w:p w14:paraId="482A160C" w14:textId="004BF8A7" w:rsidR="5250CD85" w:rsidRDefault="5250CD85" w:rsidP="6968984F">
      <w:pPr>
        <w:spacing w:after="0"/>
        <w:ind w:left="640" w:hanging="640"/>
        <w:jc w:val="both"/>
        <w:rPr>
          <w:rFonts w:ascii="Arial" w:eastAsia="Arial" w:hAnsi="Arial" w:cs="Arial"/>
          <w:lang w:val="en-US"/>
        </w:rPr>
      </w:pPr>
      <w:r w:rsidRPr="6968984F">
        <w:rPr>
          <w:rFonts w:ascii="Arial" w:eastAsia="Arial" w:hAnsi="Arial" w:cs="Arial"/>
          <w:lang w:val="en-US"/>
        </w:rPr>
        <w:t xml:space="preserve"> </w:t>
      </w:r>
    </w:p>
    <w:p w14:paraId="26620D80" w14:textId="62AFFD08" w:rsidR="5250CD85" w:rsidRDefault="5250CD85" w:rsidP="6968984F">
      <w:pPr>
        <w:spacing w:after="0"/>
        <w:ind w:left="640" w:hanging="640"/>
        <w:jc w:val="both"/>
        <w:rPr>
          <w:rFonts w:ascii="Arial" w:eastAsia="Arial" w:hAnsi="Arial" w:cs="Arial"/>
          <w:lang w:val="en-US"/>
        </w:rPr>
      </w:pPr>
      <w:r w:rsidRPr="00FF435D">
        <w:rPr>
          <w:rFonts w:ascii="Arial" w:eastAsia="Arial" w:hAnsi="Arial" w:cs="Arial"/>
        </w:rPr>
        <w:t xml:space="preserve">15.      </w:t>
      </w:r>
      <w:proofErr w:type="spellStart"/>
      <w:r w:rsidRPr="00FF435D">
        <w:rPr>
          <w:rFonts w:ascii="Arial" w:eastAsia="Arial" w:hAnsi="Arial" w:cs="Arial"/>
        </w:rPr>
        <w:t>Maltoni</w:t>
      </w:r>
      <w:proofErr w:type="spellEnd"/>
      <w:r w:rsidRPr="00FF435D">
        <w:rPr>
          <w:rFonts w:ascii="Arial" w:eastAsia="Arial" w:hAnsi="Arial" w:cs="Arial"/>
        </w:rPr>
        <w:t xml:space="preserve"> M, </w:t>
      </w:r>
      <w:proofErr w:type="spellStart"/>
      <w:r w:rsidRPr="00FF435D">
        <w:rPr>
          <w:rFonts w:ascii="Arial" w:eastAsia="Arial" w:hAnsi="Arial" w:cs="Arial"/>
        </w:rPr>
        <w:t>Nanni</w:t>
      </w:r>
      <w:proofErr w:type="spellEnd"/>
      <w:r w:rsidRPr="00FF435D">
        <w:rPr>
          <w:rFonts w:ascii="Arial" w:eastAsia="Arial" w:hAnsi="Arial" w:cs="Arial"/>
        </w:rPr>
        <w:t xml:space="preserve"> O, </w:t>
      </w:r>
      <w:proofErr w:type="spellStart"/>
      <w:r w:rsidRPr="00FF435D">
        <w:rPr>
          <w:rFonts w:ascii="Arial" w:eastAsia="Arial" w:hAnsi="Arial" w:cs="Arial"/>
        </w:rPr>
        <w:t>Pirovano</w:t>
      </w:r>
      <w:proofErr w:type="spellEnd"/>
      <w:r w:rsidRPr="00FF435D">
        <w:rPr>
          <w:rFonts w:ascii="Arial" w:eastAsia="Arial" w:hAnsi="Arial" w:cs="Arial"/>
        </w:rPr>
        <w:t xml:space="preserve"> M, </w:t>
      </w:r>
      <w:proofErr w:type="spellStart"/>
      <w:r w:rsidRPr="00FF435D">
        <w:rPr>
          <w:rFonts w:ascii="Arial" w:eastAsia="Arial" w:hAnsi="Arial" w:cs="Arial"/>
        </w:rPr>
        <w:t>Scarpi</w:t>
      </w:r>
      <w:proofErr w:type="spellEnd"/>
      <w:r w:rsidRPr="00FF435D">
        <w:rPr>
          <w:rFonts w:ascii="Arial" w:eastAsia="Arial" w:hAnsi="Arial" w:cs="Arial"/>
        </w:rPr>
        <w:t xml:space="preserve"> E, </w:t>
      </w:r>
      <w:proofErr w:type="spellStart"/>
      <w:r w:rsidRPr="00FF435D">
        <w:rPr>
          <w:rFonts w:ascii="Arial" w:eastAsia="Arial" w:hAnsi="Arial" w:cs="Arial"/>
        </w:rPr>
        <w:t>Indelli</w:t>
      </w:r>
      <w:proofErr w:type="spellEnd"/>
      <w:r w:rsidRPr="00FF435D">
        <w:rPr>
          <w:rFonts w:ascii="Arial" w:eastAsia="Arial" w:hAnsi="Arial" w:cs="Arial"/>
        </w:rPr>
        <w:t xml:space="preserve"> M, Martini C, et al. </w:t>
      </w:r>
      <w:r w:rsidRPr="6968984F">
        <w:rPr>
          <w:rFonts w:ascii="Arial" w:eastAsia="Arial" w:hAnsi="Arial" w:cs="Arial"/>
          <w:lang w:val="en-US"/>
        </w:rPr>
        <w:t xml:space="preserve">Successful Validation of the Palliative Prognostic Score in Terminally Ill Cancer Patients. Vol. 17, Journal of Pain and Symptom Management. 1999. </w:t>
      </w:r>
    </w:p>
    <w:p w14:paraId="21FC090B" w14:textId="5BCD38BD" w:rsidR="5250CD85" w:rsidRDefault="5250CD85" w:rsidP="6968984F">
      <w:pPr>
        <w:spacing w:after="0"/>
        <w:ind w:left="640" w:hanging="640"/>
        <w:jc w:val="both"/>
        <w:rPr>
          <w:rFonts w:ascii="Arial" w:eastAsia="Arial" w:hAnsi="Arial" w:cs="Arial"/>
          <w:lang w:val="en-US"/>
        </w:rPr>
      </w:pPr>
      <w:r w:rsidRPr="6968984F">
        <w:rPr>
          <w:rFonts w:ascii="Arial" w:eastAsia="Arial" w:hAnsi="Arial" w:cs="Arial"/>
          <w:lang w:val="en-US"/>
        </w:rPr>
        <w:t xml:space="preserve"> </w:t>
      </w:r>
    </w:p>
    <w:p w14:paraId="729D039F" w14:textId="27EA69FB" w:rsidR="5250CD85" w:rsidRDefault="5250CD85" w:rsidP="6968984F">
      <w:pPr>
        <w:spacing w:after="0"/>
        <w:ind w:left="640" w:hanging="640"/>
        <w:jc w:val="both"/>
        <w:rPr>
          <w:rFonts w:ascii="Arial" w:eastAsia="Arial" w:hAnsi="Arial" w:cs="Arial"/>
          <w:lang w:val="en-US"/>
        </w:rPr>
      </w:pPr>
      <w:r w:rsidRPr="6968984F">
        <w:rPr>
          <w:rFonts w:ascii="Arial" w:eastAsia="Arial" w:hAnsi="Arial" w:cs="Arial"/>
          <w:lang w:val="en-US"/>
        </w:rPr>
        <w:t xml:space="preserve">16.      Stone P, White N, </w:t>
      </w:r>
      <w:proofErr w:type="spellStart"/>
      <w:r w:rsidRPr="6968984F">
        <w:rPr>
          <w:rFonts w:ascii="Arial" w:eastAsia="Arial" w:hAnsi="Arial" w:cs="Arial"/>
          <w:lang w:val="en-US"/>
        </w:rPr>
        <w:t>Oostendorp</w:t>
      </w:r>
      <w:proofErr w:type="spellEnd"/>
      <w:r w:rsidRPr="6968984F">
        <w:rPr>
          <w:rFonts w:ascii="Arial" w:eastAsia="Arial" w:hAnsi="Arial" w:cs="Arial"/>
          <w:lang w:val="en-US"/>
        </w:rPr>
        <w:t xml:space="preserve"> LJM, Llewellyn H, </w:t>
      </w:r>
      <w:proofErr w:type="spellStart"/>
      <w:r w:rsidRPr="6968984F">
        <w:rPr>
          <w:rFonts w:ascii="Arial" w:eastAsia="Arial" w:hAnsi="Arial" w:cs="Arial"/>
          <w:lang w:val="en-US"/>
        </w:rPr>
        <w:t>Vickerstaff</w:t>
      </w:r>
      <w:proofErr w:type="spellEnd"/>
      <w:r w:rsidRPr="6968984F">
        <w:rPr>
          <w:rFonts w:ascii="Arial" w:eastAsia="Arial" w:hAnsi="Arial" w:cs="Arial"/>
          <w:lang w:val="en-US"/>
        </w:rPr>
        <w:t xml:space="preserve"> V. Comparing the performance of the palliative prognostic (</w:t>
      </w:r>
      <w:proofErr w:type="spellStart"/>
      <w:r w:rsidRPr="6968984F">
        <w:rPr>
          <w:rFonts w:ascii="Arial" w:eastAsia="Arial" w:hAnsi="Arial" w:cs="Arial"/>
          <w:lang w:val="en-US"/>
        </w:rPr>
        <w:t>PaP</w:t>
      </w:r>
      <w:proofErr w:type="spellEnd"/>
      <w:r w:rsidRPr="6968984F">
        <w:rPr>
          <w:rFonts w:ascii="Arial" w:eastAsia="Arial" w:hAnsi="Arial" w:cs="Arial"/>
          <w:lang w:val="en-US"/>
        </w:rPr>
        <w:t xml:space="preserve">) score with clinical predictions of survival: A systematic review. Vol. 158, European Journal of Cancer. Elsevier Ltd; 2021. p. 27–35. </w:t>
      </w:r>
    </w:p>
    <w:p w14:paraId="2CF64B41" w14:textId="555C9A5C" w:rsidR="5250CD85" w:rsidRDefault="5250CD85" w:rsidP="6968984F">
      <w:pPr>
        <w:spacing w:after="0"/>
        <w:ind w:left="640" w:hanging="640"/>
        <w:jc w:val="both"/>
        <w:rPr>
          <w:rFonts w:ascii="Arial" w:eastAsia="Arial" w:hAnsi="Arial" w:cs="Arial"/>
          <w:lang w:val="en-US"/>
        </w:rPr>
      </w:pPr>
      <w:r w:rsidRPr="6968984F">
        <w:rPr>
          <w:rFonts w:ascii="Arial" w:eastAsia="Arial" w:hAnsi="Arial" w:cs="Arial"/>
          <w:lang w:val="en-US"/>
        </w:rPr>
        <w:t xml:space="preserve"> </w:t>
      </w:r>
    </w:p>
    <w:p w14:paraId="0FD87334" w14:textId="57AC8FF0" w:rsidR="5250CD85" w:rsidRDefault="5250CD85" w:rsidP="6968984F">
      <w:pPr>
        <w:spacing w:after="0"/>
        <w:ind w:left="640" w:hanging="640"/>
        <w:jc w:val="both"/>
        <w:rPr>
          <w:rFonts w:ascii="Arial" w:eastAsia="Arial" w:hAnsi="Arial" w:cs="Arial"/>
          <w:lang w:val="en-US"/>
        </w:rPr>
      </w:pPr>
      <w:r w:rsidRPr="6968984F">
        <w:rPr>
          <w:rFonts w:ascii="Arial" w:eastAsia="Arial" w:hAnsi="Arial" w:cs="Arial"/>
          <w:lang w:val="en-US"/>
        </w:rPr>
        <w:lastRenderedPageBreak/>
        <w:t xml:space="preserve">17.      </w:t>
      </w:r>
      <w:proofErr w:type="spellStart"/>
      <w:r w:rsidRPr="00FF435D">
        <w:rPr>
          <w:rFonts w:ascii="Arial" w:eastAsia="Arial" w:hAnsi="Arial" w:cs="Arial"/>
        </w:rPr>
        <w:t>Yoon</w:t>
      </w:r>
      <w:proofErr w:type="spellEnd"/>
      <w:r w:rsidRPr="00FF435D">
        <w:rPr>
          <w:rFonts w:ascii="Arial" w:eastAsia="Arial" w:hAnsi="Arial" w:cs="Arial"/>
        </w:rPr>
        <w:t xml:space="preserve"> SJ, </w:t>
      </w:r>
      <w:proofErr w:type="spellStart"/>
      <w:r w:rsidRPr="00FF435D">
        <w:rPr>
          <w:rFonts w:ascii="Arial" w:eastAsia="Arial" w:hAnsi="Arial" w:cs="Arial"/>
        </w:rPr>
        <w:t>Suh</w:t>
      </w:r>
      <w:proofErr w:type="spellEnd"/>
      <w:r w:rsidRPr="00FF435D">
        <w:rPr>
          <w:rFonts w:ascii="Arial" w:eastAsia="Arial" w:hAnsi="Arial" w:cs="Arial"/>
        </w:rPr>
        <w:t xml:space="preserve"> SY, Hui D, </w:t>
      </w:r>
      <w:proofErr w:type="spellStart"/>
      <w:r w:rsidRPr="00FF435D">
        <w:rPr>
          <w:rFonts w:ascii="Arial" w:eastAsia="Arial" w:hAnsi="Arial" w:cs="Arial"/>
        </w:rPr>
        <w:t>Choi</w:t>
      </w:r>
      <w:proofErr w:type="spellEnd"/>
      <w:r w:rsidRPr="00FF435D">
        <w:rPr>
          <w:rFonts w:ascii="Arial" w:eastAsia="Arial" w:hAnsi="Arial" w:cs="Arial"/>
        </w:rPr>
        <w:t xml:space="preserve"> SE, </w:t>
      </w:r>
      <w:proofErr w:type="spellStart"/>
      <w:r w:rsidRPr="00FF435D">
        <w:rPr>
          <w:rFonts w:ascii="Arial" w:eastAsia="Arial" w:hAnsi="Arial" w:cs="Arial"/>
        </w:rPr>
        <w:t>Tatara</w:t>
      </w:r>
      <w:proofErr w:type="spellEnd"/>
      <w:r w:rsidRPr="00FF435D">
        <w:rPr>
          <w:rFonts w:ascii="Arial" w:eastAsia="Arial" w:hAnsi="Arial" w:cs="Arial"/>
        </w:rPr>
        <w:t xml:space="preserve"> R, </w:t>
      </w:r>
      <w:proofErr w:type="spellStart"/>
      <w:r w:rsidRPr="00FF435D">
        <w:rPr>
          <w:rFonts w:ascii="Arial" w:eastAsia="Arial" w:hAnsi="Arial" w:cs="Arial"/>
        </w:rPr>
        <w:t>Watanabe</w:t>
      </w:r>
      <w:proofErr w:type="spellEnd"/>
      <w:r w:rsidRPr="00FF435D">
        <w:rPr>
          <w:rFonts w:ascii="Arial" w:eastAsia="Arial" w:hAnsi="Arial" w:cs="Arial"/>
        </w:rPr>
        <w:t xml:space="preserve"> H, et al. </w:t>
      </w:r>
      <w:r w:rsidRPr="6968984F">
        <w:rPr>
          <w:rFonts w:ascii="Arial" w:eastAsia="Arial" w:hAnsi="Arial" w:cs="Arial"/>
          <w:lang w:val="en-US"/>
        </w:rPr>
        <w:t>Accuracy of the Palliative Prognostic Score With or Without Clinicians’ Prediction of Survival in Patients With Far Advanced Cancer. J Pain Symptom Manage. 2021 Jun 1</w:t>
      </w:r>
      <w:proofErr w:type="gramStart"/>
      <w:r w:rsidRPr="6968984F">
        <w:rPr>
          <w:rFonts w:ascii="Arial" w:eastAsia="Arial" w:hAnsi="Arial" w:cs="Arial"/>
          <w:lang w:val="en-US"/>
        </w:rPr>
        <w:t>;61</w:t>
      </w:r>
      <w:proofErr w:type="gramEnd"/>
      <w:r w:rsidRPr="6968984F">
        <w:rPr>
          <w:rFonts w:ascii="Arial" w:eastAsia="Arial" w:hAnsi="Arial" w:cs="Arial"/>
          <w:lang w:val="en-US"/>
        </w:rPr>
        <w:t xml:space="preserve">(6):1180–7. </w:t>
      </w:r>
    </w:p>
    <w:p w14:paraId="5141C6C7" w14:textId="342F97C4" w:rsidR="5250CD85" w:rsidRDefault="5250CD85" w:rsidP="6968984F">
      <w:pPr>
        <w:spacing w:after="0"/>
        <w:ind w:left="640" w:hanging="640"/>
        <w:jc w:val="both"/>
        <w:rPr>
          <w:rFonts w:ascii="Arial" w:eastAsia="Arial" w:hAnsi="Arial" w:cs="Arial"/>
          <w:lang w:val="en-US"/>
        </w:rPr>
      </w:pPr>
      <w:r w:rsidRPr="6968984F">
        <w:rPr>
          <w:rFonts w:ascii="Arial" w:eastAsia="Arial" w:hAnsi="Arial" w:cs="Arial"/>
          <w:lang w:val="en-US"/>
        </w:rPr>
        <w:t xml:space="preserve"> </w:t>
      </w:r>
    </w:p>
    <w:p w14:paraId="7D3FD4E2" w14:textId="3E426D24" w:rsidR="37FB81F5" w:rsidRDefault="10F39A51" w:rsidP="502784EB">
      <w:pPr>
        <w:spacing w:after="0"/>
        <w:ind w:left="640" w:hanging="640"/>
        <w:jc w:val="both"/>
        <w:rPr>
          <w:rFonts w:ascii="Arial" w:eastAsia="Arial" w:hAnsi="Arial" w:cs="Arial"/>
          <w:lang w:val="en-US"/>
        </w:rPr>
      </w:pPr>
      <w:r w:rsidRPr="502784EB">
        <w:rPr>
          <w:rFonts w:ascii="Arial" w:eastAsia="Arial" w:hAnsi="Arial" w:cs="Arial"/>
          <w:lang w:val="en-US"/>
        </w:rPr>
        <w:t xml:space="preserve">18.      Stone P, Buckle P, Dolan R, </w:t>
      </w:r>
      <w:proofErr w:type="spellStart"/>
      <w:r w:rsidRPr="502784EB">
        <w:rPr>
          <w:rFonts w:ascii="Arial" w:eastAsia="Arial" w:hAnsi="Arial" w:cs="Arial"/>
          <w:lang w:val="en-US"/>
        </w:rPr>
        <w:t>Feliu</w:t>
      </w:r>
      <w:proofErr w:type="spellEnd"/>
      <w:r w:rsidRPr="502784EB">
        <w:rPr>
          <w:rFonts w:ascii="Arial" w:eastAsia="Arial" w:hAnsi="Arial" w:cs="Arial"/>
          <w:lang w:val="en-US"/>
        </w:rPr>
        <w:t xml:space="preserve"> J, </w:t>
      </w:r>
      <w:proofErr w:type="spellStart"/>
      <w:r w:rsidRPr="502784EB">
        <w:rPr>
          <w:rFonts w:ascii="Arial" w:eastAsia="Arial" w:hAnsi="Arial" w:cs="Arial"/>
          <w:lang w:val="en-US"/>
        </w:rPr>
        <w:t>Hui</w:t>
      </w:r>
      <w:proofErr w:type="spellEnd"/>
      <w:r w:rsidRPr="502784EB">
        <w:rPr>
          <w:rFonts w:ascii="Arial" w:eastAsia="Arial" w:hAnsi="Arial" w:cs="Arial"/>
          <w:lang w:val="en-US"/>
        </w:rPr>
        <w:t xml:space="preserve"> D, Laird BJA, et al. Prognostic evaluation in patients with advanced cancer in the last months of life: ESMO Clinical Practice Guideline ☆. ESMO Open. 2023 Apr 1</w:t>
      </w:r>
      <w:proofErr w:type="gramStart"/>
      <w:r w:rsidRPr="502784EB">
        <w:rPr>
          <w:rFonts w:ascii="Arial" w:eastAsia="Arial" w:hAnsi="Arial" w:cs="Arial"/>
          <w:lang w:val="en-US"/>
        </w:rPr>
        <w:t>;8</w:t>
      </w:r>
      <w:proofErr w:type="gramEnd"/>
      <w:r w:rsidRPr="502784EB">
        <w:rPr>
          <w:rFonts w:ascii="Arial" w:eastAsia="Arial" w:hAnsi="Arial" w:cs="Arial"/>
          <w:lang w:val="en-US"/>
        </w:rPr>
        <w:t>(2).</w:t>
      </w:r>
    </w:p>
    <w:p w14:paraId="317E4F3B" w14:textId="266E83CD" w:rsidR="37FB81F5" w:rsidRPr="00FF435D" w:rsidRDefault="37FB81F5" w:rsidP="37FB81F5">
      <w:pPr>
        <w:rPr>
          <w:rFonts w:ascii="Arial" w:eastAsia="Arial" w:hAnsi="Arial" w:cs="Arial"/>
          <w:color w:val="000000" w:themeColor="text1"/>
          <w:lang w:val="en-US"/>
        </w:rPr>
      </w:pPr>
    </w:p>
    <w:p w14:paraId="01BE278D" w14:textId="0BFBE607" w:rsidR="6AB5C4AC" w:rsidRPr="00FF435D" w:rsidRDefault="7E806A5C" w:rsidP="502784EB">
      <w:pPr>
        <w:spacing w:before="240" w:after="240"/>
        <w:rPr>
          <w:rFonts w:ascii="Arial" w:eastAsia="Arial" w:hAnsi="Arial" w:cs="Arial"/>
          <w:color w:val="000000" w:themeColor="text1"/>
          <w:lang w:val="en-US"/>
        </w:rPr>
      </w:pPr>
      <w:r w:rsidRPr="00FF435D">
        <w:rPr>
          <w:rFonts w:ascii="Arial" w:eastAsia="Arial" w:hAnsi="Arial" w:cs="Arial"/>
          <w:color w:val="000000" w:themeColor="text1"/>
          <w:lang w:val="en-US"/>
        </w:rPr>
        <w:t xml:space="preserve">Material </w:t>
      </w:r>
      <w:proofErr w:type="spellStart"/>
      <w:r w:rsidRPr="00FF435D">
        <w:rPr>
          <w:rFonts w:ascii="Arial" w:eastAsia="Arial" w:hAnsi="Arial" w:cs="Arial"/>
          <w:color w:val="000000" w:themeColor="text1"/>
          <w:lang w:val="en-US"/>
        </w:rPr>
        <w:t>suplementario</w:t>
      </w:r>
      <w:proofErr w:type="spellEnd"/>
      <w:r w:rsidRPr="00FF435D">
        <w:rPr>
          <w:rFonts w:ascii="Aptos" w:eastAsia="Aptos" w:hAnsi="Aptos" w:cs="Aptos"/>
          <w:color w:val="000000" w:themeColor="text1"/>
          <w:lang w:val="en-US"/>
        </w:rPr>
        <w:t xml:space="preserve"> </w:t>
      </w:r>
    </w:p>
    <w:p w14:paraId="1B4E5FB0" w14:textId="1F4F661A" w:rsidR="6AB5C4AC" w:rsidRPr="00FF435D" w:rsidRDefault="7E806A5C" w:rsidP="6968984F">
      <w:pPr>
        <w:jc w:val="both"/>
        <w:rPr>
          <w:lang w:val="en-US"/>
        </w:rPr>
      </w:pPr>
      <w:proofErr w:type="spellStart"/>
      <w:r w:rsidRPr="00FF435D">
        <w:rPr>
          <w:rFonts w:ascii="Arial" w:eastAsia="Arial" w:hAnsi="Arial" w:cs="Arial"/>
          <w:color w:val="000000" w:themeColor="text1"/>
          <w:lang w:val="en-US"/>
        </w:rPr>
        <w:t>Anexo</w:t>
      </w:r>
      <w:proofErr w:type="spellEnd"/>
      <w:r w:rsidRPr="00FF435D">
        <w:rPr>
          <w:rFonts w:ascii="Arial" w:eastAsia="Arial" w:hAnsi="Arial" w:cs="Arial"/>
          <w:color w:val="000000" w:themeColor="text1"/>
          <w:lang w:val="en-US"/>
        </w:rPr>
        <w:t xml:space="preserve"> 1.</w:t>
      </w:r>
    </w:p>
    <w:p w14:paraId="3579B347" w14:textId="08FEC7C8" w:rsidR="6AB5C4AC" w:rsidRDefault="7E806A5C" w:rsidP="6968984F">
      <w:pPr>
        <w:jc w:val="both"/>
      </w:pPr>
      <w:r>
        <w:rPr>
          <w:noProof/>
          <w:lang w:eastAsia="es-CO"/>
        </w:rPr>
        <w:drawing>
          <wp:inline distT="0" distB="0" distL="0" distR="0" wp14:anchorId="79A56FB9" wp14:editId="11C06010">
            <wp:extent cx="3517697" cy="3999323"/>
            <wp:effectExtent l="0" t="0" r="0" b="0"/>
            <wp:docPr id="800203068" name="Imagen 8002030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extLst>
                        <a:ext uri="{28A0092B-C50C-407E-A947-70E740481C1C}">
                          <a14:useLocalDpi xmlns:a14="http://schemas.microsoft.com/office/drawing/2010/main" val="0"/>
                        </a:ext>
                      </a:extLst>
                    </a:blip>
                    <a:stretch>
                      <a:fillRect/>
                    </a:stretch>
                  </pic:blipFill>
                  <pic:spPr>
                    <a:xfrm>
                      <a:off x="0" y="0"/>
                      <a:ext cx="3517697" cy="3999323"/>
                    </a:xfrm>
                    <a:prstGeom prst="rect">
                      <a:avLst/>
                    </a:prstGeom>
                  </pic:spPr>
                </pic:pic>
              </a:graphicData>
            </a:graphic>
          </wp:inline>
        </w:drawing>
      </w:r>
    </w:p>
    <w:p w14:paraId="21306439" w14:textId="31ED0657" w:rsidR="6AB5C4AC" w:rsidRDefault="6AB5C4AC" w:rsidP="6968984F">
      <w:pPr>
        <w:jc w:val="both"/>
        <w:rPr>
          <w:rFonts w:ascii="Arial" w:eastAsia="Arial" w:hAnsi="Arial" w:cs="Arial"/>
          <w:lang w:val="en-US"/>
        </w:rPr>
      </w:pPr>
      <w:proofErr w:type="spellStart"/>
      <w:r w:rsidRPr="6968984F">
        <w:rPr>
          <w:rFonts w:ascii="Arial" w:eastAsia="Arial" w:hAnsi="Arial" w:cs="Arial"/>
          <w:lang w:val="en-US"/>
        </w:rPr>
        <w:t>Diagrama</w:t>
      </w:r>
      <w:proofErr w:type="spellEnd"/>
      <w:r w:rsidRPr="6968984F">
        <w:rPr>
          <w:rFonts w:ascii="Arial" w:eastAsia="Arial" w:hAnsi="Arial" w:cs="Arial"/>
          <w:lang w:val="en-US"/>
        </w:rPr>
        <w:t xml:space="preserve"> de </w:t>
      </w:r>
      <w:proofErr w:type="spellStart"/>
      <w:r w:rsidRPr="6968984F">
        <w:rPr>
          <w:rFonts w:ascii="Arial" w:eastAsia="Arial" w:hAnsi="Arial" w:cs="Arial"/>
          <w:lang w:val="en-US"/>
        </w:rPr>
        <w:t>flujo</w:t>
      </w:r>
      <w:proofErr w:type="spellEnd"/>
      <w:r w:rsidRPr="6968984F">
        <w:rPr>
          <w:rFonts w:ascii="Arial" w:eastAsia="Arial" w:hAnsi="Arial" w:cs="Arial"/>
          <w:lang w:val="en-US"/>
        </w:rPr>
        <w:t xml:space="preserve"> </w:t>
      </w:r>
      <w:proofErr w:type="gramStart"/>
      <w:r w:rsidRPr="6968984F">
        <w:rPr>
          <w:rFonts w:ascii="Arial" w:eastAsia="Arial" w:hAnsi="Arial" w:cs="Arial"/>
          <w:lang w:val="en-US"/>
        </w:rPr>
        <w:t>del</w:t>
      </w:r>
      <w:proofErr w:type="gramEnd"/>
      <w:r w:rsidRPr="6968984F">
        <w:rPr>
          <w:rFonts w:ascii="Arial" w:eastAsia="Arial" w:hAnsi="Arial" w:cs="Arial"/>
          <w:lang w:val="en-US"/>
        </w:rPr>
        <w:t xml:space="preserve"> Proactive Identification Guidance (PIG) del Gold Standards Framework (GSF)</w:t>
      </w:r>
    </w:p>
    <w:p w14:paraId="4501829B" w14:textId="692F63B3" w:rsidR="6968984F" w:rsidRDefault="6968984F" w:rsidP="6968984F">
      <w:pPr>
        <w:jc w:val="both"/>
        <w:rPr>
          <w:rFonts w:ascii="Arial" w:eastAsia="Arial" w:hAnsi="Arial" w:cs="Arial"/>
          <w:lang w:val="en-US"/>
        </w:rPr>
      </w:pPr>
    </w:p>
    <w:p w14:paraId="54C6B66D" w14:textId="7D8706F2" w:rsidR="6968984F" w:rsidRDefault="6968984F" w:rsidP="6968984F">
      <w:pPr>
        <w:jc w:val="both"/>
        <w:rPr>
          <w:rFonts w:ascii="Arial" w:eastAsia="Arial" w:hAnsi="Arial" w:cs="Arial"/>
          <w:lang w:val="en-US"/>
        </w:rPr>
      </w:pPr>
    </w:p>
    <w:p w14:paraId="6CAC9E97" w14:textId="39CE9719" w:rsidR="502784EB" w:rsidRDefault="502784EB">
      <w:r>
        <w:br w:type="page"/>
      </w:r>
    </w:p>
    <w:p w14:paraId="2376EBE5" w14:textId="2FB72A87" w:rsidR="6AB5C4AC" w:rsidRDefault="6AB5C4AC" w:rsidP="6968984F">
      <w:pPr>
        <w:jc w:val="both"/>
        <w:rPr>
          <w:rFonts w:ascii="Arial" w:eastAsia="Arial" w:hAnsi="Arial" w:cs="Arial"/>
          <w:lang w:val="es"/>
        </w:rPr>
      </w:pPr>
      <w:r w:rsidRPr="6968984F">
        <w:rPr>
          <w:rFonts w:ascii="Arial" w:eastAsia="Arial" w:hAnsi="Arial" w:cs="Arial"/>
          <w:lang w:val="es"/>
        </w:rPr>
        <w:lastRenderedPageBreak/>
        <w:t>Anexo 2.</w:t>
      </w:r>
    </w:p>
    <w:p w14:paraId="00FBFE3D" w14:textId="7CA3195F" w:rsidR="6AB5C4AC" w:rsidRDefault="6AB5C4AC" w:rsidP="6968984F">
      <w:pPr>
        <w:jc w:val="both"/>
      </w:pPr>
      <w:r>
        <w:rPr>
          <w:noProof/>
          <w:lang w:eastAsia="es-CO"/>
        </w:rPr>
        <w:drawing>
          <wp:inline distT="0" distB="0" distL="0" distR="0" wp14:anchorId="733FBC80" wp14:editId="76283AA2">
            <wp:extent cx="5614900" cy="4986960"/>
            <wp:effectExtent l="0" t="0" r="0" b="0"/>
            <wp:docPr id="614636634" name="Imagen 6146366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extLst>
                        <a:ext uri="{28A0092B-C50C-407E-A947-70E740481C1C}">
                          <a14:useLocalDpi xmlns:a14="http://schemas.microsoft.com/office/drawing/2010/main" val="0"/>
                        </a:ext>
                      </a:extLst>
                    </a:blip>
                    <a:stretch>
                      <a:fillRect/>
                    </a:stretch>
                  </pic:blipFill>
                  <pic:spPr>
                    <a:xfrm>
                      <a:off x="0" y="0"/>
                      <a:ext cx="5614900" cy="4986960"/>
                    </a:xfrm>
                    <a:prstGeom prst="rect">
                      <a:avLst/>
                    </a:prstGeom>
                  </pic:spPr>
                </pic:pic>
              </a:graphicData>
            </a:graphic>
          </wp:inline>
        </w:drawing>
      </w:r>
    </w:p>
    <w:p w14:paraId="12D903D4" w14:textId="548F234A" w:rsidR="6AB5C4AC" w:rsidRDefault="6AB5C4AC" w:rsidP="6968984F">
      <w:pPr>
        <w:jc w:val="both"/>
        <w:rPr>
          <w:rFonts w:ascii="Aptos" w:eastAsia="Aptos" w:hAnsi="Aptos" w:cs="Aptos"/>
          <w:lang w:val="es-ES"/>
        </w:rPr>
      </w:pPr>
      <w:r w:rsidRPr="6968984F">
        <w:rPr>
          <w:rFonts w:ascii="Aptos" w:eastAsia="Aptos" w:hAnsi="Aptos" w:cs="Aptos"/>
          <w:lang w:val="es-ES"/>
        </w:rPr>
        <w:t xml:space="preserve">Pasos 1 y 2 del AMBER </w:t>
      </w:r>
      <w:proofErr w:type="spellStart"/>
      <w:r w:rsidRPr="6968984F">
        <w:rPr>
          <w:rFonts w:ascii="Aptos" w:eastAsia="Aptos" w:hAnsi="Aptos" w:cs="Aptos"/>
          <w:lang w:val="es-ES"/>
        </w:rPr>
        <w:t>care</w:t>
      </w:r>
      <w:proofErr w:type="spellEnd"/>
      <w:r w:rsidRPr="6968984F">
        <w:rPr>
          <w:rFonts w:ascii="Aptos" w:eastAsia="Aptos" w:hAnsi="Aptos" w:cs="Aptos"/>
          <w:lang w:val="es-ES"/>
        </w:rPr>
        <w:t xml:space="preserve"> </w:t>
      </w:r>
      <w:proofErr w:type="spellStart"/>
      <w:r w:rsidRPr="6968984F">
        <w:rPr>
          <w:rFonts w:ascii="Aptos" w:eastAsia="Aptos" w:hAnsi="Aptos" w:cs="Aptos"/>
          <w:lang w:val="es-ES"/>
        </w:rPr>
        <w:t>bundle</w:t>
      </w:r>
      <w:proofErr w:type="spellEnd"/>
    </w:p>
    <w:p w14:paraId="19DAE5AB" w14:textId="0CAC8F21" w:rsidR="6968984F" w:rsidRDefault="6968984F" w:rsidP="6968984F">
      <w:pPr>
        <w:spacing w:before="240" w:after="240"/>
        <w:rPr>
          <w:rFonts w:ascii="Aptos" w:eastAsia="Aptos" w:hAnsi="Aptos" w:cs="Aptos"/>
          <w:lang w:val="es"/>
        </w:rPr>
      </w:pPr>
    </w:p>
    <w:p w14:paraId="781AD80B" w14:textId="7FF55E69" w:rsidR="6968984F" w:rsidRDefault="6968984F" w:rsidP="6968984F">
      <w:pPr>
        <w:spacing w:before="240" w:after="240"/>
        <w:rPr>
          <w:rFonts w:ascii="Aptos" w:eastAsia="Aptos" w:hAnsi="Aptos" w:cs="Aptos"/>
          <w:lang w:val="es"/>
        </w:rPr>
      </w:pPr>
    </w:p>
    <w:p w14:paraId="2AFB43E0" w14:textId="6F12055A" w:rsidR="502784EB" w:rsidRDefault="502784EB">
      <w:r>
        <w:br w:type="page"/>
      </w:r>
    </w:p>
    <w:p w14:paraId="6E43847F" w14:textId="39422D04" w:rsidR="6AB5C4AC" w:rsidRDefault="7E806A5C" w:rsidP="6968984F">
      <w:pPr>
        <w:spacing w:before="240" w:after="240"/>
      </w:pPr>
      <w:r w:rsidRPr="502784EB">
        <w:rPr>
          <w:rFonts w:ascii="Aptos" w:eastAsia="Aptos" w:hAnsi="Aptos" w:cs="Aptos"/>
          <w:lang w:val="es"/>
        </w:rPr>
        <w:lastRenderedPageBreak/>
        <w:t>Anexo 3.</w:t>
      </w:r>
    </w:p>
    <w:p w14:paraId="633F7C74" w14:textId="26E6B500" w:rsidR="624133F0" w:rsidRDefault="624133F0" w:rsidP="502784EB">
      <w:pPr>
        <w:spacing w:before="240" w:after="240"/>
      </w:pPr>
      <w:r>
        <w:rPr>
          <w:noProof/>
          <w:lang w:eastAsia="es-CO"/>
        </w:rPr>
        <w:drawing>
          <wp:inline distT="0" distB="0" distL="0" distR="0" wp14:anchorId="4008B9D8" wp14:editId="7E7B1C25">
            <wp:extent cx="5614900" cy="3968840"/>
            <wp:effectExtent l="0" t="0" r="0" b="0"/>
            <wp:docPr id="620010206" name="Imagen 6200102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extLst>
                        <a:ext uri="{28A0092B-C50C-407E-A947-70E740481C1C}">
                          <a14:useLocalDpi xmlns:a14="http://schemas.microsoft.com/office/drawing/2010/main" val="0"/>
                        </a:ext>
                      </a:extLst>
                    </a:blip>
                    <a:stretch>
                      <a:fillRect/>
                    </a:stretch>
                  </pic:blipFill>
                  <pic:spPr>
                    <a:xfrm>
                      <a:off x="0" y="0"/>
                      <a:ext cx="5614900" cy="3968840"/>
                    </a:xfrm>
                    <a:prstGeom prst="rect">
                      <a:avLst/>
                    </a:prstGeom>
                  </pic:spPr>
                </pic:pic>
              </a:graphicData>
            </a:graphic>
          </wp:inline>
        </w:drawing>
      </w:r>
    </w:p>
    <w:p w14:paraId="47BC9DA7" w14:textId="703B45B6" w:rsidR="624133F0" w:rsidRDefault="624133F0" w:rsidP="502784EB">
      <w:pPr>
        <w:spacing w:before="240" w:after="240"/>
      </w:pPr>
      <w:r>
        <w:t>Escala ECOG de funcionalidad en cáncer</w:t>
      </w:r>
    </w:p>
    <w:p w14:paraId="7EA228E1" w14:textId="7BC67825" w:rsidR="7DF02B51" w:rsidRDefault="7DF02B51" w:rsidP="502784EB">
      <w:pPr>
        <w:spacing w:before="240" w:after="240"/>
      </w:pPr>
      <w:r>
        <w:t>Anexo 4.</w:t>
      </w:r>
    </w:p>
    <w:p w14:paraId="77C4B3C4" w14:textId="22A2D75C" w:rsidR="4609AEFB" w:rsidRDefault="4609AEFB" w:rsidP="502784EB">
      <w:pPr>
        <w:spacing w:before="240" w:after="240"/>
      </w:pPr>
      <w:r>
        <w:rPr>
          <w:noProof/>
          <w:lang w:eastAsia="es-CO"/>
        </w:rPr>
        <w:lastRenderedPageBreak/>
        <w:drawing>
          <wp:inline distT="0" distB="0" distL="0" distR="0" wp14:anchorId="47315679" wp14:editId="5360C68D">
            <wp:extent cx="3733800" cy="4391025"/>
            <wp:effectExtent l="0" t="0" r="0" b="0"/>
            <wp:docPr id="627503326" name="Imagen 6275033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extLst>
                        <a:ext uri="{28A0092B-C50C-407E-A947-70E740481C1C}">
                          <a14:useLocalDpi xmlns:a14="http://schemas.microsoft.com/office/drawing/2010/main" val="0"/>
                        </a:ext>
                      </a:extLst>
                    </a:blip>
                    <a:stretch>
                      <a:fillRect/>
                    </a:stretch>
                  </pic:blipFill>
                  <pic:spPr>
                    <a:xfrm>
                      <a:off x="0" y="0"/>
                      <a:ext cx="3733800" cy="4391025"/>
                    </a:xfrm>
                    <a:prstGeom prst="rect">
                      <a:avLst/>
                    </a:prstGeom>
                  </pic:spPr>
                </pic:pic>
              </a:graphicData>
            </a:graphic>
          </wp:inline>
        </w:drawing>
      </w:r>
    </w:p>
    <w:p w14:paraId="43D88331" w14:textId="6279B6F2" w:rsidR="4609AEFB" w:rsidRDefault="4609AEFB" w:rsidP="502784EB">
      <w:pPr>
        <w:spacing w:before="240" w:after="240"/>
      </w:pPr>
      <w:r>
        <w:t xml:space="preserve">Escala de </w:t>
      </w:r>
      <w:proofErr w:type="spellStart"/>
      <w:r>
        <w:t>Karnofsky</w:t>
      </w:r>
      <w:proofErr w:type="spellEnd"/>
    </w:p>
    <w:p w14:paraId="3546DD7B" w14:textId="69AA572B" w:rsidR="502784EB" w:rsidRDefault="502784EB" w:rsidP="502784EB">
      <w:pPr>
        <w:spacing w:before="240" w:after="240"/>
      </w:pPr>
    </w:p>
    <w:p w14:paraId="64DEBEE9" w14:textId="258A24A0" w:rsidR="4609AEFB" w:rsidRDefault="4609AEFB" w:rsidP="502784EB">
      <w:pPr>
        <w:spacing w:before="240" w:after="240"/>
      </w:pPr>
      <w:r>
        <w:t>Anexo 5.</w:t>
      </w:r>
    </w:p>
    <w:p w14:paraId="24D4542E" w14:textId="72627A32" w:rsidR="502784EB" w:rsidRDefault="502784EB" w:rsidP="502784EB">
      <w:pPr>
        <w:spacing w:before="240" w:after="240"/>
      </w:pPr>
    </w:p>
    <w:p w14:paraId="05EEED03" w14:textId="7CF67DE2" w:rsidR="6AB5C4AC" w:rsidRDefault="6AB5C4AC" w:rsidP="6968984F">
      <w:pPr>
        <w:spacing w:before="240" w:after="240"/>
      </w:pPr>
      <w:r>
        <w:rPr>
          <w:noProof/>
          <w:lang w:eastAsia="es-CO"/>
        </w:rPr>
        <w:lastRenderedPageBreak/>
        <w:drawing>
          <wp:inline distT="0" distB="0" distL="0" distR="0" wp14:anchorId="7DF4F67B" wp14:editId="1BC1E6FB">
            <wp:extent cx="5614900" cy="3560373"/>
            <wp:effectExtent l="0" t="0" r="0" b="0"/>
            <wp:docPr id="1086110692" name="Imagen 10861106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extLst>
                        <a:ext uri="{28A0092B-C50C-407E-A947-70E740481C1C}">
                          <a14:useLocalDpi xmlns:a14="http://schemas.microsoft.com/office/drawing/2010/main" val="0"/>
                        </a:ext>
                      </a:extLst>
                    </a:blip>
                    <a:stretch>
                      <a:fillRect/>
                    </a:stretch>
                  </pic:blipFill>
                  <pic:spPr>
                    <a:xfrm>
                      <a:off x="0" y="0"/>
                      <a:ext cx="5614900" cy="3560373"/>
                    </a:xfrm>
                    <a:prstGeom prst="rect">
                      <a:avLst/>
                    </a:prstGeom>
                  </pic:spPr>
                </pic:pic>
              </a:graphicData>
            </a:graphic>
          </wp:inline>
        </w:drawing>
      </w:r>
    </w:p>
    <w:p w14:paraId="08C630D3" w14:textId="6971AF84" w:rsidR="6AB5C4AC" w:rsidRDefault="7E806A5C" w:rsidP="502784EB">
      <w:pPr>
        <w:spacing w:before="240" w:after="240"/>
        <w:rPr>
          <w:rFonts w:ascii="Aptos" w:eastAsia="Aptos" w:hAnsi="Aptos" w:cs="Aptos"/>
        </w:rPr>
      </w:pPr>
      <w:r w:rsidRPr="502784EB">
        <w:rPr>
          <w:rFonts w:ascii="Aptos" w:eastAsia="Aptos" w:hAnsi="Aptos" w:cs="Aptos"/>
        </w:rPr>
        <w:t xml:space="preserve"> </w:t>
      </w:r>
      <w:r w:rsidR="1F1ABE5A" w:rsidRPr="502784EB">
        <w:rPr>
          <w:rFonts w:ascii="Aptos" w:eastAsia="Aptos" w:hAnsi="Aptos" w:cs="Aptos"/>
        </w:rPr>
        <w:t>Anexo 6.</w:t>
      </w:r>
    </w:p>
    <w:p w14:paraId="34EADC96" w14:textId="7262AED6" w:rsidR="6AB5C4AC" w:rsidRDefault="6AB5C4AC" w:rsidP="6968984F">
      <w:pPr>
        <w:spacing w:before="240" w:after="240"/>
      </w:pPr>
      <w:r>
        <w:rPr>
          <w:noProof/>
          <w:lang w:eastAsia="es-CO"/>
        </w:rPr>
        <w:drawing>
          <wp:inline distT="0" distB="0" distL="0" distR="0" wp14:anchorId="05CA1F1A" wp14:editId="7876463A">
            <wp:extent cx="3822523" cy="4084674"/>
            <wp:effectExtent l="0" t="0" r="0" b="0"/>
            <wp:docPr id="1515736565" name="Imagen 15157365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a:extLst>
                        <a:ext uri="{28A0092B-C50C-407E-A947-70E740481C1C}">
                          <a14:useLocalDpi xmlns:a14="http://schemas.microsoft.com/office/drawing/2010/main" val="0"/>
                        </a:ext>
                      </a:extLst>
                    </a:blip>
                    <a:stretch>
                      <a:fillRect/>
                    </a:stretch>
                  </pic:blipFill>
                  <pic:spPr>
                    <a:xfrm>
                      <a:off x="0" y="0"/>
                      <a:ext cx="3822523" cy="4084674"/>
                    </a:xfrm>
                    <a:prstGeom prst="rect">
                      <a:avLst/>
                    </a:prstGeom>
                  </pic:spPr>
                </pic:pic>
              </a:graphicData>
            </a:graphic>
          </wp:inline>
        </w:drawing>
      </w:r>
    </w:p>
    <w:p w14:paraId="28C7FF25" w14:textId="275CCD58" w:rsidR="6968984F" w:rsidRDefault="6968984F" w:rsidP="6968984F">
      <w:pPr>
        <w:spacing w:before="240" w:after="240"/>
        <w:rPr>
          <w:rFonts w:ascii="Aptos" w:eastAsia="Aptos" w:hAnsi="Aptos" w:cs="Aptos"/>
          <w:lang w:val="es"/>
        </w:rPr>
      </w:pPr>
    </w:p>
    <w:p w14:paraId="62A2DB0F" w14:textId="7AE551D7" w:rsidR="6968984F" w:rsidRDefault="6968984F" w:rsidP="6968984F">
      <w:pPr>
        <w:spacing w:before="240" w:after="240"/>
        <w:rPr>
          <w:rFonts w:ascii="Aptos" w:eastAsia="Aptos" w:hAnsi="Aptos" w:cs="Aptos"/>
          <w:lang w:val="es"/>
        </w:rPr>
      </w:pPr>
    </w:p>
    <w:p w14:paraId="48688E2C" w14:textId="3A8E3A98" w:rsidR="6AB5C4AC" w:rsidRDefault="7E806A5C" w:rsidP="6968984F">
      <w:pPr>
        <w:spacing w:before="240" w:after="240"/>
      </w:pPr>
      <w:r w:rsidRPr="502784EB">
        <w:rPr>
          <w:rFonts w:ascii="Aptos" w:eastAsia="Aptos" w:hAnsi="Aptos" w:cs="Aptos"/>
          <w:lang w:val="es"/>
        </w:rPr>
        <w:t xml:space="preserve">Anexo </w:t>
      </w:r>
      <w:r w:rsidR="5B92D5F4" w:rsidRPr="502784EB">
        <w:rPr>
          <w:rFonts w:ascii="Aptos" w:eastAsia="Aptos" w:hAnsi="Aptos" w:cs="Aptos"/>
          <w:lang w:val="es"/>
        </w:rPr>
        <w:t>7</w:t>
      </w:r>
      <w:r w:rsidRPr="502784EB">
        <w:rPr>
          <w:rFonts w:ascii="Aptos" w:eastAsia="Aptos" w:hAnsi="Aptos" w:cs="Aptos"/>
          <w:lang w:val="es"/>
        </w:rPr>
        <w:t>.</w:t>
      </w:r>
    </w:p>
    <w:p w14:paraId="57C5B9CB" w14:textId="6CCFA1A6" w:rsidR="6AB5C4AC" w:rsidRDefault="6AB5C4AC" w:rsidP="6968984F">
      <w:pPr>
        <w:spacing w:before="240" w:after="240"/>
      </w:pPr>
      <w:r>
        <w:rPr>
          <w:noProof/>
          <w:lang w:eastAsia="es-CO"/>
        </w:rPr>
        <w:drawing>
          <wp:inline distT="0" distB="0" distL="0" distR="0" wp14:anchorId="07D99875" wp14:editId="744C73DE">
            <wp:extent cx="2975106" cy="5066215"/>
            <wp:effectExtent l="0" t="0" r="0" b="0"/>
            <wp:docPr id="143670939" name="Imagen 1436709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a:extLst>
                        <a:ext uri="{28A0092B-C50C-407E-A947-70E740481C1C}">
                          <a14:useLocalDpi xmlns:a14="http://schemas.microsoft.com/office/drawing/2010/main" val="0"/>
                        </a:ext>
                      </a:extLst>
                    </a:blip>
                    <a:stretch>
                      <a:fillRect/>
                    </a:stretch>
                  </pic:blipFill>
                  <pic:spPr>
                    <a:xfrm>
                      <a:off x="0" y="0"/>
                      <a:ext cx="2975106" cy="5066215"/>
                    </a:xfrm>
                    <a:prstGeom prst="rect">
                      <a:avLst/>
                    </a:prstGeom>
                  </pic:spPr>
                </pic:pic>
              </a:graphicData>
            </a:graphic>
          </wp:inline>
        </w:drawing>
      </w:r>
    </w:p>
    <w:p w14:paraId="09A830C7" w14:textId="0C71505D" w:rsidR="6968984F" w:rsidRDefault="6968984F" w:rsidP="6968984F">
      <w:pPr>
        <w:spacing w:before="240" w:after="240"/>
        <w:rPr>
          <w:rFonts w:ascii="Aptos" w:eastAsia="Aptos" w:hAnsi="Aptos" w:cs="Aptos"/>
          <w:lang w:val="es"/>
        </w:rPr>
      </w:pPr>
    </w:p>
    <w:p w14:paraId="505988C1" w14:textId="47AD5ECC" w:rsidR="6968984F" w:rsidRDefault="6968984F" w:rsidP="6968984F">
      <w:pPr>
        <w:spacing w:before="240" w:after="240"/>
        <w:rPr>
          <w:rFonts w:ascii="Aptos" w:eastAsia="Aptos" w:hAnsi="Aptos" w:cs="Aptos"/>
          <w:lang w:val="es"/>
        </w:rPr>
      </w:pPr>
    </w:p>
    <w:p w14:paraId="7B4B41AC" w14:textId="62933128" w:rsidR="6AB5C4AC" w:rsidRDefault="6AB5C4AC" w:rsidP="502784EB">
      <w:pPr>
        <w:spacing w:before="240" w:after="240"/>
        <w:rPr>
          <w:rFonts w:ascii="Aptos" w:eastAsia="Aptos" w:hAnsi="Aptos" w:cs="Aptos"/>
          <w:lang w:val="es"/>
        </w:rPr>
      </w:pPr>
    </w:p>
    <w:p w14:paraId="2BD33507" w14:textId="5FD042CE" w:rsidR="6968984F" w:rsidRDefault="6968984F" w:rsidP="6968984F"/>
    <w:sectPr w:rsidR="6968984F" w:rsidSect="00FF435D">
      <w:pgSz w:w="12240" w:h="15840" w:code="1"/>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69581C5" w14:textId="77777777" w:rsidR="00EC7D3D" w:rsidRDefault="00EC7D3D">
      <w:pPr>
        <w:spacing w:after="0" w:line="240" w:lineRule="auto"/>
      </w:pPr>
      <w:r>
        <w:separator/>
      </w:r>
    </w:p>
  </w:endnote>
  <w:endnote w:type="continuationSeparator" w:id="0">
    <w:p w14:paraId="509B9809" w14:textId="77777777" w:rsidR="00EC7D3D" w:rsidRDefault="00EC7D3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Arial"/>
    <w:charset w:val="00"/>
    <w:family w:val="swiss"/>
    <w:pitch w:val="variable"/>
    <w:sig w:usb0="00000001" w:usb1="00000003" w:usb2="00000000" w:usb3="00000000" w:csb0="0000019F" w:csb1="00000000"/>
  </w:font>
  <w:font w:name="Aptos Display">
    <w:altName w:val="Arial"/>
    <w:charset w:val="00"/>
    <w:family w:val="swiss"/>
    <w:pitch w:val="variable"/>
    <w:sig w:usb0="00000001"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ystem-ui">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Layout w:type="fixed"/>
      <w:tblLook w:val="06A0" w:firstRow="1" w:lastRow="0" w:firstColumn="1" w:lastColumn="0" w:noHBand="1" w:noVBand="1"/>
    </w:tblPr>
    <w:tblGrid>
      <w:gridCol w:w="3120"/>
      <w:gridCol w:w="3120"/>
      <w:gridCol w:w="3120"/>
    </w:tblGrid>
    <w:tr w:rsidR="6968984F" w14:paraId="765B4BB8" w14:textId="77777777" w:rsidTr="6968984F">
      <w:trPr>
        <w:trHeight w:val="300"/>
      </w:trPr>
      <w:tc>
        <w:tcPr>
          <w:tcW w:w="3120" w:type="dxa"/>
        </w:tcPr>
        <w:p w14:paraId="4EB16771" w14:textId="195B5344" w:rsidR="6968984F" w:rsidRDefault="6968984F" w:rsidP="6968984F">
          <w:pPr>
            <w:pStyle w:val="Encabezado"/>
            <w:ind w:left="-115"/>
          </w:pPr>
        </w:p>
      </w:tc>
      <w:tc>
        <w:tcPr>
          <w:tcW w:w="3120" w:type="dxa"/>
        </w:tcPr>
        <w:p w14:paraId="51EC0840" w14:textId="280BC85D" w:rsidR="6968984F" w:rsidRDefault="6968984F" w:rsidP="6968984F">
          <w:pPr>
            <w:pStyle w:val="Encabezado"/>
            <w:jc w:val="center"/>
          </w:pPr>
        </w:p>
      </w:tc>
      <w:tc>
        <w:tcPr>
          <w:tcW w:w="3120" w:type="dxa"/>
        </w:tcPr>
        <w:p w14:paraId="0B7980B7" w14:textId="66D6C92B" w:rsidR="6968984F" w:rsidRDefault="6968984F" w:rsidP="6968984F">
          <w:pPr>
            <w:pStyle w:val="Encabezado"/>
            <w:ind w:right="-115"/>
            <w:jc w:val="right"/>
          </w:pPr>
        </w:p>
      </w:tc>
    </w:tr>
  </w:tbl>
  <w:p w14:paraId="6C364E88" w14:textId="6CADAA93" w:rsidR="6968984F" w:rsidRDefault="6968984F" w:rsidP="6968984F">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2228AE6" w14:textId="77777777" w:rsidR="00EC7D3D" w:rsidRDefault="00EC7D3D">
      <w:pPr>
        <w:spacing w:after="0" w:line="240" w:lineRule="auto"/>
      </w:pPr>
      <w:r>
        <w:separator/>
      </w:r>
    </w:p>
  </w:footnote>
  <w:footnote w:type="continuationSeparator" w:id="0">
    <w:p w14:paraId="05F0A8BF" w14:textId="77777777" w:rsidR="00EC7D3D" w:rsidRDefault="00EC7D3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Layout w:type="fixed"/>
      <w:tblLook w:val="06A0" w:firstRow="1" w:lastRow="0" w:firstColumn="1" w:lastColumn="0" w:noHBand="1" w:noVBand="1"/>
    </w:tblPr>
    <w:tblGrid>
      <w:gridCol w:w="3120"/>
      <w:gridCol w:w="3120"/>
      <w:gridCol w:w="3120"/>
    </w:tblGrid>
    <w:tr w:rsidR="6968984F" w14:paraId="74981B7C" w14:textId="77777777" w:rsidTr="6968984F">
      <w:trPr>
        <w:trHeight w:val="300"/>
      </w:trPr>
      <w:tc>
        <w:tcPr>
          <w:tcW w:w="3120" w:type="dxa"/>
        </w:tcPr>
        <w:p w14:paraId="35E4293C" w14:textId="472B4A0D" w:rsidR="6968984F" w:rsidRDefault="6968984F" w:rsidP="6968984F">
          <w:pPr>
            <w:pStyle w:val="Encabezado"/>
            <w:ind w:left="-115"/>
          </w:pPr>
        </w:p>
      </w:tc>
      <w:tc>
        <w:tcPr>
          <w:tcW w:w="3120" w:type="dxa"/>
        </w:tcPr>
        <w:p w14:paraId="6233DF44" w14:textId="76727226" w:rsidR="6968984F" w:rsidRDefault="6968984F" w:rsidP="6968984F">
          <w:pPr>
            <w:pStyle w:val="Encabezado"/>
            <w:jc w:val="center"/>
          </w:pPr>
        </w:p>
      </w:tc>
      <w:tc>
        <w:tcPr>
          <w:tcW w:w="3120" w:type="dxa"/>
        </w:tcPr>
        <w:p w14:paraId="0C991C87" w14:textId="0132A569" w:rsidR="6968984F" w:rsidRDefault="6968984F" w:rsidP="6968984F">
          <w:pPr>
            <w:pStyle w:val="Encabezado"/>
            <w:ind w:right="-115"/>
            <w:jc w:val="right"/>
          </w:pPr>
        </w:p>
      </w:tc>
    </w:tr>
  </w:tbl>
  <w:p w14:paraId="4E6138E2" w14:textId="2D20EDBA" w:rsidR="6968984F" w:rsidRDefault="6968984F" w:rsidP="6968984F">
    <w:pPr>
      <w:pStyle w:val="Encabezado"/>
    </w:pPr>
  </w:p>
</w:hdr>
</file>

<file path=word/intelligence2.xml><?xml version="1.0" encoding="utf-8"?>
<int2:intelligence xmlns:int2="http://schemas.microsoft.com/office/intelligence/2020/intelligence">
  <int2:observations>
    <int2:textHash int2:hashCode="EdyYi/FvfrsgsS" int2:id="IYIOv7vD">
      <int2:state int2:type="AugLoop_Text_Critique" int2:value="Rejected"/>
    </int2:textHash>
    <int2:textHash int2:hashCode="OVfjAv19KgXvab" int2:id="gMjKamcf">
      <int2:state int2:type="AugLoop_Text_Critique" int2:value="Rejected"/>
    </int2:textHash>
    <int2:textHash int2:hashCode="YKNoBC7gQNFxJH" int2:id="nYhpabEi">
      <int2:state int2:type="AugLoop_Text_Critique" int2:value="Rejected"/>
    </int2:textHash>
    <int2:textHash int2:hashCode="+grC30yVMdYLDG" int2:id="SN8PbxgJ">
      <int2:state int2:type="AugLoop_Text_Critique" int2:value="Rejected"/>
    </int2:textHash>
    <int2:textHash int2:hashCode="6g4XNimTRUYCL3" int2:id="b7WmQGjN">
      <int2:state int2:type="AugLoop_Text_Critique" int2:value="Rejected"/>
    </int2:textHash>
    <int2:textHash int2:hashCode="QvUaWQgcW9P9yw" int2:id="4b0DuzJu">
      <int2:state int2:type="AugLoop_Text_Critique" int2:value="Rejected"/>
    </int2:textHash>
    <int2:textHash int2:hashCode="P6GQcZRvj3YvcY" int2:id="9xPGJHty">
      <int2:state int2:type="AugLoop_Text_Critique" int2:value="Rejected"/>
    </int2:textHash>
    <int2:textHash int2:hashCode="/Eqf8amLNXiWCk" int2:id="aPcb3dLR">
      <int2:state int2:type="AugLoop_Text_Critique" int2:value="Rejected"/>
    </int2:textHash>
    <int2:textHash int2:hashCode="ogzg31/ybbobzc" int2:id="8nzvVRkY">
      <int2:state int2:type="AugLoop_Text_Critique" int2:value="Rejected"/>
    </int2:textHash>
    <int2:textHash int2:hashCode="KJ9PUKPj2Z0tJy" int2:id="8cd0jQpy">
      <int2:state int2:type="AugLoop_Text_Critique" int2:value="Rejected"/>
    </int2:textHash>
    <int2:textHash int2:hashCode="d1nHzKowsX+Tad" int2:id="4u4arA2n">
      <int2:state int2:type="AugLoop_Text_Critique" int2:value="Rejected"/>
    </int2:textHash>
    <int2:textHash int2:hashCode="UqVVWteceKmuzy" int2:id="dOLffpdE">
      <int2:state int2:type="AugLoop_Text_Critique" int2:value="Rejected"/>
    </int2:textHash>
    <int2:textHash int2:hashCode="dfKoF93EYtncU3" int2:id="aoNtfM4q">
      <int2:state int2:type="AugLoop_Text_Critique" int2:value="Rejected"/>
    </int2:textHash>
    <int2:textHash int2:hashCode="Aa0koG3OZxzm6B" int2:id="5pEWWWbJ">
      <int2:state int2:type="AugLoop_Text_Critique" int2:value="Rejected"/>
    </int2:textHash>
    <int2:textHash int2:hashCode="3xFVNWONEhyr2U" int2:id="Va15A5EY">
      <int2:state int2:type="AugLoop_Text_Critique" int2:value="Rejected"/>
    </int2:textHash>
    <int2:textHash int2:hashCode="IX2Fpfa60i6XBl" int2:id="nvTmgZ05">
      <int2:state int2:type="AugLoop_Text_Critique" int2:value="Rejected"/>
    </int2:textHash>
    <int2:textHash int2:hashCode="WN7on/Zo1PSlQ3" int2:id="YHWkFDaq">
      <int2:state int2:type="AugLoop_Text_Critique" int2:value="Rejected"/>
    </int2:textHash>
    <int2:textHash int2:hashCode="CofQ4yefDOFWEs" int2:id="B3J7z4fw">
      <int2:state int2:type="AugLoop_Text_Critique" int2:value="Rejected"/>
    </int2:textHash>
    <int2:textHash int2:hashCode="yNTXi9G8+oYNn6" int2:id="OUWVtadC">
      <int2:state int2:type="AugLoop_Text_Critique" int2:value="Rejected"/>
    </int2:textHash>
    <int2:textHash int2:hashCode="R+8InORNWnNgZp" int2:id="YySRuqdK">
      <int2:state int2:type="AugLoop_Text_Critique" int2:value="Rejected"/>
    </int2:textHash>
    <int2:textHash int2:hashCode="fSz2mO9iTfhIHZ" int2:id="5e59a7AO">
      <int2:state int2:type="AugLoop_Text_Critique" int2:value="Rejected"/>
    </int2:textHash>
    <int2:textHash int2:hashCode="LGkqha55dT1WM6" int2:id="42AHfYtk">
      <int2:state int2:type="AugLoop_Text_Critique" int2:value="Rejected"/>
    </int2:textHash>
    <int2:textHash int2:hashCode="ccYa/T5sArXkwr" int2:id="8kCPPUEx">
      <int2:state int2:type="AugLoop_Text_Critique" int2:value="Rejected"/>
    </int2:textHash>
    <int2:textHash int2:hashCode="AkBq04bhaQ+5DW" int2:id="RuOo1SXF">
      <int2:state int2:type="AugLoop_Text_Critique" int2:value="Rejected"/>
    </int2:textHash>
    <int2:textHash int2:hashCode="bUJqguVerqdhdC" int2:id="mUUvyIBh">
      <int2:state int2:type="AugLoop_Text_Critique" int2:value="Rejected"/>
    </int2:textHash>
    <int2:textHash int2:hashCode="62e3NTy8MUCREL" int2:id="qSCwwVoV">
      <int2:state int2:type="AugLoop_Text_Critique" int2:value="Rejected"/>
    </int2:textHash>
    <int2:textHash int2:hashCode="QWGKzerb2SMm4U" int2:id="I0Jf494A">
      <int2:state int2:type="AugLoop_Text_Critique" int2:value="Rejected"/>
    </int2:textHash>
    <int2:textHash int2:hashCode="bG/G6n8K9B2XJz" int2:id="ABBh18pF">
      <int2:state int2:type="AugLoop_Text_Critique" int2:value="Rejected"/>
    </int2:textHash>
    <int2:textHash int2:hashCode="4HdOP2Zzu/O8tD" int2:id="7Z7atnJq">
      <int2:state int2:type="AugLoop_Text_Critique" int2:value="Rejected"/>
    </int2:textHash>
    <int2:textHash int2:hashCode="wmocuAaZpEOepT" int2:id="S9xoiM5r">
      <int2:state int2:type="AugLoop_Text_Critique" int2:value="Rejected"/>
    </int2:textHash>
    <int2:textHash int2:hashCode="72TZOmsRzkP9/w" int2:id="Y1cawDkY">
      <int2:state int2:type="AugLoop_Text_Critique" int2:value="Rejected"/>
    </int2:textHash>
    <int2:textHash int2:hashCode="uHN4XCXBgb5FcI" int2:id="9yX9XvPz">
      <int2:state int2:type="AugLoop_Text_Critique" int2:value="Rejected"/>
    </int2:textHash>
    <int2:textHash int2:hashCode="7kMyJ/w46c+ZOA" int2:id="BQlUwokH">
      <int2:state int2:type="AugLoop_Text_Critique" int2:value="Rejected"/>
    </int2:textHash>
    <int2:textHash int2:hashCode="vL1M2gZdib82Af" int2:id="UW3gi1ox">
      <int2:state int2:type="AugLoop_Text_Critique" int2:value="Rejected"/>
    </int2:textHash>
    <int2:textHash int2:hashCode="NqqTuRoySN7zvL" int2:id="JXcG0sYY">
      <int2:state int2:type="AugLoop_Text_Critique" int2:value="Rejected"/>
    </int2:textHash>
    <int2:textHash int2:hashCode="BqKTBBYVhSP0Iu" int2:id="U7wbh4cj">
      <int2:state int2:type="AugLoop_Text_Critique" int2:value="Rejected"/>
    </int2:textHash>
    <int2:textHash int2:hashCode="hdUXsIR9SdS66m" int2:id="xhHn0Q07">
      <int2:state int2:type="AugLoop_Text_Critique" int2:value="Rejected"/>
    </int2:textHash>
    <int2:textHash int2:hashCode="ZbET4kb8KKiM0Q" int2:id="mb8rCrHu">
      <int2:state int2:type="AugLoop_Text_Critique" int2:value="Rejected"/>
    </int2:textHash>
    <int2:textHash int2:hashCode="73ChcEjyg4sQHM" int2:id="LCVUphKi">
      <int2:state int2:type="AugLoop_Text_Critique" int2:value="Rejected"/>
    </int2:textHash>
    <int2:textHash int2:hashCode="KCFrt4vpttDSjd" int2:id="o3ELAB2Q">
      <int2:state int2:type="AugLoop_Text_Critique" int2:value="Rejected"/>
    </int2:textHash>
    <int2:textHash int2:hashCode="Ml8MQf5PpR3Hb4" int2:id="JFjfujdn">
      <int2:state int2:type="AugLoop_Text_Critique" int2:value="Rejected"/>
    </int2:textHash>
    <int2:textHash int2:hashCode="TpB26zfjt3R1VM" int2:id="fD9wC8Io">
      <int2:state int2:type="AugLoop_Text_Critique" int2:value="Rejected"/>
    </int2:textHash>
    <int2:textHash int2:hashCode="oIr9IncQ1glTj1" int2:id="pPPCi5hn">
      <int2:state int2:type="AugLoop_Text_Critique" int2:value="Rejected"/>
    </int2:textHash>
    <int2:textHash int2:hashCode="u5rv1E3QQ67huk" int2:id="JNwsDZsE">
      <int2:state int2:type="AugLoop_Text_Critique" int2:value="Rejected"/>
    </int2:textHash>
    <int2:textHash int2:hashCode="M3aayabqRLSPc4" int2:id="CVDfEClH">
      <int2:state int2:type="AugLoop_Text_Critique" int2:value="Rejected"/>
    </int2:textHash>
    <int2:textHash int2:hashCode="tqYj/a2mZClq4K" int2:id="u3GiyIO0">
      <int2:state int2:type="AugLoop_Text_Critique" int2:value="Rejected"/>
    </int2:textHash>
    <int2:textHash int2:hashCode="WYrnLnXOT7GCNb" int2:id="3wJriEgh">
      <int2:state int2:type="AugLoop_Text_Critique" int2:value="Rejected"/>
    </int2:textHash>
    <int2:textHash int2:hashCode="WTA8mgAMmJpOWX" int2:id="O5khuhIU">
      <int2:state int2:type="AugLoop_Text_Critique" int2:value="Rejected"/>
    </int2:textHash>
    <int2:textHash int2:hashCode="KAjvXBafpFznUz" int2:id="RjPmsm3F">
      <int2:state int2:type="AugLoop_Text_Critique" int2:value="Rejected"/>
    </int2:textHash>
    <int2:textHash int2:hashCode="ueGiTP5Df/LAmE" int2:id="RN7Dvgk1">
      <int2:state int2:type="AugLoop_Text_Critique" int2:value="Rejected"/>
    </int2:textHash>
    <int2:textHash int2:hashCode="i97KvvbJQ4Q5WR" int2:id="NCA7OQgA">
      <int2:state int2:type="AugLoop_Text_Critique" int2:value="Rejected"/>
    </int2:textHash>
    <int2:textHash int2:hashCode="bsxIrCQcmuPP3L" int2:id="X4Mk7cQI">
      <int2:state int2:type="AugLoop_Text_Critique" int2:value="Rejected"/>
    </int2:textHash>
    <int2:textHash int2:hashCode="5vwpkG+tQ1+F8u" int2:id="YHCINR2j">
      <int2:state int2:type="AugLoop_Text_Critique" int2:value="Rejected"/>
    </int2:textHash>
    <int2:textHash int2:hashCode="1Fi3VD5drMvugX" int2:id="lxP7KKAm">
      <int2:state int2:type="AugLoop_Text_Critique" int2:value="Rejected"/>
    </int2:textHash>
    <int2:textHash int2:hashCode="fCdwvRrX5zOARy" int2:id="Wjr6eAf9">
      <int2:state int2:type="AugLoop_Text_Critique" int2:value="Rejected"/>
    </int2:textHash>
    <int2:textHash int2:hashCode="KlzE4Eudh8VdEN" int2:id="gpC6FfVW">
      <int2:state int2:type="AugLoop_Text_Critique" int2:value="Rejected"/>
    </int2:textHash>
    <int2:textHash int2:hashCode="YP+BIyMYXuZ3OS" int2:id="Fn0Xy35A">
      <int2:state int2:type="AugLoop_Text_Critique" int2:value="Rejected"/>
    </int2:textHash>
    <int2:textHash int2:hashCode="u7hWThsWDuJaUy" int2:id="uBMa4gDm">
      <int2:state int2:type="AugLoop_Text_Critique" int2:value="Rejected"/>
    </int2:textHash>
    <int2:textHash int2:hashCode="odoQbfxn50uIXY" int2:id="2UgJuC17">
      <int2:state int2:type="AugLoop_Text_Critique" int2:value="Rejected"/>
    </int2:textHash>
    <int2:textHash int2:hashCode="Nj6yJPb/jTxRY6" int2:id="YAUcZbuh">
      <int2:state int2:type="AugLoop_Text_Critique" int2:value="Rejected"/>
    </int2:textHash>
    <int2:textHash int2:hashCode="yYXuRF1piA9aCl" int2:id="x4KJcXG8">
      <int2:state int2:type="AugLoop_Text_Critique" int2:value="Rejected"/>
    </int2:textHash>
    <int2:textHash int2:hashCode="PQcdc7lEk17xFN" int2:id="gzUHCXfG">
      <int2:state int2:type="AugLoop_Text_Critique" int2:value="Rejected"/>
    </int2:textHash>
    <int2:textHash int2:hashCode="kr/C1BMBOIPmlj" int2:id="btVbsNF2">
      <int2:state int2:type="AugLoop_Text_Critique" int2:value="Rejected"/>
    </int2:textHash>
    <int2:textHash int2:hashCode="dx1AJuetGfzg11" int2:id="TSZJvWKr">
      <int2:state int2:type="AugLoop_Text_Critique" int2:value="Rejected"/>
    </int2:textHash>
    <int2:textHash int2:hashCode="E2j08d2bzbUEZB" int2:id="WfIsmI17">
      <int2:state int2:type="AugLoop_Text_Critique" int2:value="Rejected"/>
    </int2:textHash>
    <int2:textHash int2:hashCode="L1uDgTFmR8CBar" int2:id="JA5spbT8">
      <int2:state int2:type="AugLoop_Text_Critique" int2:value="Rejected"/>
    </int2:textHash>
    <int2:textHash int2:hashCode="iROXMNTmXMFy8o" int2:id="8lNJRHCa">
      <int2:state int2:type="AugLoop_Text_Critique" int2:value="Rejected"/>
    </int2:textHash>
    <int2:textHash int2:hashCode="Sx8+RMUD4Bbv0K" int2:id="cxuLtWXW">
      <int2:state int2:type="AugLoop_Text_Critique" int2:value="Rejected"/>
    </int2:textHash>
    <int2:textHash int2:hashCode="m+DSOlad8xXwmC" int2:id="J9XDGLWd">
      <int2:state int2:type="AugLoop_Text_Critique" int2:value="Rejected"/>
    </int2:textHash>
    <int2:textHash int2:hashCode="6S/E4mp2tehTzj" int2:id="JAOzWNZY">
      <int2:state int2:type="AugLoop_Text_Critique" int2:value="Rejected"/>
    </int2:textHash>
    <int2:textHash int2:hashCode="5l8U3uYgMuqhTY" int2:id="StklUgVl">
      <int2:state int2:type="AugLoop_Text_Critique" int2:value="Rejected"/>
    </int2:textHash>
    <int2:textHash int2:hashCode="xTYMS6cZZAWCgd" int2:id="QlgzH9j9">
      <int2:state int2:type="AugLoop_Text_Critique" int2:value="Rejected"/>
    </int2:textHash>
    <int2:textHash int2:hashCode="t9V0p2eIAkn64r" int2:id="5poGKaw0">
      <int2:state int2:type="AugLoop_Text_Critique" int2:value="Rejected"/>
    </int2:textHash>
    <int2:textHash int2:hashCode="vOvWApTjvw5ze5" int2:id="4xQW01Br">
      <int2:state int2:type="AugLoop_Text_Critique" int2:value="Rejected"/>
    </int2:textHash>
    <int2:textHash int2:hashCode="sNiEwm/a2GMIe0" int2:id="jKosDeNs">
      <int2:state int2:type="AugLoop_Text_Critique" int2:value="Rejected"/>
    </int2:textHash>
    <int2:textHash int2:hashCode="dQYE1iE657Y7qp" int2:id="MR74iW7N">
      <int2:state int2:type="AugLoop_Text_Critique" int2:value="Rejected"/>
    </int2:textHash>
    <int2:textHash int2:hashCode="yyI677VlWwX9F+" int2:id="052dhX2e">
      <int2:state int2:type="AugLoop_Text_Critique" int2:value="Rejected"/>
    </int2:textHash>
    <int2:textHash int2:hashCode="p8waF/LPJfNNAi" int2:id="ikSqWCfp">
      <int2:state int2:type="AugLoop_Text_Critique" int2:value="Rejected"/>
    </int2:textHash>
    <int2:textHash int2:hashCode="ek1AbB3Gldmy+t" int2:id="XezilgmM">
      <int2:state int2:type="AugLoop_Text_Critique" int2:value="Rejected"/>
    </int2:textHash>
    <int2:textHash int2:hashCode="XdJfQq1gT3fKf+" int2:id="7ba28Pos">
      <int2:state int2:type="AugLoop_Text_Critique" int2:value="Rejected"/>
    </int2:textHash>
    <int2:textHash int2:hashCode="jH8yzrx9KCcp0E" int2:id="ZOHN87FE">
      <int2:state int2:type="AugLoop_Text_Critique" int2:value="Rejected"/>
    </int2:textHash>
    <int2:textHash int2:hashCode="KMZo9BfohGbI7k" int2:id="MvYite2O">
      <int2:state int2:type="AugLoop_Text_Critique" int2:value="Rejected"/>
    </int2:textHash>
    <int2:textHash int2:hashCode="pjvXszbuMBxRhh" int2:id="ySe4xYuj">
      <int2:state int2:type="AugLoop_Text_Critique" int2:value="Rejected"/>
    </int2:textHash>
    <int2:textHash int2:hashCode="pzATmCmkvDnkRI" int2:id="1Lfb4avi">
      <int2:state int2:type="AugLoop_Text_Critique" int2:value="Rejected"/>
    </int2:textHash>
    <int2:textHash int2:hashCode="NttZzD9zz8zc7D" int2:id="DHhnseRx">
      <int2:state int2:type="AugLoop_Text_Critique" int2:value="Rejected"/>
    </int2:textHash>
    <int2:textHash int2:hashCode="7kyHiOG23BsHDD" int2:id="vK96jt2f">
      <int2:state int2:type="AugLoop_Text_Critique" int2:value="Rejected"/>
    </int2:textHash>
    <int2:textHash int2:hashCode="vYNvN02f0eR/0s" int2:id="O19J9E8Z">
      <int2:state int2:type="AugLoop_Text_Critique" int2:value="Rejected"/>
    </int2:textHash>
    <int2:textHash int2:hashCode="HqsGyrmV3+sytr" int2:id="9DdXyfuy">
      <int2:state int2:type="AugLoop_Text_Critique" int2:value="Rejected"/>
    </int2:textHash>
    <int2:textHash int2:hashCode="ZokvzpgNCWOr37" int2:id="ubkmcCr3">
      <int2:state int2:type="AugLoop_Text_Critique" int2:value="Rejected"/>
    </int2:textHash>
    <int2:textHash int2:hashCode="WfIjxQ004SCevg" int2:id="3NcHwYnW">
      <int2:state int2:type="AugLoop_Text_Critique" int2:value="Rejected"/>
    </int2:textHash>
    <int2:textHash int2:hashCode="wwP9oELIB3V8FD" int2:id="KwzUVkQm">
      <int2:state int2:type="AugLoop_Text_Critique" int2:value="Rejected"/>
    </int2:textHash>
    <int2:textHash int2:hashCode="CUsP4OMChUrxMR" int2:id="IBtgt60Z">
      <int2:state int2:type="AugLoop_Text_Critique" int2:value="Rejected"/>
    </int2:textHash>
    <int2:textHash int2:hashCode="Bqtg5PoT4obiBI" int2:id="4OzrerHc">
      <int2:state int2:type="AugLoop_Text_Critique" int2:value="Rejected"/>
    </int2:textHash>
    <int2:textHash int2:hashCode="Tx6k8J2yqq+wqS" int2:id="QDPVToYZ">
      <int2:state int2:type="AugLoop_Text_Critique" int2:value="Rejected"/>
    </int2:textHash>
    <int2:textHash int2:hashCode="Y5xI7iIW3lQCeS" int2:id="hVtZaS36">
      <int2:state int2:type="AugLoop_Text_Critique" int2:value="Rejected"/>
    </int2:textHash>
    <int2:textHash int2:hashCode="WI/wu1tqYFRUEk" int2:id="Gl912e8k">
      <int2:state int2:type="AugLoop_Text_Critique" int2:value="Rejected"/>
    </int2:textHash>
    <int2:textHash int2:hashCode="/l9TmO1mP2tNFo" int2:id="BzdeOU4d">
      <int2:state int2:type="AugLoop_Text_Critique" int2:value="Rejected"/>
    </int2:textHash>
    <int2:textHash int2:hashCode="Im85GGeZjuZg5i" int2:id="Pu8cz93T">
      <int2:state int2:type="AugLoop_Text_Critique" int2:value="Rejected"/>
    </int2:textHash>
    <int2:textHash int2:hashCode="PgJ3YgIvTp0+3P" int2:id="2arWybr5">
      <int2:state int2:type="AugLoop_Text_Critique" int2:value="Rejected"/>
    </int2:textHash>
    <int2:textHash int2:hashCode="QPk2V+gjZP2HLW" int2:id="xB5cAwVv">
      <int2:state int2:type="AugLoop_Text_Critique" int2:value="Rejected"/>
    </int2:textHash>
    <int2:textHash int2:hashCode="Qi4cmIrCHT2CAv" int2:id="SXi7hkuY">
      <int2:state int2:type="AugLoop_Text_Critique" int2:value="Rejected"/>
    </int2:textHash>
  </int2:observations>
  <int2:intelligenceSettings/>
</int2:intelligence>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EA7A13F"/>
    <w:multiLevelType w:val="hybridMultilevel"/>
    <w:tmpl w:val="D3865742"/>
    <w:lvl w:ilvl="0" w:tplc="EE98F8DC">
      <w:start w:val="1"/>
      <w:numFmt w:val="bullet"/>
      <w:lvlText w:val="·"/>
      <w:lvlJc w:val="left"/>
      <w:pPr>
        <w:ind w:left="720" w:hanging="360"/>
      </w:pPr>
      <w:rPr>
        <w:rFonts w:ascii="Symbol" w:hAnsi="Symbol" w:hint="default"/>
      </w:rPr>
    </w:lvl>
    <w:lvl w:ilvl="1" w:tplc="AC26B0DA">
      <w:start w:val="1"/>
      <w:numFmt w:val="bullet"/>
      <w:lvlText w:val="o"/>
      <w:lvlJc w:val="left"/>
      <w:pPr>
        <w:ind w:left="1440" w:hanging="360"/>
      </w:pPr>
      <w:rPr>
        <w:rFonts w:ascii="Courier New" w:hAnsi="Courier New" w:hint="default"/>
      </w:rPr>
    </w:lvl>
    <w:lvl w:ilvl="2" w:tplc="5184B024">
      <w:start w:val="1"/>
      <w:numFmt w:val="bullet"/>
      <w:lvlText w:val=""/>
      <w:lvlJc w:val="left"/>
      <w:pPr>
        <w:ind w:left="2160" w:hanging="360"/>
      </w:pPr>
      <w:rPr>
        <w:rFonts w:ascii="Wingdings" w:hAnsi="Wingdings" w:hint="default"/>
      </w:rPr>
    </w:lvl>
    <w:lvl w:ilvl="3" w:tplc="E34A095A">
      <w:start w:val="1"/>
      <w:numFmt w:val="bullet"/>
      <w:lvlText w:val=""/>
      <w:lvlJc w:val="left"/>
      <w:pPr>
        <w:ind w:left="2880" w:hanging="360"/>
      </w:pPr>
      <w:rPr>
        <w:rFonts w:ascii="Symbol" w:hAnsi="Symbol" w:hint="default"/>
      </w:rPr>
    </w:lvl>
    <w:lvl w:ilvl="4" w:tplc="037AA7AC">
      <w:start w:val="1"/>
      <w:numFmt w:val="bullet"/>
      <w:lvlText w:val="o"/>
      <w:lvlJc w:val="left"/>
      <w:pPr>
        <w:ind w:left="3600" w:hanging="360"/>
      </w:pPr>
      <w:rPr>
        <w:rFonts w:ascii="Courier New" w:hAnsi="Courier New" w:hint="default"/>
      </w:rPr>
    </w:lvl>
    <w:lvl w:ilvl="5" w:tplc="0E540918">
      <w:start w:val="1"/>
      <w:numFmt w:val="bullet"/>
      <w:lvlText w:val=""/>
      <w:lvlJc w:val="left"/>
      <w:pPr>
        <w:ind w:left="4320" w:hanging="360"/>
      </w:pPr>
      <w:rPr>
        <w:rFonts w:ascii="Wingdings" w:hAnsi="Wingdings" w:hint="default"/>
      </w:rPr>
    </w:lvl>
    <w:lvl w:ilvl="6" w:tplc="3BEC374A">
      <w:start w:val="1"/>
      <w:numFmt w:val="bullet"/>
      <w:lvlText w:val=""/>
      <w:lvlJc w:val="left"/>
      <w:pPr>
        <w:ind w:left="5040" w:hanging="360"/>
      </w:pPr>
      <w:rPr>
        <w:rFonts w:ascii="Symbol" w:hAnsi="Symbol" w:hint="default"/>
      </w:rPr>
    </w:lvl>
    <w:lvl w:ilvl="7" w:tplc="96885010">
      <w:start w:val="1"/>
      <w:numFmt w:val="bullet"/>
      <w:lvlText w:val="o"/>
      <w:lvlJc w:val="left"/>
      <w:pPr>
        <w:ind w:left="5760" w:hanging="360"/>
      </w:pPr>
      <w:rPr>
        <w:rFonts w:ascii="Courier New" w:hAnsi="Courier New" w:hint="default"/>
      </w:rPr>
    </w:lvl>
    <w:lvl w:ilvl="8" w:tplc="F9ACE6DA">
      <w:start w:val="1"/>
      <w:numFmt w:val="bullet"/>
      <w:lvlText w:val=""/>
      <w:lvlJc w:val="left"/>
      <w:pPr>
        <w:ind w:left="6480" w:hanging="360"/>
      </w:pPr>
      <w:rPr>
        <w:rFonts w:ascii="Wingdings" w:hAnsi="Wingdings" w:hint="default"/>
      </w:rPr>
    </w:lvl>
  </w:abstractNum>
  <w:abstractNum w:abstractNumId="1">
    <w:nsid w:val="0EC79A0D"/>
    <w:multiLevelType w:val="hybridMultilevel"/>
    <w:tmpl w:val="FCC6D3B8"/>
    <w:lvl w:ilvl="0" w:tplc="EC506308">
      <w:start w:val="1"/>
      <w:numFmt w:val="decimal"/>
      <w:lvlText w:val="%1."/>
      <w:lvlJc w:val="left"/>
      <w:pPr>
        <w:ind w:left="720" w:hanging="360"/>
      </w:pPr>
    </w:lvl>
    <w:lvl w:ilvl="1" w:tplc="90DEFCC6">
      <w:start w:val="1"/>
      <w:numFmt w:val="lowerLetter"/>
      <w:lvlText w:val="%2."/>
      <w:lvlJc w:val="left"/>
      <w:pPr>
        <w:ind w:left="1440" w:hanging="360"/>
      </w:pPr>
    </w:lvl>
    <w:lvl w:ilvl="2" w:tplc="E9C00CC4">
      <w:start w:val="1"/>
      <w:numFmt w:val="lowerRoman"/>
      <w:lvlText w:val="%3."/>
      <w:lvlJc w:val="right"/>
      <w:pPr>
        <w:ind w:left="2160" w:hanging="180"/>
      </w:pPr>
    </w:lvl>
    <w:lvl w:ilvl="3" w:tplc="1D521836">
      <w:start w:val="1"/>
      <w:numFmt w:val="decimal"/>
      <w:lvlText w:val="%4."/>
      <w:lvlJc w:val="left"/>
      <w:pPr>
        <w:ind w:left="2880" w:hanging="360"/>
      </w:pPr>
    </w:lvl>
    <w:lvl w:ilvl="4" w:tplc="19B6ACEE">
      <w:start w:val="1"/>
      <w:numFmt w:val="lowerLetter"/>
      <w:lvlText w:val="%5."/>
      <w:lvlJc w:val="left"/>
      <w:pPr>
        <w:ind w:left="3600" w:hanging="360"/>
      </w:pPr>
    </w:lvl>
    <w:lvl w:ilvl="5" w:tplc="B61E28C2">
      <w:start w:val="1"/>
      <w:numFmt w:val="lowerRoman"/>
      <w:lvlText w:val="%6."/>
      <w:lvlJc w:val="right"/>
      <w:pPr>
        <w:ind w:left="4320" w:hanging="180"/>
      </w:pPr>
    </w:lvl>
    <w:lvl w:ilvl="6" w:tplc="EB604F00">
      <w:start w:val="1"/>
      <w:numFmt w:val="decimal"/>
      <w:lvlText w:val="%7."/>
      <w:lvlJc w:val="left"/>
      <w:pPr>
        <w:ind w:left="5040" w:hanging="360"/>
      </w:pPr>
    </w:lvl>
    <w:lvl w:ilvl="7" w:tplc="352435A2">
      <w:start w:val="1"/>
      <w:numFmt w:val="lowerLetter"/>
      <w:lvlText w:val="%8."/>
      <w:lvlJc w:val="left"/>
      <w:pPr>
        <w:ind w:left="5760" w:hanging="360"/>
      </w:pPr>
    </w:lvl>
    <w:lvl w:ilvl="8" w:tplc="E3642FA0">
      <w:start w:val="1"/>
      <w:numFmt w:val="lowerRoman"/>
      <w:lvlText w:val="%9."/>
      <w:lvlJc w:val="right"/>
      <w:pPr>
        <w:ind w:left="6480" w:hanging="180"/>
      </w:pPr>
    </w:lvl>
  </w:abstractNum>
  <w:abstractNum w:abstractNumId="2">
    <w:nsid w:val="0FFE05CD"/>
    <w:multiLevelType w:val="hybridMultilevel"/>
    <w:tmpl w:val="901017F2"/>
    <w:lvl w:ilvl="0" w:tplc="14E27266">
      <w:start w:val="1"/>
      <w:numFmt w:val="bullet"/>
      <w:lvlText w:val=""/>
      <w:lvlJc w:val="left"/>
      <w:pPr>
        <w:ind w:left="1080" w:hanging="360"/>
      </w:pPr>
      <w:rPr>
        <w:rFonts w:ascii="Symbol" w:hAnsi="Symbol" w:hint="default"/>
      </w:rPr>
    </w:lvl>
    <w:lvl w:ilvl="1" w:tplc="36C8DE58">
      <w:start w:val="1"/>
      <w:numFmt w:val="bullet"/>
      <w:lvlText w:val="o"/>
      <w:lvlJc w:val="left"/>
      <w:pPr>
        <w:ind w:left="1800" w:hanging="360"/>
      </w:pPr>
      <w:rPr>
        <w:rFonts w:ascii="Courier New" w:hAnsi="Courier New" w:hint="default"/>
      </w:rPr>
    </w:lvl>
    <w:lvl w:ilvl="2" w:tplc="7D6E78D4">
      <w:start w:val="1"/>
      <w:numFmt w:val="bullet"/>
      <w:lvlText w:val=""/>
      <w:lvlJc w:val="left"/>
      <w:pPr>
        <w:ind w:left="2520" w:hanging="360"/>
      </w:pPr>
      <w:rPr>
        <w:rFonts w:ascii="Wingdings" w:hAnsi="Wingdings" w:hint="default"/>
      </w:rPr>
    </w:lvl>
    <w:lvl w:ilvl="3" w:tplc="D1625E0A">
      <w:start w:val="1"/>
      <w:numFmt w:val="bullet"/>
      <w:lvlText w:val=""/>
      <w:lvlJc w:val="left"/>
      <w:pPr>
        <w:ind w:left="3240" w:hanging="360"/>
      </w:pPr>
      <w:rPr>
        <w:rFonts w:ascii="Symbol" w:hAnsi="Symbol" w:hint="default"/>
      </w:rPr>
    </w:lvl>
    <w:lvl w:ilvl="4" w:tplc="225ED7EA">
      <w:start w:val="1"/>
      <w:numFmt w:val="bullet"/>
      <w:lvlText w:val="o"/>
      <w:lvlJc w:val="left"/>
      <w:pPr>
        <w:ind w:left="3960" w:hanging="360"/>
      </w:pPr>
      <w:rPr>
        <w:rFonts w:ascii="Courier New" w:hAnsi="Courier New" w:hint="default"/>
      </w:rPr>
    </w:lvl>
    <w:lvl w:ilvl="5" w:tplc="BA18AC1A">
      <w:start w:val="1"/>
      <w:numFmt w:val="bullet"/>
      <w:lvlText w:val=""/>
      <w:lvlJc w:val="left"/>
      <w:pPr>
        <w:ind w:left="4680" w:hanging="360"/>
      </w:pPr>
      <w:rPr>
        <w:rFonts w:ascii="Wingdings" w:hAnsi="Wingdings" w:hint="default"/>
      </w:rPr>
    </w:lvl>
    <w:lvl w:ilvl="6" w:tplc="DB7CC50E">
      <w:start w:val="1"/>
      <w:numFmt w:val="bullet"/>
      <w:lvlText w:val=""/>
      <w:lvlJc w:val="left"/>
      <w:pPr>
        <w:ind w:left="5400" w:hanging="360"/>
      </w:pPr>
      <w:rPr>
        <w:rFonts w:ascii="Symbol" w:hAnsi="Symbol" w:hint="default"/>
      </w:rPr>
    </w:lvl>
    <w:lvl w:ilvl="7" w:tplc="5936F8B0">
      <w:start w:val="1"/>
      <w:numFmt w:val="bullet"/>
      <w:lvlText w:val="o"/>
      <w:lvlJc w:val="left"/>
      <w:pPr>
        <w:ind w:left="6120" w:hanging="360"/>
      </w:pPr>
      <w:rPr>
        <w:rFonts w:ascii="Courier New" w:hAnsi="Courier New" w:hint="default"/>
      </w:rPr>
    </w:lvl>
    <w:lvl w:ilvl="8" w:tplc="23D4FDBA">
      <w:start w:val="1"/>
      <w:numFmt w:val="bullet"/>
      <w:lvlText w:val=""/>
      <w:lvlJc w:val="left"/>
      <w:pPr>
        <w:ind w:left="6840" w:hanging="360"/>
      </w:pPr>
      <w:rPr>
        <w:rFonts w:ascii="Wingdings" w:hAnsi="Wingdings" w:hint="default"/>
      </w:rPr>
    </w:lvl>
  </w:abstractNum>
  <w:abstractNum w:abstractNumId="3">
    <w:nsid w:val="10018048"/>
    <w:multiLevelType w:val="hybridMultilevel"/>
    <w:tmpl w:val="6B3AF0CE"/>
    <w:lvl w:ilvl="0" w:tplc="C388C578">
      <w:start w:val="1"/>
      <w:numFmt w:val="bullet"/>
      <w:lvlText w:val=""/>
      <w:lvlJc w:val="left"/>
      <w:pPr>
        <w:ind w:left="720" w:hanging="360"/>
      </w:pPr>
      <w:rPr>
        <w:rFonts w:ascii="Symbol" w:hAnsi="Symbol" w:hint="default"/>
      </w:rPr>
    </w:lvl>
    <w:lvl w:ilvl="1" w:tplc="061CD310">
      <w:start w:val="1"/>
      <w:numFmt w:val="bullet"/>
      <w:lvlText w:val="o"/>
      <w:lvlJc w:val="left"/>
      <w:pPr>
        <w:ind w:left="1440" w:hanging="360"/>
      </w:pPr>
      <w:rPr>
        <w:rFonts w:ascii="Courier New" w:hAnsi="Courier New" w:hint="default"/>
      </w:rPr>
    </w:lvl>
    <w:lvl w:ilvl="2" w:tplc="9024570A">
      <w:start w:val="1"/>
      <w:numFmt w:val="bullet"/>
      <w:lvlText w:val=""/>
      <w:lvlJc w:val="left"/>
      <w:pPr>
        <w:ind w:left="2160" w:hanging="360"/>
      </w:pPr>
      <w:rPr>
        <w:rFonts w:ascii="Wingdings" w:hAnsi="Wingdings" w:hint="default"/>
      </w:rPr>
    </w:lvl>
    <w:lvl w:ilvl="3" w:tplc="98AA2392">
      <w:start w:val="1"/>
      <w:numFmt w:val="bullet"/>
      <w:lvlText w:val=""/>
      <w:lvlJc w:val="left"/>
      <w:pPr>
        <w:ind w:left="2880" w:hanging="360"/>
      </w:pPr>
      <w:rPr>
        <w:rFonts w:ascii="Symbol" w:hAnsi="Symbol" w:hint="default"/>
      </w:rPr>
    </w:lvl>
    <w:lvl w:ilvl="4" w:tplc="1D360AA6">
      <w:start w:val="1"/>
      <w:numFmt w:val="bullet"/>
      <w:lvlText w:val="o"/>
      <w:lvlJc w:val="left"/>
      <w:pPr>
        <w:ind w:left="3600" w:hanging="360"/>
      </w:pPr>
      <w:rPr>
        <w:rFonts w:ascii="Courier New" w:hAnsi="Courier New" w:hint="default"/>
      </w:rPr>
    </w:lvl>
    <w:lvl w:ilvl="5" w:tplc="D6C8688C">
      <w:start w:val="1"/>
      <w:numFmt w:val="bullet"/>
      <w:lvlText w:val=""/>
      <w:lvlJc w:val="left"/>
      <w:pPr>
        <w:ind w:left="4320" w:hanging="360"/>
      </w:pPr>
      <w:rPr>
        <w:rFonts w:ascii="Wingdings" w:hAnsi="Wingdings" w:hint="default"/>
      </w:rPr>
    </w:lvl>
    <w:lvl w:ilvl="6" w:tplc="2B78E086">
      <w:start w:val="1"/>
      <w:numFmt w:val="bullet"/>
      <w:lvlText w:val=""/>
      <w:lvlJc w:val="left"/>
      <w:pPr>
        <w:ind w:left="5040" w:hanging="360"/>
      </w:pPr>
      <w:rPr>
        <w:rFonts w:ascii="Symbol" w:hAnsi="Symbol" w:hint="default"/>
      </w:rPr>
    </w:lvl>
    <w:lvl w:ilvl="7" w:tplc="2CF87E28">
      <w:start w:val="1"/>
      <w:numFmt w:val="bullet"/>
      <w:lvlText w:val="o"/>
      <w:lvlJc w:val="left"/>
      <w:pPr>
        <w:ind w:left="5760" w:hanging="360"/>
      </w:pPr>
      <w:rPr>
        <w:rFonts w:ascii="Courier New" w:hAnsi="Courier New" w:hint="default"/>
      </w:rPr>
    </w:lvl>
    <w:lvl w:ilvl="8" w:tplc="29AC26DC">
      <w:start w:val="1"/>
      <w:numFmt w:val="bullet"/>
      <w:lvlText w:val=""/>
      <w:lvlJc w:val="left"/>
      <w:pPr>
        <w:ind w:left="6480" w:hanging="360"/>
      </w:pPr>
      <w:rPr>
        <w:rFonts w:ascii="Wingdings" w:hAnsi="Wingdings" w:hint="default"/>
      </w:rPr>
    </w:lvl>
  </w:abstractNum>
  <w:abstractNum w:abstractNumId="4">
    <w:nsid w:val="1258F8E2"/>
    <w:multiLevelType w:val="hybridMultilevel"/>
    <w:tmpl w:val="47BA1A30"/>
    <w:lvl w:ilvl="0" w:tplc="11FE81FA">
      <w:start w:val="1"/>
      <w:numFmt w:val="decimal"/>
      <w:lvlText w:val="%1."/>
      <w:lvlJc w:val="left"/>
      <w:pPr>
        <w:ind w:left="720" w:hanging="360"/>
      </w:pPr>
    </w:lvl>
    <w:lvl w:ilvl="1" w:tplc="D60891AC">
      <w:start w:val="1"/>
      <w:numFmt w:val="lowerLetter"/>
      <w:lvlText w:val="%2."/>
      <w:lvlJc w:val="left"/>
      <w:pPr>
        <w:ind w:left="1440" w:hanging="360"/>
      </w:pPr>
    </w:lvl>
    <w:lvl w:ilvl="2" w:tplc="FB6E7188">
      <w:start w:val="1"/>
      <w:numFmt w:val="lowerRoman"/>
      <w:lvlText w:val="%3."/>
      <w:lvlJc w:val="right"/>
      <w:pPr>
        <w:ind w:left="2160" w:hanging="180"/>
      </w:pPr>
    </w:lvl>
    <w:lvl w:ilvl="3" w:tplc="E4A2D2A2">
      <w:start w:val="1"/>
      <w:numFmt w:val="decimal"/>
      <w:lvlText w:val="%4."/>
      <w:lvlJc w:val="left"/>
      <w:pPr>
        <w:ind w:left="2880" w:hanging="360"/>
      </w:pPr>
    </w:lvl>
    <w:lvl w:ilvl="4" w:tplc="25023338">
      <w:start w:val="1"/>
      <w:numFmt w:val="lowerLetter"/>
      <w:lvlText w:val="%5."/>
      <w:lvlJc w:val="left"/>
      <w:pPr>
        <w:ind w:left="3600" w:hanging="360"/>
      </w:pPr>
    </w:lvl>
    <w:lvl w:ilvl="5" w:tplc="68BA235A">
      <w:start w:val="1"/>
      <w:numFmt w:val="lowerRoman"/>
      <w:lvlText w:val="%6."/>
      <w:lvlJc w:val="right"/>
      <w:pPr>
        <w:ind w:left="4320" w:hanging="180"/>
      </w:pPr>
    </w:lvl>
    <w:lvl w:ilvl="6" w:tplc="A83EF662">
      <w:start w:val="1"/>
      <w:numFmt w:val="decimal"/>
      <w:lvlText w:val="%7."/>
      <w:lvlJc w:val="left"/>
      <w:pPr>
        <w:ind w:left="5040" w:hanging="360"/>
      </w:pPr>
    </w:lvl>
    <w:lvl w:ilvl="7" w:tplc="CAF6D084">
      <w:start w:val="1"/>
      <w:numFmt w:val="lowerLetter"/>
      <w:lvlText w:val="%8."/>
      <w:lvlJc w:val="left"/>
      <w:pPr>
        <w:ind w:left="5760" w:hanging="360"/>
      </w:pPr>
    </w:lvl>
    <w:lvl w:ilvl="8" w:tplc="0D40C00C">
      <w:start w:val="1"/>
      <w:numFmt w:val="lowerRoman"/>
      <w:lvlText w:val="%9."/>
      <w:lvlJc w:val="right"/>
      <w:pPr>
        <w:ind w:left="6480" w:hanging="180"/>
      </w:pPr>
    </w:lvl>
  </w:abstractNum>
  <w:abstractNum w:abstractNumId="5">
    <w:nsid w:val="14A257C8"/>
    <w:multiLevelType w:val="hybridMultilevel"/>
    <w:tmpl w:val="AFEA2146"/>
    <w:lvl w:ilvl="0" w:tplc="EB62AA28">
      <w:start w:val="1"/>
      <w:numFmt w:val="decimal"/>
      <w:lvlText w:val="%1."/>
      <w:lvlJc w:val="left"/>
      <w:pPr>
        <w:ind w:left="720" w:hanging="360"/>
      </w:pPr>
    </w:lvl>
    <w:lvl w:ilvl="1" w:tplc="75D02400">
      <w:start w:val="1"/>
      <w:numFmt w:val="lowerLetter"/>
      <w:lvlText w:val="%2."/>
      <w:lvlJc w:val="left"/>
      <w:pPr>
        <w:ind w:left="1440" w:hanging="360"/>
      </w:pPr>
    </w:lvl>
    <w:lvl w:ilvl="2" w:tplc="7D243182">
      <w:start w:val="1"/>
      <w:numFmt w:val="lowerRoman"/>
      <w:lvlText w:val="%3."/>
      <w:lvlJc w:val="right"/>
      <w:pPr>
        <w:ind w:left="2160" w:hanging="180"/>
      </w:pPr>
    </w:lvl>
    <w:lvl w:ilvl="3" w:tplc="9E3850A8">
      <w:start w:val="1"/>
      <w:numFmt w:val="decimal"/>
      <w:lvlText w:val="%4."/>
      <w:lvlJc w:val="left"/>
      <w:pPr>
        <w:ind w:left="2880" w:hanging="360"/>
      </w:pPr>
    </w:lvl>
    <w:lvl w:ilvl="4" w:tplc="B0289D28">
      <w:start w:val="1"/>
      <w:numFmt w:val="lowerLetter"/>
      <w:lvlText w:val="%5."/>
      <w:lvlJc w:val="left"/>
      <w:pPr>
        <w:ind w:left="3600" w:hanging="360"/>
      </w:pPr>
    </w:lvl>
    <w:lvl w:ilvl="5" w:tplc="A9327098">
      <w:start w:val="1"/>
      <w:numFmt w:val="lowerRoman"/>
      <w:lvlText w:val="%6."/>
      <w:lvlJc w:val="right"/>
      <w:pPr>
        <w:ind w:left="4320" w:hanging="180"/>
      </w:pPr>
    </w:lvl>
    <w:lvl w:ilvl="6" w:tplc="0526BF88">
      <w:start w:val="1"/>
      <w:numFmt w:val="decimal"/>
      <w:lvlText w:val="%7."/>
      <w:lvlJc w:val="left"/>
      <w:pPr>
        <w:ind w:left="5040" w:hanging="360"/>
      </w:pPr>
    </w:lvl>
    <w:lvl w:ilvl="7" w:tplc="734A4410">
      <w:start w:val="1"/>
      <w:numFmt w:val="lowerLetter"/>
      <w:lvlText w:val="%8."/>
      <w:lvlJc w:val="left"/>
      <w:pPr>
        <w:ind w:left="5760" w:hanging="360"/>
      </w:pPr>
    </w:lvl>
    <w:lvl w:ilvl="8" w:tplc="AE8A8A28">
      <w:start w:val="1"/>
      <w:numFmt w:val="lowerRoman"/>
      <w:lvlText w:val="%9."/>
      <w:lvlJc w:val="right"/>
      <w:pPr>
        <w:ind w:left="6480" w:hanging="180"/>
      </w:pPr>
    </w:lvl>
  </w:abstractNum>
  <w:abstractNum w:abstractNumId="6">
    <w:nsid w:val="14F0B11D"/>
    <w:multiLevelType w:val="hybridMultilevel"/>
    <w:tmpl w:val="2A42B10C"/>
    <w:lvl w:ilvl="0" w:tplc="A5F66D54">
      <w:start w:val="1"/>
      <w:numFmt w:val="bullet"/>
      <w:lvlText w:val=""/>
      <w:lvlJc w:val="left"/>
      <w:pPr>
        <w:ind w:left="1800" w:hanging="360"/>
      </w:pPr>
      <w:rPr>
        <w:rFonts w:ascii="Symbol" w:hAnsi="Symbol" w:hint="default"/>
      </w:rPr>
    </w:lvl>
    <w:lvl w:ilvl="1" w:tplc="A1BE91DA">
      <w:start w:val="1"/>
      <w:numFmt w:val="bullet"/>
      <w:lvlText w:val="o"/>
      <w:lvlJc w:val="left"/>
      <w:pPr>
        <w:ind w:left="2520" w:hanging="360"/>
      </w:pPr>
      <w:rPr>
        <w:rFonts w:ascii="Courier New" w:hAnsi="Courier New" w:hint="default"/>
      </w:rPr>
    </w:lvl>
    <w:lvl w:ilvl="2" w:tplc="0650A29A">
      <w:start w:val="1"/>
      <w:numFmt w:val="bullet"/>
      <w:lvlText w:val=""/>
      <w:lvlJc w:val="left"/>
      <w:pPr>
        <w:ind w:left="3240" w:hanging="360"/>
      </w:pPr>
      <w:rPr>
        <w:rFonts w:ascii="Wingdings" w:hAnsi="Wingdings" w:hint="default"/>
      </w:rPr>
    </w:lvl>
    <w:lvl w:ilvl="3" w:tplc="55F86208">
      <w:start w:val="1"/>
      <w:numFmt w:val="bullet"/>
      <w:lvlText w:val=""/>
      <w:lvlJc w:val="left"/>
      <w:pPr>
        <w:ind w:left="3960" w:hanging="360"/>
      </w:pPr>
      <w:rPr>
        <w:rFonts w:ascii="Symbol" w:hAnsi="Symbol" w:hint="default"/>
      </w:rPr>
    </w:lvl>
    <w:lvl w:ilvl="4" w:tplc="44840124">
      <w:start w:val="1"/>
      <w:numFmt w:val="bullet"/>
      <w:lvlText w:val="o"/>
      <w:lvlJc w:val="left"/>
      <w:pPr>
        <w:ind w:left="4680" w:hanging="360"/>
      </w:pPr>
      <w:rPr>
        <w:rFonts w:ascii="Courier New" w:hAnsi="Courier New" w:hint="default"/>
      </w:rPr>
    </w:lvl>
    <w:lvl w:ilvl="5" w:tplc="0A70E9C8">
      <w:start w:val="1"/>
      <w:numFmt w:val="bullet"/>
      <w:lvlText w:val=""/>
      <w:lvlJc w:val="left"/>
      <w:pPr>
        <w:ind w:left="5400" w:hanging="360"/>
      </w:pPr>
      <w:rPr>
        <w:rFonts w:ascii="Wingdings" w:hAnsi="Wingdings" w:hint="default"/>
      </w:rPr>
    </w:lvl>
    <w:lvl w:ilvl="6" w:tplc="1C3C9D82">
      <w:start w:val="1"/>
      <w:numFmt w:val="bullet"/>
      <w:lvlText w:val=""/>
      <w:lvlJc w:val="left"/>
      <w:pPr>
        <w:ind w:left="6120" w:hanging="360"/>
      </w:pPr>
      <w:rPr>
        <w:rFonts w:ascii="Symbol" w:hAnsi="Symbol" w:hint="default"/>
      </w:rPr>
    </w:lvl>
    <w:lvl w:ilvl="7" w:tplc="EE34C374">
      <w:start w:val="1"/>
      <w:numFmt w:val="bullet"/>
      <w:lvlText w:val="o"/>
      <w:lvlJc w:val="left"/>
      <w:pPr>
        <w:ind w:left="6840" w:hanging="360"/>
      </w:pPr>
      <w:rPr>
        <w:rFonts w:ascii="Courier New" w:hAnsi="Courier New" w:hint="default"/>
      </w:rPr>
    </w:lvl>
    <w:lvl w:ilvl="8" w:tplc="EE802246">
      <w:start w:val="1"/>
      <w:numFmt w:val="bullet"/>
      <w:lvlText w:val=""/>
      <w:lvlJc w:val="left"/>
      <w:pPr>
        <w:ind w:left="7560" w:hanging="360"/>
      </w:pPr>
      <w:rPr>
        <w:rFonts w:ascii="Wingdings" w:hAnsi="Wingdings" w:hint="default"/>
      </w:rPr>
    </w:lvl>
  </w:abstractNum>
  <w:abstractNum w:abstractNumId="7">
    <w:nsid w:val="14F32E4C"/>
    <w:multiLevelType w:val="hybridMultilevel"/>
    <w:tmpl w:val="21B2066A"/>
    <w:lvl w:ilvl="0" w:tplc="6918175C">
      <w:start w:val="1"/>
      <w:numFmt w:val="bullet"/>
      <w:lvlText w:val=""/>
      <w:lvlJc w:val="left"/>
      <w:pPr>
        <w:ind w:left="720" w:hanging="360"/>
      </w:pPr>
      <w:rPr>
        <w:rFonts w:ascii="Symbol" w:hAnsi="Symbol" w:hint="default"/>
      </w:rPr>
    </w:lvl>
    <w:lvl w:ilvl="1" w:tplc="826AA91C">
      <w:start w:val="1"/>
      <w:numFmt w:val="bullet"/>
      <w:lvlText w:val="o"/>
      <w:lvlJc w:val="left"/>
      <w:pPr>
        <w:ind w:left="1440" w:hanging="360"/>
      </w:pPr>
      <w:rPr>
        <w:rFonts w:ascii="Courier New" w:hAnsi="Courier New" w:hint="default"/>
      </w:rPr>
    </w:lvl>
    <w:lvl w:ilvl="2" w:tplc="35987B60">
      <w:start w:val="1"/>
      <w:numFmt w:val="bullet"/>
      <w:lvlText w:val=""/>
      <w:lvlJc w:val="left"/>
      <w:pPr>
        <w:ind w:left="2160" w:hanging="360"/>
      </w:pPr>
      <w:rPr>
        <w:rFonts w:ascii="Wingdings" w:hAnsi="Wingdings" w:hint="default"/>
      </w:rPr>
    </w:lvl>
    <w:lvl w:ilvl="3" w:tplc="B34AA42E">
      <w:start w:val="1"/>
      <w:numFmt w:val="bullet"/>
      <w:lvlText w:val=""/>
      <w:lvlJc w:val="left"/>
      <w:pPr>
        <w:ind w:left="2880" w:hanging="360"/>
      </w:pPr>
      <w:rPr>
        <w:rFonts w:ascii="Symbol" w:hAnsi="Symbol" w:hint="default"/>
      </w:rPr>
    </w:lvl>
    <w:lvl w:ilvl="4" w:tplc="E19A70C8">
      <w:start w:val="1"/>
      <w:numFmt w:val="bullet"/>
      <w:lvlText w:val="o"/>
      <w:lvlJc w:val="left"/>
      <w:pPr>
        <w:ind w:left="3600" w:hanging="360"/>
      </w:pPr>
      <w:rPr>
        <w:rFonts w:ascii="Courier New" w:hAnsi="Courier New" w:hint="default"/>
      </w:rPr>
    </w:lvl>
    <w:lvl w:ilvl="5" w:tplc="4B36B720">
      <w:start w:val="1"/>
      <w:numFmt w:val="bullet"/>
      <w:lvlText w:val=""/>
      <w:lvlJc w:val="left"/>
      <w:pPr>
        <w:ind w:left="4320" w:hanging="360"/>
      </w:pPr>
      <w:rPr>
        <w:rFonts w:ascii="Wingdings" w:hAnsi="Wingdings" w:hint="default"/>
      </w:rPr>
    </w:lvl>
    <w:lvl w:ilvl="6" w:tplc="C1242AF6">
      <w:start w:val="1"/>
      <w:numFmt w:val="bullet"/>
      <w:lvlText w:val=""/>
      <w:lvlJc w:val="left"/>
      <w:pPr>
        <w:ind w:left="5040" w:hanging="360"/>
      </w:pPr>
      <w:rPr>
        <w:rFonts w:ascii="Symbol" w:hAnsi="Symbol" w:hint="default"/>
      </w:rPr>
    </w:lvl>
    <w:lvl w:ilvl="7" w:tplc="8E387490">
      <w:start w:val="1"/>
      <w:numFmt w:val="bullet"/>
      <w:lvlText w:val="o"/>
      <w:lvlJc w:val="left"/>
      <w:pPr>
        <w:ind w:left="5760" w:hanging="360"/>
      </w:pPr>
      <w:rPr>
        <w:rFonts w:ascii="Courier New" w:hAnsi="Courier New" w:hint="default"/>
      </w:rPr>
    </w:lvl>
    <w:lvl w:ilvl="8" w:tplc="5DB09AFE">
      <w:start w:val="1"/>
      <w:numFmt w:val="bullet"/>
      <w:lvlText w:val=""/>
      <w:lvlJc w:val="left"/>
      <w:pPr>
        <w:ind w:left="6480" w:hanging="360"/>
      </w:pPr>
      <w:rPr>
        <w:rFonts w:ascii="Wingdings" w:hAnsi="Wingdings" w:hint="default"/>
      </w:rPr>
    </w:lvl>
  </w:abstractNum>
  <w:abstractNum w:abstractNumId="8">
    <w:nsid w:val="16E53F59"/>
    <w:multiLevelType w:val="hybridMultilevel"/>
    <w:tmpl w:val="25F455B8"/>
    <w:lvl w:ilvl="0" w:tplc="F7EE0BEA">
      <w:start w:val="1"/>
      <w:numFmt w:val="bullet"/>
      <w:lvlText w:val=""/>
      <w:lvlJc w:val="left"/>
      <w:pPr>
        <w:ind w:left="720" w:hanging="360"/>
      </w:pPr>
      <w:rPr>
        <w:rFonts w:ascii="Symbol" w:hAnsi="Symbol" w:hint="default"/>
      </w:rPr>
    </w:lvl>
    <w:lvl w:ilvl="1" w:tplc="4BE04EF4">
      <w:start w:val="1"/>
      <w:numFmt w:val="bullet"/>
      <w:lvlText w:val="o"/>
      <w:lvlJc w:val="left"/>
      <w:pPr>
        <w:ind w:left="1440" w:hanging="360"/>
      </w:pPr>
      <w:rPr>
        <w:rFonts w:ascii="Courier New" w:hAnsi="Courier New" w:hint="default"/>
      </w:rPr>
    </w:lvl>
    <w:lvl w:ilvl="2" w:tplc="5248EEAE">
      <w:start w:val="1"/>
      <w:numFmt w:val="bullet"/>
      <w:lvlText w:val=""/>
      <w:lvlJc w:val="left"/>
      <w:pPr>
        <w:ind w:left="2160" w:hanging="360"/>
      </w:pPr>
      <w:rPr>
        <w:rFonts w:ascii="Wingdings" w:hAnsi="Wingdings" w:hint="default"/>
      </w:rPr>
    </w:lvl>
    <w:lvl w:ilvl="3" w:tplc="49360FC0">
      <w:start w:val="1"/>
      <w:numFmt w:val="bullet"/>
      <w:lvlText w:val=""/>
      <w:lvlJc w:val="left"/>
      <w:pPr>
        <w:ind w:left="2880" w:hanging="360"/>
      </w:pPr>
      <w:rPr>
        <w:rFonts w:ascii="Symbol" w:hAnsi="Symbol" w:hint="default"/>
      </w:rPr>
    </w:lvl>
    <w:lvl w:ilvl="4" w:tplc="A44EE884">
      <w:start w:val="1"/>
      <w:numFmt w:val="bullet"/>
      <w:lvlText w:val="o"/>
      <w:lvlJc w:val="left"/>
      <w:pPr>
        <w:ind w:left="3600" w:hanging="360"/>
      </w:pPr>
      <w:rPr>
        <w:rFonts w:ascii="Courier New" w:hAnsi="Courier New" w:hint="default"/>
      </w:rPr>
    </w:lvl>
    <w:lvl w:ilvl="5" w:tplc="92E4ACEE">
      <w:start w:val="1"/>
      <w:numFmt w:val="bullet"/>
      <w:lvlText w:val=""/>
      <w:lvlJc w:val="left"/>
      <w:pPr>
        <w:ind w:left="4320" w:hanging="360"/>
      </w:pPr>
      <w:rPr>
        <w:rFonts w:ascii="Wingdings" w:hAnsi="Wingdings" w:hint="default"/>
      </w:rPr>
    </w:lvl>
    <w:lvl w:ilvl="6" w:tplc="9CF022A6">
      <w:start w:val="1"/>
      <w:numFmt w:val="bullet"/>
      <w:lvlText w:val=""/>
      <w:lvlJc w:val="left"/>
      <w:pPr>
        <w:ind w:left="5040" w:hanging="360"/>
      </w:pPr>
      <w:rPr>
        <w:rFonts w:ascii="Symbol" w:hAnsi="Symbol" w:hint="default"/>
      </w:rPr>
    </w:lvl>
    <w:lvl w:ilvl="7" w:tplc="8E082D10">
      <w:start w:val="1"/>
      <w:numFmt w:val="bullet"/>
      <w:lvlText w:val="o"/>
      <w:lvlJc w:val="left"/>
      <w:pPr>
        <w:ind w:left="5760" w:hanging="360"/>
      </w:pPr>
      <w:rPr>
        <w:rFonts w:ascii="Courier New" w:hAnsi="Courier New" w:hint="default"/>
      </w:rPr>
    </w:lvl>
    <w:lvl w:ilvl="8" w:tplc="3FE811D0">
      <w:start w:val="1"/>
      <w:numFmt w:val="bullet"/>
      <w:lvlText w:val=""/>
      <w:lvlJc w:val="left"/>
      <w:pPr>
        <w:ind w:left="6480" w:hanging="360"/>
      </w:pPr>
      <w:rPr>
        <w:rFonts w:ascii="Wingdings" w:hAnsi="Wingdings" w:hint="default"/>
      </w:rPr>
    </w:lvl>
  </w:abstractNum>
  <w:abstractNum w:abstractNumId="9">
    <w:nsid w:val="1D0A712F"/>
    <w:multiLevelType w:val="hybridMultilevel"/>
    <w:tmpl w:val="171E1DA8"/>
    <w:lvl w:ilvl="0" w:tplc="2A3A5D0A">
      <w:start w:val="1"/>
      <w:numFmt w:val="bullet"/>
      <w:lvlText w:val="·"/>
      <w:lvlJc w:val="left"/>
      <w:pPr>
        <w:ind w:left="720" w:hanging="360"/>
      </w:pPr>
      <w:rPr>
        <w:rFonts w:ascii="Symbol" w:hAnsi="Symbol" w:hint="default"/>
      </w:rPr>
    </w:lvl>
    <w:lvl w:ilvl="1" w:tplc="E7149D9C">
      <w:start w:val="1"/>
      <w:numFmt w:val="bullet"/>
      <w:lvlText w:val="o"/>
      <w:lvlJc w:val="left"/>
      <w:pPr>
        <w:ind w:left="1440" w:hanging="360"/>
      </w:pPr>
      <w:rPr>
        <w:rFonts w:ascii="Courier New" w:hAnsi="Courier New" w:hint="default"/>
      </w:rPr>
    </w:lvl>
    <w:lvl w:ilvl="2" w:tplc="01BC0A78">
      <w:start w:val="1"/>
      <w:numFmt w:val="bullet"/>
      <w:lvlText w:val=""/>
      <w:lvlJc w:val="left"/>
      <w:pPr>
        <w:ind w:left="2160" w:hanging="360"/>
      </w:pPr>
      <w:rPr>
        <w:rFonts w:ascii="Wingdings" w:hAnsi="Wingdings" w:hint="default"/>
      </w:rPr>
    </w:lvl>
    <w:lvl w:ilvl="3" w:tplc="E0A491D4">
      <w:start w:val="1"/>
      <w:numFmt w:val="bullet"/>
      <w:lvlText w:val=""/>
      <w:lvlJc w:val="left"/>
      <w:pPr>
        <w:ind w:left="2880" w:hanging="360"/>
      </w:pPr>
      <w:rPr>
        <w:rFonts w:ascii="Symbol" w:hAnsi="Symbol" w:hint="default"/>
      </w:rPr>
    </w:lvl>
    <w:lvl w:ilvl="4" w:tplc="D56C2E84">
      <w:start w:val="1"/>
      <w:numFmt w:val="bullet"/>
      <w:lvlText w:val="o"/>
      <w:lvlJc w:val="left"/>
      <w:pPr>
        <w:ind w:left="3600" w:hanging="360"/>
      </w:pPr>
      <w:rPr>
        <w:rFonts w:ascii="Courier New" w:hAnsi="Courier New" w:hint="default"/>
      </w:rPr>
    </w:lvl>
    <w:lvl w:ilvl="5" w:tplc="D84A39FC">
      <w:start w:val="1"/>
      <w:numFmt w:val="bullet"/>
      <w:lvlText w:val=""/>
      <w:lvlJc w:val="left"/>
      <w:pPr>
        <w:ind w:left="4320" w:hanging="360"/>
      </w:pPr>
      <w:rPr>
        <w:rFonts w:ascii="Wingdings" w:hAnsi="Wingdings" w:hint="default"/>
      </w:rPr>
    </w:lvl>
    <w:lvl w:ilvl="6" w:tplc="ED22CD3E">
      <w:start w:val="1"/>
      <w:numFmt w:val="bullet"/>
      <w:lvlText w:val=""/>
      <w:lvlJc w:val="left"/>
      <w:pPr>
        <w:ind w:left="5040" w:hanging="360"/>
      </w:pPr>
      <w:rPr>
        <w:rFonts w:ascii="Symbol" w:hAnsi="Symbol" w:hint="default"/>
      </w:rPr>
    </w:lvl>
    <w:lvl w:ilvl="7" w:tplc="5E507E04">
      <w:start w:val="1"/>
      <w:numFmt w:val="bullet"/>
      <w:lvlText w:val="o"/>
      <w:lvlJc w:val="left"/>
      <w:pPr>
        <w:ind w:left="5760" w:hanging="360"/>
      </w:pPr>
      <w:rPr>
        <w:rFonts w:ascii="Courier New" w:hAnsi="Courier New" w:hint="default"/>
      </w:rPr>
    </w:lvl>
    <w:lvl w:ilvl="8" w:tplc="EE3E7ACA">
      <w:start w:val="1"/>
      <w:numFmt w:val="bullet"/>
      <w:lvlText w:val=""/>
      <w:lvlJc w:val="left"/>
      <w:pPr>
        <w:ind w:left="6480" w:hanging="360"/>
      </w:pPr>
      <w:rPr>
        <w:rFonts w:ascii="Wingdings" w:hAnsi="Wingdings" w:hint="default"/>
      </w:rPr>
    </w:lvl>
  </w:abstractNum>
  <w:abstractNum w:abstractNumId="10">
    <w:nsid w:val="21EF7686"/>
    <w:multiLevelType w:val="hybridMultilevel"/>
    <w:tmpl w:val="8882688C"/>
    <w:lvl w:ilvl="0" w:tplc="2710FF28">
      <w:start w:val="1"/>
      <w:numFmt w:val="bullet"/>
      <w:lvlText w:val=""/>
      <w:lvlJc w:val="left"/>
      <w:pPr>
        <w:ind w:left="720" w:hanging="360"/>
      </w:pPr>
      <w:rPr>
        <w:rFonts w:ascii="Symbol" w:hAnsi="Symbol" w:hint="default"/>
      </w:rPr>
    </w:lvl>
    <w:lvl w:ilvl="1" w:tplc="543CFA9A">
      <w:start w:val="1"/>
      <w:numFmt w:val="bullet"/>
      <w:lvlText w:val="o"/>
      <w:lvlJc w:val="left"/>
      <w:pPr>
        <w:ind w:left="1440" w:hanging="360"/>
      </w:pPr>
      <w:rPr>
        <w:rFonts w:ascii="Courier New" w:hAnsi="Courier New" w:hint="default"/>
      </w:rPr>
    </w:lvl>
    <w:lvl w:ilvl="2" w:tplc="82BCD64C">
      <w:start w:val="1"/>
      <w:numFmt w:val="bullet"/>
      <w:lvlText w:val=""/>
      <w:lvlJc w:val="left"/>
      <w:pPr>
        <w:ind w:left="2160" w:hanging="360"/>
      </w:pPr>
      <w:rPr>
        <w:rFonts w:ascii="Wingdings" w:hAnsi="Wingdings" w:hint="default"/>
      </w:rPr>
    </w:lvl>
    <w:lvl w:ilvl="3" w:tplc="C736F8DC">
      <w:start w:val="1"/>
      <w:numFmt w:val="bullet"/>
      <w:lvlText w:val=""/>
      <w:lvlJc w:val="left"/>
      <w:pPr>
        <w:ind w:left="2880" w:hanging="360"/>
      </w:pPr>
      <w:rPr>
        <w:rFonts w:ascii="Symbol" w:hAnsi="Symbol" w:hint="default"/>
      </w:rPr>
    </w:lvl>
    <w:lvl w:ilvl="4" w:tplc="9FD09752">
      <w:start w:val="1"/>
      <w:numFmt w:val="bullet"/>
      <w:lvlText w:val="o"/>
      <w:lvlJc w:val="left"/>
      <w:pPr>
        <w:ind w:left="3600" w:hanging="360"/>
      </w:pPr>
      <w:rPr>
        <w:rFonts w:ascii="Courier New" w:hAnsi="Courier New" w:hint="default"/>
      </w:rPr>
    </w:lvl>
    <w:lvl w:ilvl="5" w:tplc="97E0F1C4">
      <w:start w:val="1"/>
      <w:numFmt w:val="bullet"/>
      <w:lvlText w:val=""/>
      <w:lvlJc w:val="left"/>
      <w:pPr>
        <w:ind w:left="4320" w:hanging="360"/>
      </w:pPr>
      <w:rPr>
        <w:rFonts w:ascii="Wingdings" w:hAnsi="Wingdings" w:hint="default"/>
      </w:rPr>
    </w:lvl>
    <w:lvl w:ilvl="6" w:tplc="AF0C0DEC">
      <w:start w:val="1"/>
      <w:numFmt w:val="bullet"/>
      <w:lvlText w:val=""/>
      <w:lvlJc w:val="left"/>
      <w:pPr>
        <w:ind w:left="5040" w:hanging="360"/>
      </w:pPr>
      <w:rPr>
        <w:rFonts w:ascii="Symbol" w:hAnsi="Symbol" w:hint="default"/>
      </w:rPr>
    </w:lvl>
    <w:lvl w:ilvl="7" w:tplc="976ECB6E">
      <w:start w:val="1"/>
      <w:numFmt w:val="bullet"/>
      <w:lvlText w:val="o"/>
      <w:lvlJc w:val="left"/>
      <w:pPr>
        <w:ind w:left="5760" w:hanging="360"/>
      </w:pPr>
      <w:rPr>
        <w:rFonts w:ascii="Courier New" w:hAnsi="Courier New" w:hint="default"/>
      </w:rPr>
    </w:lvl>
    <w:lvl w:ilvl="8" w:tplc="C032BE10">
      <w:start w:val="1"/>
      <w:numFmt w:val="bullet"/>
      <w:lvlText w:val=""/>
      <w:lvlJc w:val="left"/>
      <w:pPr>
        <w:ind w:left="6480" w:hanging="360"/>
      </w:pPr>
      <w:rPr>
        <w:rFonts w:ascii="Wingdings" w:hAnsi="Wingdings" w:hint="default"/>
      </w:rPr>
    </w:lvl>
  </w:abstractNum>
  <w:abstractNum w:abstractNumId="11">
    <w:nsid w:val="24B4DCE4"/>
    <w:multiLevelType w:val="hybridMultilevel"/>
    <w:tmpl w:val="51966F4A"/>
    <w:lvl w:ilvl="0" w:tplc="E5F8F556">
      <w:start w:val="1"/>
      <w:numFmt w:val="bullet"/>
      <w:lvlText w:val=""/>
      <w:lvlJc w:val="left"/>
      <w:pPr>
        <w:ind w:left="720" w:hanging="360"/>
      </w:pPr>
      <w:rPr>
        <w:rFonts w:ascii="Symbol" w:hAnsi="Symbol" w:hint="default"/>
      </w:rPr>
    </w:lvl>
    <w:lvl w:ilvl="1" w:tplc="8EE0A51A">
      <w:start w:val="1"/>
      <w:numFmt w:val="bullet"/>
      <w:lvlText w:val="o"/>
      <w:lvlJc w:val="left"/>
      <w:pPr>
        <w:ind w:left="1440" w:hanging="360"/>
      </w:pPr>
      <w:rPr>
        <w:rFonts w:ascii="Courier New" w:hAnsi="Courier New" w:hint="default"/>
      </w:rPr>
    </w:lvl>
    <w:lvl w:ilvl="2" w:tplc="70B68716">
      <w:start w:val="1"/>
      <w:numFmt w:val="bullet"/>
      <w:lvlText w:val=""/>
      <w:lvlJc w:val="left"/>
      <w:pPr>
        <w:ind w:left="2160" w:hanging="360"/>
      </w:pPr>
      <w:rPr>
        <w:rFonts w:ascii="Wingdings" w:hAnsi="Wingdings" w:hint="default"/>
      </w:rPr>
    </w:lvl>
    <w:lvl w:ilvl="3" w:tplc="D690F478">
      <w:start w:val="1"/>
      <w:numFmt w:val="bullet"/>
      <w:lvlText w:val=""/>
      <w:lvlJc w:val="left"/>
      <w:pPr>
        <w:ind w:left="2880" w:hanging="360"/>
      </w:pPr>
      <w:rPr>
        <w:rFonts w:ascii="Symbol" w:hAnsi="Symbol" w:hint="default"/>
      </w:rPr>
    </w:lvl>
    <w:lvl w:ilvl="4" w:tplc="260628CC">
      <w:start w:val="1"/>
      <w:numFmt w:val="bullet"/>
      <w:lvlText w:val="o"/>
      <w:lvlJc w:val="left"/>
      <w:pPr>
        <w:ind w:left="3600" w:hanging="360"/>
      </w:pPr>
      <w:rPr>
        <w:rFonts w:ascii="Courier New" w:hAnsi="Courier New" w:hint="default"/>
      </w:rPr>
    </w:lvl>
    <w:lvl w:ilvl="5" w:tplc="6526E3E0">
      <w:start w:val="1"/>
      <w:numFmt w:val="bullet"/>
      <w:lvlText w:val=""/>
      <w:lvlJc w:val="left"/>
      <w:pPr>
        <w:ind w:left="4320" w:hanging="360"/>
      </w:pPr>
      <w:rPr>
        <w:rFonts w:ascii="Wingdings" w:hAnsi="Wingdings" w:hint="default"/>
      </w:rPr>
    </w:lvl>
    <w:lvl w:ilvl="6" w:tplc="95765310">
      <w:start w:val="1"/>
      <w:numFmt w:val="bullet"/>
      <w:lvlText w:val=""/>
      <w:lvlJc w:val="left"/>
      <w:pPr>
        <w:ind w:left="5040" w:hanging="360"/>
      </w:pPr>
      <w:rPr>
        <w:rFonts w:ascii="Symbol" w:hAnsi="Symbol" w:hint="default"/>
      </w:rPr>
    </w:lvl>
    <w:lvl w:ilvl="7" w:tplc="24844F14">
      <w:start w:val="1"/>
      <w:numFmt w:val="bullet"/>
      <w:lvlText w:val="o"/>
      <w:lvlJc w:val="left"/>
      <w:pPr>
        <w:ind w:left="5760" w:hanging="360"/>
      </w:pPr>
      <w:rPr>
        <w:rFonts w:ascii="Courier New" w:hAnsi="Courier New" w:hint="default"/>
      </w:rPr>
    </w:lvl>
    <w:lvl w:ilvl="8" w:tplc="0F28BA1A">
      <w:start w:val="1"/>
      <w:numFmt w:val="bullet"/>
      <w:lvlText w:val=""/>
      <w:lvlJc w:val="left"/>
      <w:pPr>
        <w:ind w:left="6480" w:hanging="360"/>
      </w:pPr>
      <w:rPr>
        <w:rFonts w:ascii="Wingdings" w:hAnsi="Wingdings" w:hint="default"/>
      </w:rPr>
    </w:lvl>
  </w:abstractNum>
  <w:abstractNum w:abstractNumId="12">
    <w:nsid w:val="24F102ED"/>
    <w:multiLevelType w:val="hybridMultilevel"/>
    <w:tmpl w:val="F3C2EF02"/>
    <w:lvl w:ilvl="0" w:tplc="C94E2D36">
      <w:start w:val="1"/>
      <w:numFmt w:val="decimal"/>
      <w:lvlText w:val="%1."/>
      <w:lvlJc w:val="left"/>
      <w:pPr>
        <w:ind w:left="720" w:hanging="360"/>
      </w:pPr>
    </w:lvl>
    <w:lvl w:ilvl="1" w:tplc="B5CE5220">
      <w:start w:val="1"/>
      <w:numFmt w:val="lowerLetter"/>
      <w:lvlText w:val="%2."/>
      <w:lvlJc w:val="left"/>
      <w:pPr>
        <w:ind w:left="1440" w:hanging="360"/>
      </w:pPr>
    </w:lvl>
    <w:lvl w:ilvl="2" w:tplc="1C10F88E">
      <w:start w:val="1"/>
      <w:numFmt w:val="lowerRoman"/>
      <w:lvlText w:val="%3."/>
      <w:lvlJc w:val="right"/>
      <w:pPr>
        <w:ind w:left="2160" w:hanging="180"/>
      </w:pPr>
    </w:lvl>
    <w:lvl w:ilvl="3" w:tplc="E126343E">
      <w:start w:val="1"/>
      <w:numFmt w:val="decimal"/>
      <w:lvlText w:val="%4."/>
      <w:lvlJc w:val="left"/>
      <w:pPr>
        <w:ind w:left="2880" w:hanging="360"/>
      </w:pPr>
    </w:lvl>
    <w:lvl w:ilvl="4" w:tplc="9496D080">
      <w:start w:val="1"/>
      <w:numFmt w:val="lowerLetter"/>
      <w:lvlText w:val="%5."/>
      <w:lvlJc w:val="left"/>
      <w:pPr>
        <w:ind w:left="3600" w:hanging="360"/>
      </w:pPr>
    </w:lvl>
    <w:lvl w:ilvl="5" w:tplc="73F4C85A">
      <w:start w:val="1"/>
      <w:numFmt w:val="lowerRoman"/>
      <w:lvlText w:val="%6."/>
      <w:lvlJc w:val="right"/>
      <w:pPr>
        <w:ind w:left="4320" w:hanging="180"/>
      </w:pPr>
    </w:lvl>
    <w:lvl w:ilvl="6" w:tplc="D520EE46">
      <w:start w:val="1"/>
      <w:numFmt w:val="decimal"/>
      <w:lvlText w:val="%7."/>
      <w:lvlJc w:val="left"/>
      <w:pPr>
        <w:ind w:left="5040" w:hanging="360"/>
      </w:pPr>
    </w:lvl>
    <w:lvl w:ilvl="7" w:tplc="904052F4">
      <w:start w:val="1"/>
      <w:numFmt w:val="lowerLetter"/>
      <w:lvlText w:val="%8."/>
      <w:lvlJc w:val="left"/>
      <w:pPr>
        <w:ind w:left="5760" w:hanging="360"/>
      </w:pPr>
    </w:lvl>
    <w:lvl w:ilvl="8" w:tplc="F23C737E">
      <w:start w:val="1"/>
      <w:numFmt w:val="lowerRoman"/>
      <w:lvlText w:val="%9."/>
      <w:lvlJc w:val="right"/>
      <w:pPr>
        <w:ind w:left="6480" w:hanging="180"/>
      </w:pPr>
    </w:lvl>
  </w:abstractNum>
  <w:abstractNum w:abstractNumId="13">
    <w:nsid w:val="251F7604"/>
    <w:multiLevelType w:val="hybridMultilevel"/>
    <w:tmpl w:val="2F785D96"/>
    <w:lvl w:ilvl="0" w:tplc="AADA151E">
      <w:start w:val="1"/>
      <w:numFmt w:val="decimal"/>
      <w:lvlText w:val="%1."/>
      <w:lvlJc w:val="left"/>
      <w:pPr>
        <w:ind w:left="720" w:hanging="360"/>
      </w:pPr>
    </w:lvl>
    <w:lvl w:ilvl="1" w:tplc="6B3EA188">
      <w:start w:val="1"/>
      <w:numFmt w:val="lowerLetter"/>
      <w:lvlText w:val="%2."/>
      <w:lvlJc w:val="left"/>
      <w:pPr>
        <w:ind w:left="1440" w:hanging="360"/>
      </w:pPr>
    </w:lvl>
    <w:lvl w:ilvl="2" w:tplc="896A294A">
      <w:start w:val="1"/>
      <w:numFmt w:val="lowerRoman"/>
      <w:lvlText w:val="%3."/>
      <w:lvlJc w:val="right"/>
      <w:pPr>
        <w:ind w:left="2160" w:hanging="180"/>
      </w:pPr>
    </w:lvl>
    <w:lvl w:ilvl="3" w:tplc="44829D4A">
      <w:start w:val="1"/>
      <w:numFmt w:val="decimal"/>
      <w:lvlText w:val="%4."/>
      <w:lvlJc w:val="left"/>
      <w:pPr>
        <w:ind w:left="2880" w:hanging="360"/>
      </w:pPr>
    </w:lvl>
    <w:lvl w:ilvl="4" w:tplc="9A9243DE">
      <w:start w:val="1"/>
      <w:numFmt w:val="lowerLetter"/>
      <w:lvlText w:val="%5."/>
      <w:lvlJc w:val="left"/>
      <w:pPr>
        <w:ind w:left="3600" w:hanging="360"/>
      </w:pPr>
    </w:lvl>
    <w:lvl w:ilvl="5" w:tplc="F0BAADF0">
      <w:start w:val="1"/>
      <w:numFmt w:val="lowerRoman"/>
      <w:lvlText w:val="%6."/>
      <w:lvlJc w:val="right"/>
      <w:pPr>
        <w:ind w:left="4320" w:hanging="180"/>
      </w:pPr>
    </w:lvl>
    <w:lvl w:ilvl="6" w:tplc="58704D9A">
      <w:start w:val="1"/>
      <w:numFmt w:val="decimal"/>
      <w:lvlText w:val="%7."/>
      <w:lvlJc w:val="left"/>
      <w:pPr>
        <w:ind w:left="5040" w:hanging="360"/>
      </w:pPr>
    </w:lvl>
    <w:lvl w:ilvl="7" w:tplc="81E46936">
      <w:start w:val="1"/>
      <w:numFmt w:val="lowerLetter"/>
      <w:lvlText w:val="%8."/>
      <w:lvlJc w:val="left"/>
      <w:pPr>
        <w:ind w:left="5760" w:hanging="360"/>
      </w:pPr>
    </w:lvl>
    <w:lvl w:ilvl="8" w:tplc="97C27B12">
      <w:start w:val="1"/>
      <w:numFmt w:val="lowerRoman"/>
      <w:lvlText w:val="%9."/>
      <w:lvlJc w:val="right"/>
      <w:pPr>
        <w:ind w:left="6480" w:hanging="180"/>
      </w:pPr>
    </w:lvl>
  </w:abstractNum>
  <w:abstractNum w:abstractNumId="14">
    <w:nsid w:val="27D7B0C4"/>
    <w:multiLevelType w:val="hybridMultilevel"/>
    <w:tmpl w:val="11D4648A"/>
    <w:lvl w:ilvl="0" w:tplc="7182EC7A">
      <w:start w:val="1"/>
      <w:numFmt w:val="bullet"/>
      <w:lvlText w:val=""/>
      <w:lvlJc w:val="left"/>
      <w:pPr>
        <w:ind w:left="720" w:hanging="360"/>
      </w:pPr>
      <w:rPr>
        <w:rFonts w:ascii="Symbol" w:hAnsi="Symbol" w:hint="default"/>
      </w:rPr>
    </w:lvl>
    <w:lvl w:ilvl="1" w:tplc="B18E3286">
      <w:start w:val="1"/>
      <w:numFmt w:val="bullet"/>
      <w:lvlText w:val="o"/>
      <w:lvlJc w:val="left"/>
      <w:pPr>
        <w:ind w:left="1440" w:hanging="360"/>
      </w:pPr>
      <w:rPr>
        <w:rFonts w:ascii="Courier New" w:hAnsi="Courier New" w:hint="default"/>
      </w:rPr>
    </w:lvl>
    <w:lvl w:ilvl="2" w:tplc="A0DEE11E">
      <w:start w:val="1"/>
      <w:numFmt w:val="bullet"/>
      <w:lvlText w:val=""/>
      <w:lvlJc w:val="left"/>
      <w:pPr>
        <w:ind w:left="2160" w:hanging="360"/>
      </w:pPr>
      <w:rPr>
        <w:rFonts w:ascii="Wingdings" w:hAnsi="Wingdings" w:hint="default"/>
      </w:rPr>
    </w:lvl>
    <w:lvl w:ilvl="3" w:tplc="DA9406AC">
      <w:start w:val="1"/>
      <w:numFmt w:val="bullet"/>
      <w:lvlText w:val=""/>
      <w:lvlJc w:val="left"/>
      <w:pPr>
        <w:ind w:left="2880" w:hanging="360"/>
      </w:pPr>
      <w:rPr>
        <w:rFonts w:ascii="Symbol" w:hAnsi="Symbol" w:hint="default"/>
      </w:rPr>
    </w:lvl>
    <w:lvl w:ilvl="4" w:tplc="6630A58E">
      <w:start w:val="1"/>
      <w:numFmt w:val="bullet"/>
      <w:lvlText w:val="o"/>
      <w:lvlJc w:val="left"/>
      <w:pPr>
        <w:ind w:left="3600" w:hanging="360"/>
      </w:pPr>
      <w:rPr>
        <w:rFonts w:ascii="Courier New" w:hAnsi="Courier New" w:hint="default"/>
      </w:rPr>
    </w:lvl>
    <w:lvl w:ilvl="5" w:tplc="DB305C8E">
      <w:start w:val="1"/>
      <w:numFmt w:val="bullet"/>
      <w:lvlText w:val=""/>
      <w:lvlJc w:val="left"/>
      <w:pPr>
        <w:ind w:left="4320" w:hanging="360"/>
      </w:pPr>
      <w:rPr>
        <w:rFonts w:ascii="Wingdings" w:hAnsi="Wingdings" w:hint="default"/>
      </w:rPr>
    </w:lvl>
    <w:lvl w:ilvl="6" w:tplc="322E82F8">
      <w:start w:val="1"/>
      <w:numFmt w:val="bullet"/>
      <w:lvlText w:val=""/>
      <w:lvlJc w:val="left"/>
      <w:pPr>
        <w:ind w:left="5040" w:hanging="360"/>
      </w:pPr>
      <w:rPr>
        <w:rFonts w:ascii="Symbol" w:hAnsi="Symbol" w:hint="default"/>
      </w:rPr>
    </w:lvl>
    <w:lvl w:ilvl="7" w:tplc="D034DE04">
      <w:start w:val="1"/>
      <w:numFmt w:val="bullet"/>
      <w:lvlText w:val="o"/>
      <w:lvlJc w:val="left"/>
      <w:pPr>
        <w:ind w:left="5760" w:hanging="360"/>
      </w:pPr>
      <w:rPr>
        <w:rFonts w:ascii="Courier New" w:hAnsi="Courier New" w:hint="default"/>
      </w:rPr>
    </w:lvl>
    <w:lvl w:ilvl="8" w:tplc="0186BB10">
      <w:start w:val="1"/>
      <w:numFmt w:val="bullet"/>
      <w:lvlText w:val=""/>
      <w:lvlJc w:val="left"/>
      <w:pPr>
        <w:ind w:left="6480" w:hanging="360"/>
      </w:pPr>
      <w:rPr>
        <w:rFonts w:ascii="Wingdings" w:hAnsi="Wingdings" w:hint="default"/>
      </w:rPr>
    </w:lvl>
  </w:abstractNum>
  <w:abstractNum w:abstractNumId="15">
    <w:nsid w:val="32000DF9"/>
    <w:multiLevelType w:val="hybridMultilevel"/>
    <w:tmpl w:val="AD762836"/>
    <w:lvl w:ilvl="0" w:tplc="1FE2617E">
      <w:start w:val="1"/>
      <w:numFmt w:val="bullet"/>
      <w:lvlText w:val="·"/>
      <w:lvlJc w:val="left"/>
      <w:pPr>
        <w:ind w:left="720" w:hanging="360"/>
      </w:pPr>
      <w:rPr>
        <w:rFonts w:ascii="Symbol" w:hAnsi="Symbol" w:hint="default"/>
      </w:rPr>
    </w:lvl>
    <w:lvl w:ilvl="1" w:tplc="ABC662A0">
      <w:start w:val="1"/>
      <w:numFmt w:val="bullet"/>
      <w:lvlText w:val="o"/>
      <w:lvlJc w:val="left"/>
      <w:pPr>
        <w:ind w:left="1440" w:hanging="360"/>
      </w:pPr>
      <w:rPr>
        <w:rFonts w:ascii="Courier New" w:hAnsi="Courier New" w:hint="default"/>
      </w:rPr>
    </w:lvl>
    <w:lvl w:ilvl="2" w:tplc="F426DB66">
      <w:start w:val="1"/>
      <w:numFmt w:val="bullet"/>
      <w:lvlText w:val=""/>
      <w:lvlJc w:val="left"/>
      <w:pPr>
        <w:ind w:left="2160" w:hanging="360"/>
      </w:pPr>
      <w:rPr>
        <w:rFonts w:ascii="Wingdings" w:hAnsi="Wingdings" w:hint="default"/>
      </w:rPr>
    </w:lvl>
    <w:lvl w:ilvl="3" w:tplc="6EB8F3C2">
      <w:start w:val="1"/>
      <w:numFmt w:val="bullet"/>
      <w:lvlText w:val=""/>
      <w:lvlJc w:val="left"/>
      <w:pPr>
        <w:ind w:left="2880" w:hanging="360"/>
      </w:pPr>
      <w:rPr>
        <w:rFonts w:ascii="Symbol" w:hAnsi="Symbol" w:hint="default"/>
      </w:rPr>
    </w:lvl>
    <w:lvl w:ilvl="4" w:tplc="1F42A24C">
      <w:start w:val="1"/>
      <w:numFmt w:val="bullet"/>
      <w:lvlText w:val="o"/>
      <w:lvlJc w:val="left"/>
      <w:pPr>
        <w:ind w:left="3600" w:hanging="360"/>
      </w:pPr>
      <w:rPr>
        <w:rFonts w:ascii="Courier New" w:hAnsi="Courier New" w:hint="default"/>
      </w:rPr>
    </w:lvl>
    <w:lvl w:ilvl="5" w:tplc="CBFE69BE">
      <w:start w:val="1"/>
      <w:numFmt w:val="bullet"/>
      <w:lvlText w:val=""/>
      <w:lvlJc w:val="left"/>
      <w:pPr>
        <w:ind w:left="4320" w:hanging="360"/>
      </w:pPr>
      <w:rPr>
        <w:rFonts w:ascii="Wingdings" w:hAnsi="Wingdings" w:hint="default"/>
      </w:rPr>
    </w:lvl>
    <w:lvl w:ilvl="6" w:tplc="32B6C2D8">
      <w:start w:val="1"/>
      <w:numFmt w:val="bullet"/>
      <w:lvlText w:val=""/>
      <w:lvlJc w:val="left"/>
      <w:pPr>
        <w:ind w:left="5040" w:hanging="360"/>
      </w:pPr>
      <w:rPr>
        <w:rFonts w:ascii="Symbol" w:hAnsi="Symbol" w:hint="default"/>
      </w:rPr>
    </w:lvl>
    <w:lvl w:ilvl="7" w:tplc="92682A4A">
      <w:start w:val="1"/>
      <w:numFmt w:val="bullet"/>
      <w:lvlText w:val="o"/>
      <w:lvlJc w:val="left"/>
      <w:pPr>
        <w:ind w:left="5760" w:hanging="360"/>
      </w:pPr>
      <w:rPr>
        <w:rFonts w:ascii="Courier New" w:hAnsi="Courier New" w:hint="default"/>
      </w:rPr>
    </w:lvl>
    <w:lvl w:ilvl="8" w:tplc="C23CFEF2">
      <w:start w:val="1"/>
      <w:numFmt w:val="bullet"/>
      <w:lvlText w:val=""/>
      <w:lvlJc w:val="left"/>
      <w:pPr>
        <w:ind w:left="6480" w:hanging="360"/>
      </w:pPr>
      <w:rPr>
        <w:rFonts w:ascii="Wingdings" w:hAnsi="Wingdings" w:hint="default"/>
      </w:rPr>
    </w:lvl>
  </w:abstractNum>
  <w:abstractNum w:abstractNumId="16">
    <w:nsid w:val="363B0BB9"/>
    <w:multiLevelType w:val="hybridMultilevel"/>
    <w:tmpl w:val="689813CE"/>
    <w:lvl w:ilvl="0" w:tplc="31B07A6A">
      <w:start w:val="1"/>
      <w:numFmt w:val="bullet"/>
      <w:lvlText w:val=""/>
      <w:lvlJc w:val="left"/>
      <w:pPr>
        <w:ind w:left="1080" w:hanging="360"/>
      </w:pPr>
      <w:rPr>
        <w:rFonts w:ascii="Symbol" w:hAnsi="Symbol" w:hint="default"/>
      </w:rPr>
    </w:lvl>
    <w:lvl w:ilvl="1" w:tplc="C014695E">
      <w:start w:val="1"/>
      <w:numFmt w:val="bullet"/>
      <w:lvlText w:val="o"/>
      <w:lvlJc w:val="left"/>
      <w:pPr>
        <w:ind w:left="1800" w:hanging="360"/>
      </w:pPr>
      <w:rPr>
        <w:rFonts w:ascii="Courier New" w:hAnsi="Courier New" w:hint="default"/>
      </w:rPr>
    </w:lvl>
    <w:lvl w:ilvl="2" w:tplc="D0562790">
      <w:start w:val="1"/>
      <w:numFmt w:val="bullet"/>
      <w:lvlText w:val=""/>
      <w:lvlJc w:val="left"/>
      <w:pPr>
        <w:ind w:left="2520" w:hanging="360"/>
      </w:pPr>
      <w:rPr>
        <w:rFonts w:ascii="Wingdings" w:hAnsi="Wingdings" w:hint="default"/>
      </w:rPr>
    </w:lvl>
    <w:lvl w:ilvl="3" w:tplc="46B058BE">
      <w:start w:val="1"/>
      <w:numFmt w:val="bullet"/>
      <w:lvlText w:val=""/>
      <w:lvlJc w:val="left"/>
      <w:pPr>
        <w:ind w:left="3240" w:hanging="360"/>
      </w:pPr>
      <w:rPr>
        <w:rFonts w:ascii="Symbol" w:hAnsi="Symbol" w:hint="default"/>
      </w:rPr>
    </w:lvl>
    <w:lvl w:ilvl="4" w:tplc="0B18EA6A">
      <w:start w:val="1"/>
      <w:numFmt w:val="bullet"/>
      <w:lvlText w:val="o"/>
      <w:lvlJc w:val="left"/>
      <w:pPr>
        <w:ind w:left="3960" w:hanging="360"/>
      </w:pPr>
      <w:rPr>
        <w:rFonts w:ascii="Courier New" w:hAnsi="Courier New" w:hint="default"/>
      </w:rPr>
    </w:lvl>
    <w:lvl w:ilvl="5" w:tplc="67FA4FE4">
      <w:start w:val="1"/>
      <w:numFmt w:val="bullet"/>
      <w:lvlText w:val=""/>
      <w:lvlJc w:val="left"/>
      <w:pPr>
        <w:ind w:left="4680" w:hanging="360"/>
      </w:pPr>
      <w:rPr>
        <w:rFonts w:ascii="Wingdings" w:hAnsi="Wingdings" w:hint="default"/>
      </w:rPr>
    </w:lvl>
    <w:lvl w:ilvl="6" w:tplc="3648B602">
      <w:start w:val="1"/>
      <w:numFmt w:val="bullet"/>
      <w:lvlText w:val=""/>
      <w:lvlJc w:val="left"/>
      <w:pPr>
        <w:ind w:left="5400" w:hanging="360"/>
      </w:pPr>
      <w:rPr>
        <w:rFonts w:ascii="Symbol" w:hAnsi="Symbol" w:hint="default"/>
      </w:rPr>
    </w:lvl>
    <w:lvl w:ilvl="7" w:tplc="EDB49D78">
      <w:start w:val="1"/>
      <w:numFmt w:val="bullet"/>
      <w:lvlText w:val="o"/>
      <w:lvlJc w:val="left"/>
      <w:pPr>
        <w:ind w:left="6120" w:hanging="360"/>
      </w:pPr>
      <w:rPr>
        <w:rFonts w:ascii="Courier New" w:hAnsi="Courier New" w:hint="default"/>
      </w:rPr>
    </w:lvl>
    <w:lvl w:ilvl="8" w:tplc="76B6892A">
      <w:start w:val="1"/>
      <w:numFmt w:val="bullet"/>
      <w:lvlText w:val=""/>
      <w:lvlJc w:val="left"/>
      <w:pPr>
        <w:ind w:left="6840" w:hanging="360"/>
      </w:pPr>
      <w:rPr>
        <w:rFonts w:ascii="Wingdings" w:hAnsi="Wingdings" w:hint="default"/>
      </w:rPr>
    </w:lvl>
  </w:abstractNum>
  <w:abstractNum w:abstractNumId="17">
    <w:nsid w:val="3992D965"/>
    <w:multiLevelType w:val="hybridMultilevel"/>
    <w:tmpl w:val="7F2E6B0C"/>
    <w:lvl w:ilvl="0" w:tplc="2E5C0B74">
      <w:start w:val="1"/>
      <w:numFmt w:val="decimal"/>
      <w:lvlText w:val="%1."/>
      <w:lvlJc w:val="left"/>
      <w:pPr>
        <w:ind w:left="720" w:hanging="360"/>
      </w:pPr>
    </w:lvl>
    <w:lvl w:ilvl="1" w:tplc="9D9A8C5E">
      <w:start w:val="1"/>
      <w:numFmt w:val="lowerLetter"/>
      <w:lvlText w:val="%2."/>
      <w:lvlJc w:val="left"/>
      <w:pPr>
        <w:ind w:left="1440" w:hanging="360"/>
      </w:pPr>
    </w:lvl>
    <w:lvl w:ilvl="2" w:tplc="9A6A3DC8">
      <w:start w:val="1"/>
      <w:numFmt w:val="lowerRoman"/>
      <w:lvlText w:val="%3."/>
      <w:lvlJc w:val="right"/>
      <w:pPr>
        <w:ind w:left="2160" w:hanging="180"/>
      </w:pPr>
    </w:lvl>
    <w:lvl w:ilvl="3" w:tplc="73EC914C">
      <w:start w:val="1"/>
      <w:numFmt w:val="decimal"/>
      <w:lvlText w:val="%4."/>
      <w:lvlJc w:val="left"/>
      <w:pPr>
        <w:ind w:left="2880" w:hanging="360"/>
      </w:pPr>
    </w:lvl>
    <w:lvl w:ilvl="4" w:tplc="840C4886">
      <w:start w:val="1"/>
      <w:numFmt w:val="lowerLetter"/>
      <w:lvlText w:val="%5."/>
      <w:lvlJc w:val="left"/>
      <w:pPr>
        <w:ind w:left="3600" w:hanging="360"/>
      </w:pPr>
    </w:lvl>
    <w:lvl w:ilvl="5" w:tplc="8DD465F2">
      <w:start w:val="1"/>
      <w:numFmt w:val="lowerRoman"/>
      <w:lvlText w:val="%6."/>
      <w:lvlJc w:val="right"/>
      <w:pPr>
        <w:ind w:left="4320" w:hanging="180"/>
      </w:pPr>
    </w:lvl>
    <w:lvl w:ilvl="6" w:tplc="88B0662E">
      <w:start w:val="1"/>
      <w:numFmt w:val="decimal"/>
      <w:lvlText w:val="%7."/>
      <w:lvlJc w:val="left"/>
      <w:pPr>
        <w:ind w:left="5040" w:hanging="360"/>
      </w:pPr>
    </w:lvl>
    <w:lvl w:ilvl="7" w:tplc="4C34B3F0">
      <w:start w:val="1"/>
      <w:numFmt w:val="lowerLetter"/>
      <w:lvlText w:val="%8."/>
      <w:lvlJc w:val="left"/>
      <w:pPr>
        <w:ind w:left="5760" w:hanging="360"/>
      </w:pPr>
    </w:lvl>
    <w:lvl w:ilvl="8" w:tplc="7E261D60">
      <w:start w:val="1"/>
      <w:numFmt w:val="lowerRoman"/>
      <w:lvlText w:val="%9."/>
      <w:lvlJc w:val="right"/>
      <w:pPr>
        <w:ind w:left="6480" w:hanging="180"/>
      </w:pPr>
    </w:lvl>
  </w:abstractNum>
  <w:abstractNum w:abstractNumId="18">
    <w:nsid w:val="3A6030F8"/>
    <w:multiLevelType w:val="hybridMultilevel"/>
    <w:tmpl w:val="4642D710"/>
    <w:lvl w:ilvl="0" w:tplc="414A3B7C">
      <w:start w:val="1"/>
      <w:numFmt w:val="decimal"/>
      <w:lvlText w:val="%1."/>
      <w:lvlJc w:val="left"/>
      <w:pPr>
        <w:ind w:left="720" w:hanging="360"/>
      </w:pPr>
    </w:lvl>
    <w:lvl w:ilvl="1" w:tplc="5CB894FC">
      <w:start w:val="1"/>
      <w:numFmt w:val="lowerLetter"/>
      <w:lvlText w:val="%2."/>
      <w:lvlJc w:val="left"/>
      <w:pPr>
        <w:ind w:left="1440" w:hanging="360"/>
      </w:pPr>
    </w:lvl>
    <w:lvl w:ilvl="2" w:tplc="3468FEF6">
      <w:start w:val="1"/>
      <w:numFmt w:val="lowerRoman"/>
      <w:lvlText w:val="%3."/>
      <w:lvlJc w:val="right"/>
      <w:pPr>
        <w:ind w:left="2160" w:hanging="180"/>
      </w:pPr>
    </w:lvl>
    <w:lvl w:ilvl="3" w:tplc="C158E312">
      <w:start w:val="1"/>
      <w:numFmt w:val="decimal"/>
      <w:lvlText w:val="%4."/>
      <w:lvlJc w:val="left"/>
      <w:pPr>
        <w:ind w:left="2880" w:hanging="360"/>
      </w:pPr>
    </w:lvl>
    <w:lvl w:ilvl="4" w:tplc="E5825AD8">
      <w:start w:val="1"/>
      <w:numFmt w:val="lowerLetter"/>
      <w:lvlText w:val="%5."/>
      <w:lvlJc w:val="left"/>
      <w:pPr>
        <w:ind w:left="3600" w:hanging="360"/>
      </w:pPr>
    </w:lvl>
    <w:lvl w:ilvl="5" w:tplc="746A7FF8">
      <w:start w:val="1"/>
      <w:numFmt w:val="lowerRoman"/>
      <w:lvlText w:val="%6."/>
      <w:lvlJc w:val="right"/>
      <w:pPr>
        <w:ind w:left="4320" w:hanging="180"/>
      </w:pPr>
    </w:lvl>
    <w:lvl w:ilvl="6" w:tplc="CC9C03B0">
      <w:start w:val="1"/>
      <w:numFmt w:val="decimal"/>
      <w:lvlText w:val="%7."/>
      <w:lvlJc w:val="left"/>
      <w:pPr>
        <w:ind w:left="5040" w:hanging="360"/>
      </w:pPr>
    </w:lvl>
    <w:lvl w:ilvl="7" w:tplc="C902E5D0">
      <w:start w:val="1"/>
      <w:numFmt w:val="lowerLetter"/>
      <w:lvlText w:val="%8."/>
      <w:lvlJc w:val="left"/>
      <w:pPr>
        <w:ind w:left="5760" w:hanging="360"/>
      </w:pPr>
    </w:lvl>
    <w:lvl w:ilvl="8" w:tplc="DA6ABCE8">
      <w:start w:val="1"/>
      <w:numFmt w:val="lowerRoman"/>
      <w:lvlText w:val="%9."/>
      <w:lvlJc w:val="right"/>
      <w:pPr>
        <w:ind w:left="6480" w:hanging="180"/>
      </w:pPr>
    </w:lvl>
  </w:abstractNum>
  <w:abstractNum w:abstractNumId="19">
    <w:nsid w:val="3FAE4C87"/>
    <w:multiLevelType w:val="hybridMultilevel"/>
    <w:tmpl w:val="F6F6C782"/>
    <w:lvl w:ilvl="0" w:tplc="4A7E5756">
      <w:start w:val="1"/>
      <w:numFmt w:val="bullet"/>
      <w:lvlText w:val="·"/>
      <w:lvlJc w:val="left"/>
      <w:pPr>
        <w:ind w:left="720" w:hanging="360"/>
      </w:pPr>
      <w:rPr>
        <w:rFonts w:ascii="Symbol" w:hAnsi="Symbol" w:hint="default"/>
      </w:rPr>
    </w:lvl>
    <w:lvl w:ilvl="1" w:tplc="0EA895D6">
      <w:start w:val="1"/>
      <w:numFmt w:val="bullet"/>
      <w:lvlText w:val="o"/>
      <w:lvlJc w:val="left"/>
      <w:pPr>
        <w:ind w:left="1440" w:hanging="360"/>
      </w:pPr>
      <w:rPr>
        <w:rFonts w:ascii="Courier New" w:hAnsi="Courier New" w:hint="default"/>
      </w:rPr>
    </w:lvl>
    <w:lvl w:ilvl="2" w:tplc="D8F0116A">
      <w:start w:val="1"/>
      <w:numFmt w:val="bullet"/>
      <w:lvlText w:val=""/>
      <w:lvlJc w:val="left"/>
      <w:pPr>
        <w:ind w:left="2160" w:hanging="360"/>
      </w:pPr>
      <w:rPr>
        <w:rFonts w:ascii="Wingdings" w:hAnsi="Wingdings" w:hint="default"/>
      </w:rPr>
    </w:lvl>
    <w:lvl w:ilvl="3" w:tplc="60700D84">
      <w:start w:val="1"/>
      <w:numFmt w:val="bullet"/>
      <w:lvlText w:val=""/>
      <w:lvlJc w:val="left"/>
      <w:pPr>
        <w:ind w:left="2880" w:hanging="360"/>
      </w:pPr>
      <w:rPr>
        <w:rFonts w:ascii="Symbol" w:hAnsi="Symbol" w:hint="default"/>
      </w:rPr>
    </w:lvl>
    <w:lvl w:ilvl="4" w:tplc="034AA4CC">
      <w:start w:val="1"/>
      <w:numFmt w:val="bullet"/>
      <w:lvlText w:val="o"/>
      <w:lvlJc w:val="left"/>
      <w:pPr>
        <w:ind w:left="3600" w:hanging="360"/>
      </w:pPr>
      <w:rPr>
        <w:rFonts w:ascii="Courier New" w:hAnsi="Courier New" w:hint="default"/>
      </w:rPr>
    </w:lvl>
    <w:lvl w:ilvl="5" w:tplc="B3DA6794">
      <w:start w:val="1"/>
      <w:numFmt w:val="bullet"/>
      <w:lvlText w:val=""/>
      <w:lvlJc w:val="left"/>
      <w:pPr>
        <w:ind w:left="4320" w:hanging="360"/>
      </w:pPr>
      <w:rPr>
        <w:rFonts w:ascii="Wingdings" w:hAnsi="Wingdings" w:hint="default"/>
      </w:rPr>
    </w:lvl>
    <w:lvl w:ilvl="6" w:tplc="FB463E72">
      <w:start w:val="1"/>
      <w:numFmt w:val="bullet"/>
      <w:lvlText w:val=""/>
      <w:lvlJc w:val="left"/>
      <w:pPr>
        <w:ind w:left="5040" w:hanging="360"/>
      </w:pPr>
      <w:rPr>
        <w:rFonts w:ascii="Symbol" w:hAnsi="Symbol" w:hint="default"/>
      </w:rPr>
    </w:lvl>
    <w:lvl w:ilvl="7" w:tplc="26E210D6">
      <w:start w:val="1"/>
      <w:numFmt w:val="bullet"/>
      <w:lvlText w:val="o"/>
      <w:lvlJc w:val="left"/>
      <w:pPr>
        <w:ind w:left="5760" w:hanging="360"/>
      </w:pPr>
      <w:rPr>
        <w:rFonts w:ascii="Courier New" w:hAnsi="Courier New" w:hint="default"/>
      </w:rPr>
    </w:lvl>
    <w:lvl w:ilvl="8" w:tplc="33B061BA">
      <w:start w:val="1"/>
      <w:numFmt w:val="bullet"/>
      <w:lvlText w:val=""/>
      <w:lvlJc w:val="left"/>
      <w:pPr>
        <w:ind w:left="6480" w:hanging="360"/>
      </w:pPr>
      <w:rPr>
        <w:rFonts w:ascii="Wingdings" w:hAnsi="Wingdings" w:hint="default"/>
      </w:rPr>
    </w:lvl>
  </w:abstractNum>
  <w:abstractNum w:abstractNumId="20">
    <w:nsid w:val="3FB425BF"/>
    <w:multiLevelType w:val="hybridMultilevel"/>
    <w:tmpl w:val="FD4E5A74"/>
    <w:lvl w:ilvl="0" w:tplc="A0DA5BBA">
      <w:start w:val="1"/>
      <w:numFmt w:val="bullet"/>
      <w:lvlText w:val=""/>
      <w:lvlJc w:val="left"/>
      <w:pPr>
        <w:ind w:left="1080" w:hanging="360"/>
      </w:pPr>
      <w:rPr>
        <w:rFonts w:ascii="Symbol" w:hAnsi="Symbol" w:hint="default"/>
      </w:rPr>
    </w:lvl>
    <w:lvl w:ilvl="1" w:tplc="804EA254">
      <w:start w:val="1"/>
      <w:numFmt w:val="bullet"/>
      <w:lvlText w:val="o"/>
      <w:lvlJc w:val="left"/>
      <w:pPr>
        <w:ind w:left="1800" w:hanging="360"/>
      </w:pPr>
      <w:rPr>
        <w:rFonts w:ascii="Courier New" w:hAnsi="Courier New" w:hint="default"/>
      </w:rPr>
    </w:lvl>
    <w:lvl w:ilvl="2" w:tplc="E54052A4">
      <w:start w:val="1"/>
      <w:numFmt w:val="bullet"/>
      <w:lvlText w:val=""/>
      <w:lvlJc w:val="left"/>
      <w:pPr>
        <w:ind w:left="2520" w:hanging="360"/>
      </w:pPr>
      <w:rPr>
        <w:rFonts w:ascii="Wingdings" w:hAnsi="Wingdings" w:hint="default"/>
      </w:rPr>
    </w:lvl>
    <w:lvl w:ilvl="3" w:tplc="D9A8A396">
      <w:start w:val="1"/>
      <w:numFmt w:val="bullet"/>
      <w:lvlText w:val=""/>
      <w:lvlJc w:val="left"/>
      <w:pPr>
        <w:ind w:left="3240" w:hanging="360"/>
      </w:pPr>
      <w:rPr>
        <w:rFonts w:ascii="Symbol" w:hAnsi="Symbol" w:hint="default"/>
      </w:rPr>
    </w:lvl>
    <w:lvl w:ilvl="4" w:tplc="5742D2C0">
      <w:start w:val="1"/>
      <w:numFmt w:val="bullet"/>
      <w:lvlText w:val="o"/>
      <w:lvlJc w:val="left"/>
      <w:pPr>
        <w:ind w:left="3960" w:hanging="360"/>
      </w:pPr>
      <w:rPr>
        <w:rFonts w:ascii="Courier New" w:hAnsi="Courier New" w:hint="default"/>
      </w:rPr>
    </w:lvl>
    <w:lvl w:ilvl="5" w:tplc="CF7EAF78">
      <w:start w:val="1"/>
      <w:numFmt w:val="bullet"/>
      <w:lvlText w:val=""/>
      <w:lvlJc w:val="left"/>
      <w:pPr>
        <w:ind w:left="4680" w:hanging="360"/>
      </w:pPr>
      <w:rPr>
        <w:rFonts w:ascii="Wingdings" w:hAnsi="Wingdings" w:hint="default"/>
      </w:rPr>
    </w:lvl>
    <w:lvl w:ilvl="6" w:tplc="1284C712">
      <w:start w:val="1"/>
      <w:numFmt w:val="bullet"/>
      <w:lvlText w:val=""/>
      <w:lvlJc w:val="left"/>
      <w:pPr>
        <w:ind w:left="5400" w:hanging="360"/>
      </w:pPr>
      <w:rPr>
        <w:rFonts w:ascii="Symbol" w:hAnsi="Symbol" w:hint="default"/>
      </w:rPr>
    </w:lvl>
    <w:lvl w:ilvl="7" w:tplc="AB0088D8">
      <w:start w:val="1"/>
      <w:numFmt w:val="bullet"/>
      <w:lvlText w:val="o"/>
      <w:lvlJc w:val="left"/>
      <w:pPr>
        <w:ind w:left="6120" w:hanging="360"/>
      </w:pPr>
      <w:rPr>
        <w:rFonts w:ascii="Courier New" w:hAnsi="Courier New" w:hint="default"/>
      </w:rPr>
    </w:lvl>
    <w:lvl w:ilvl="8" w:tplc="6B38D7EE">
      <w:start w:val="1"/>
      <w:numFmt w:val="bullet"/>
      <w:lvlText w:val=""/>
      <w:lvlJc w:val="left"/>
      <w:pPr>
        <w:ind w:left="6840" w:hanging="360"/>
      </w:pPr>
      <w:rPr>
        <w:rFonts w:ascii="Wingdings" w:hAnsi="Wingdings" w:hint="default"/>
      </w:rPr>
    </w:lvl>
  </w:abstractNum>
  <w:abstractNum w:abstractNumId="21">
    <w:nsid w:val="4237F002"/>
    <w:multiLevelType w:val="hybridMultilevel"/>
    <w:tmpl w:val="C69CF3FC"/>
    <w:lvl w:ilvl="0" w:tplc="979CC72C">
      <w:start w:val="1"/>
      <w:numFmt w:val="bullet"/>
      <w:lvlText w:val=""/>
      <w:lvlJc w:val="left"/>
      <w:pPr>
        <w:ind w:left="720" w:hanging="360"/>
      </w:pPr>
      <w:rPr>
        <w:rFonts w:ascii="Symbol" w:hAnsi="Symbol" w:hint="default"/>
      </w:rPr>
    </w:lvl>
    <w:lvl w:ilvl="1" w:tplc="7A022782">
      <w:start w:val="1"/>
      <w:numFmt w:val="bullet"/>
      <w:lvlText w:val="o"/>
      <w:lvlJc w:val="left"/>
      <w:pPr>
        <w:ind w:left="1440" w:hanging="360"/>
      </w:pPr>
      <w:rPr>
        <w:rFonts w:ascii="Courier New" w:hAnsi="Courier New" w:hint="default"/>
      </w:rPr>
    </w:lvl>
    <w:lvl w:ilvl="2" w:tplc="EA22B78A">
      <w:start w:val="1"/>
      <w:numFmt w:val="bullet"/>
      <w:lvlText w:val=""/>
      <w:lvlJc w:val="left"/>
      <w:pPr>
        <w:ind w:left="2160" w:hanging="360"/>
      </w:pPr>
      <w:rPr>
        <w:rFonts w:ascii="Wingdings" w:hAnsi="Wingdings" w:hint="default"/>
      </w:rPr>
    </w:lvl>
    <w:lvl w:ilvl="3" w:tplc="C5A83192">
      <w:start w:val="1"/>
      <w:numFmt w:val="bullet"/>
      <w:lvlText w:val=""/>
      <w:lvlJc w:val="left"/>
      <w:pPr>
        <w:ind w:left="2880" w:hanging="360"/>
      </w:pPr>
      <w:rPr>
        <w:rFonts w:ascii="Symbol" w:hAnsi="Symbol" w:hint="default"/>
      </w:rPr>
    </w:lvl>
    <w:lvl w:ilvl="4" w:tplc="2BA6FA9A">
      <w:start w:val="1"/>
      <w:numFmt w:val="bullet"/>
      <w:lvlText w:val="o"/>
      <w:lvlJc w:val="left"/>
      <w:pPr>
        <w:ind w:left="3600" w:hanging="360"/>
      </w:pPr>
      <w:rPr>
        <w:rFonts w:ascii="Courier New" w:hAnsi="Courier New" w:hint="default"/>
      </w:rPr>
    </w:lvl>
    <w:lvl w:ilvl="5" w:tplc="7D8E3F34">
      <w:start w:val="1"/>
      <w:numFmt w:val="bullet"/>
      <w:lvlText w:val=""/>
      <w:lvlJc w:val="left"/>
      <w:pPr>
        <w:ind w:left="4320" w:hanging="360"/>
      </w:pPr>
      <w:rPr>
        <w:rFonts w:ascii="Wingdings" w:hAnsi="Wingdings" w:hint="default"/>
      </w:rPr>
    </w:lvl>
    <w:lvl w:ilvl="6" w:tplc="08620890">
      <w:start w:val="1"/>
      <w:numFmt w:val="bullet"/>
      <w:lvlText w:val=""/>
      <w:lvlJc w:val="left"/>
      <w:pPr>
        <w:ind w:left="5040" w:hanging="360"/>
      </w:pPr>
      <w:rPr>
        <w:rFonts w:ascii="Symbol" w:hAnsi="Symbol" w:hint="default"/>
      </w:rPr>
    </w:lvl>
    <w:lvl w:ilvl="7" w:tplc="EA3A32B6">
      <w:start w:val="1"/>
      <w:numFmt w:val="bullet"/>
      <w:lvlText w:val="o"/>
      <w:lvlJc w:val="left"/>
      <w:pPr>
        <w:ind w:left="5760" w:hanging="360"/>
      </w:pPr>
      <w:rPr>
        <w:rFonts w:ascii="Courier New" w:hAnsi="Courier New" w:hint="default"/>
      </w:rPr>
    </w:lvl>
    <w:lvl w:ilvl="8" w:tplc="BEFEAD2E">
      <w:start w:val="1"/>
      <w:numFmt w:val="bullet"/>
      <w:lvlText w:val=""/>
      <w:lvlJc w:val="left"/>
      <w:pPr>
        <w:ind w:left="6480" w:hanging="360"/>
      </w:pPr>
      <w:rPr>
        <w:rFonts w:ascii="Wingdings" w:hAnsi="Wingdings" w:hint="default"/>
      </w:rPr>
    </w:lvl>
  </w:abstractNum>
  <w:abstractNum w:abstractNumId="22">
    <w:nsid w:val="435C97B7"/>
    <w:multiLevelType w:val="hybridMultilevel"/>
    <w:tmpl w:val="210C39E4"/>
    <w:lvl w:ilvl="0" w:tplc="53F69A3C">
      <w:start w:val="1"/>
      <w:numFmt w:val="bullet"/>
      <w:lvlText w:val=""/>
      <w:lvlJc w:val="left"/>
      <w:pPr>
        <w:ind w:left="1080" w:hanging="360"/>
      </w:pPr>
      <w:rPr>
        <w:rFonts w:ascii="Symbol" w:hAnsi="Symbol" w:hint="default"/>
      </w:rPr>
    </w:lvl>
    <w:lvl w:ilvl="1" w:tplc="93A6E84A">
      <w:start w:val="1"/>
      <w:numFmt w:val="bullet"/>
      <w:lvlText w:val="o"/>
      <w:lvlJc w:val="left"/>
      <w:pPr>
        <w:ind w:left="1800" w:hanging="360"/>
      </w:pPr>
      <w:rPr>
        <w:rFonts w:ascii="Courier New" w:hAnsi="Courier New" w:hint="default"/>
      </w:rPr>
    </w:lvl>
    <w:lvl w:ilvl="2" w:tplc="0BFC3964">
      <w:start w:val="1"/>
      <w:numFmt w:val="bullet"/>
      <w:lvlText w:val=""/>
      <w:lvlJc w:val="left"/>
      <w:pPr>
        <w:ind w:left="2520" w:hanging="360"/>
      </w:pPr>
      <w:rPr>
        <w:rFonts w:ascii="Wingdings" w:hAnsi="Wingdings" w:hint="default"/>
      </w:rPr>
    </w:lvl>
    <w:lvl w:ilvl="3" w:tplc="1AE4DD0E">
      <w:start w:val="1"/>
      <w:numFmt w:val="bullet"/>
      <w:lvlText w:val=""/>
      <w:lvlJc w:val="left"/>
      <w:pPr>
        <w:ind w:left="3240" w:hanging="360"/>
      </w:pPr>
      <w:rPr>
        <w:rFonts w:ascii="Symbol" w:hAnsi="Symbol" w:hint="default"/>
      </w:rPr>
    </w:lvl>
    <w:lvl w:ilvl="4" w:tplc="DB9C6F20">
      <w:start w:val="1"/>
      <w:numFmt w:val="bullet"/>
      <w:lvlText w:val="o"/>
      <w:lvlJc w:val="left"/>
      <w:pPr>
        <w:ind w:left="3960" w:hanging="360"/>
      </w:pPr>
      <w:rPr>
        <w:rFonts w:ascii="Courier New" w:hAnsi="Courier New" w:hint="default"/>
      </w:rPr>
    </w:lvl>
    <w:lvl w:ilvl="5" w:tplc="A14C6500">
      <w:start w:val="1"/>
      <w:numFmt w:val="bullet"/>
      <w:lvlText w:val=""/>
      <w:lvlJc w:val="left"/>
      <w:pPr>
        <w:ind w:left="4680" w:hanging="360"/>
      </w:pPr>
      <w:rPr>
        <w:rFonts w:ascii="Wingdings" w:hAnsi="Wingdings" w:hint="default"/>
      </w:rPr>
    </w:lvl>
    <w:lvl w:ilvl="6" w:tplc="5052C36C">
      <w:start w:val="1"/>
      <w:numFmt w:val="bullet"/>
      <w:lvlText w:val=""/>
      <w:lvlJc w:val="left"/>
      <w:pPr>
        <w:ind w:left="5400" w:hanging="360"/>
      </w:pPr>
      <w:rPr>
        <w:rFonts w:ascii="Symbol" w:hAnsi="Symbol" w:hint="default"/>
      </w:rPr>
    </w:lvl>
    <w:lvl w:ilvl="7" w:tplc="AF4EB1EE">
      <w:start w:val="1"/>
      <w:numFmt w:val="bullet"/>
      <w:lvlText w:val="o"/>
      <w:lvlJc w:val="left"/>
      <w:pPr>
        <w:ind w:left="6120" w:hanging="360"/>
      </w:pPr>
      <w:rPr>
        <w:rFonts w:ascii="Courier New" w:hAnsi="Courier New" w:hint="default"/>
      </w:rPr>
    </w:lvl>
    <w:lvl w:ilvl="8" w:tplc="818EB4EA">
      <w:start w:val="1"/>
      <w:numFmt w:val="bullet"/>
      <w:lvlText w:val=""/>
      <w:lvlJc w:val="left"/>
      <w:pPr>
        <w:ind w:left="6840" w:hanging="360"/>
      </w:pPr>
      <w:rPr>
        <w:rFonts w:ascii="Wingdings" w:hAnsi="Wingdings" w:hint="default"/>
      </w:rPr>
    </w:lvl>
  </w:abstractNum>
  <w:abstractNum w:abstractNumId="23">
    <w:nsid w:val="572E7C0F"/>
    <w:multiLevelType w:val="hybridMultilevel"/>
    <w:tmpl w:val="C43CE01A"/>
    <w:lvl w:ilvl="0" w:tplc="C47EB9CC">
      <w:start w:val="1"/>
      <w:numFmt w:val="bullet"/>
      <w:lvlText w:val=""/>
      <w:lvlJc w:val="left"/>
      <w:pPr>
        <w:ind w:left="720" w:hanging="360"/>
      </w:pPr>
      <w:rPr>
        <w:rFonts w:ascii="Symbol" w:hAnsi="Symbol" w:hint="default"/>
      </w:rPr>
    </w:lvl>
    <w:lvl w:ilvl="1" w:tplc="5ECC344A">
      <w:start w:val="1"/>
      <w:numFmt w:val="bullet"/>
      <w:lvlText w:val="o"/>
      <w:lvlJc w:val="left"/>
      <w:pPr>
        <w:ind w:left="1440" w:hanging="360"/>
      </w:pPr>
      <w:rPr>
        <w:rFonts w:ascii="Courier New" w:hAnsi="Courier New" w:hint="default"/>
      </w:rPr>
    </w:lvl>
    <w:lvl w:ilvl="2" w:tplc="57A4900A">
      <w:start w:val="1"/>
      <w:numFmt w:val="bullet"/>
      <w:lvlText w:val=""/>
      <w:lvlJc w:val="left"/>
      <w:pPr>
        <w:ind w:left="2160" w:hanging="360"/>
      </w:pPr>
      <w:rPr>
        <w:rFonts w:ascii="Wingdings" w:hAnsi="Wingdings" w:hint="default"/>
      </w:rPr>
    </w:lvl>
    <w:lvl w:ilvl="3" w:tplc="55541138">
      <w:start w:val="1"/>
      <w:numFmt w:val="bullet"/>
      <w:lvlText w:val=""/>
      <w:lvlJc w:val="left"/>
      <w:pPr>
        <w:ind w:left="2880" w:hanging="360"/>
      </w:pPr>
      <w:rPr>
        <w:rFonts w:ascii="Symbol" w:hAnsi="Symbol" w:hint="default"/>
      </w:rPr>
    </w:lvl>
    <w:lvl w:ilvl="4" w:tplc="DEFC2F06">
      <w:start w:val="1"/>
      <w:numFmt w:val="bullet"/>
      <w:lvlText w:val="o"/>
      <w:lvlJc w:val="left"/>
      <w:pPr>
        <w:ind w:left="3600" w:hanging="360"/>
      </w:pPr>
      <w:rPr>
        <w:rFonts w:ascii="Courier New" w:hAnsi="Courier New" w:hint="default"/>
      </w:rPr>
    </w:lvl>
    <w:lvl w:ilvl="5" w:tplc="82CC29FA">
      <w:start w:val="1"/>
      <w:numFmt w:val="bullet"/>
      <w:lvlText w:val=""/>
      <w:lvlJc w:val="left"/>
      <w:pPr>
        <w:ind w:left="4320" w:hanging="360"/>
      </w:pPr>
      <w:rPr>
        <w:rFonts w:ascii="Wingdings" w:hAnsi="Wingdings" w:hint="default"/>
      </w:rPr>
    </w:lvl>
    <w:lvl w:ilvl="6" w:tplc="BE4886A8">
      <w:start w:val="1"/>
      <w:numFmt w:val="bullet"/>
      <w:lvlText w:val=""/>
      <w:lvlJc w:val="left"/>
      <w:pPr>
        <w:ind w:left="5040" w:hanging="360"/>
      </w:pPr>
      <w:rPr>
        <w:rFonts w:ascii="Symbol" w:hAnsi="Symbol" w:hint="default"/>
      </w:rPr>
    </w:lvl>
    <w:lvl w:ilvl="7" w:tplc="5F9C78DA">
      <w:start w:val="1"/>
      <w:numFmt w:val="bullet"/>
      <w:lvlText w:val="o"/>
      <w:lvlJc w:val="left"/>
      <w:pPr>
        <w:ind w:left="5760" w:hanging="360"/>
      </w:pPr>
      <w:rPr>
        <w:rFonts w:ascii="Courier New" w:hAnsi="Courier New" w:hint="default"/>
      </w:rPr>
    </w:lvl>
    <w:lvl w:ilvl="8" w:tplc="CDC21F8A">
      <w:start w:val="1"/>
      <w:numFmt w:val="bullet"/>
      <w:lvlText w:val=""/>
      <w:lvlJc w:val="left"/>
      <w:pPr>
        <w:ind w:left="6480" w:hanging="360"/>
      </w:pPr>
      <w:rPr>
        <w:rFonts w:ascii="Wingdings" w:hAnsi="Wingdings" w:hint="default"/>
      </w:rPr>
    </w:lvl>
  </w:abstractNum>
  <w:abstractNum w:abstractNumId="24">
    <w:nsid w:val="57770478"/>
    <w:multiLevelType w:val="hybridMultilevel"/>
    <w:tmpl w:val="329E5900"/>
    <w:lvl w:ilvl="0" w:tplc="ED9C0650">
      <w:start w:val="1"/>
      <w:numFmt w:val="bullet"/>
      <w:lvlText w:val=""/>
      <w:lvlJc w:val="left"/>
      <w:pPr>
        <w:ind w:left="720" w:hanging="360"/>
      </w:pPr>
      <w:rPr>
        <w:rFonts w:ascii="Symbol" w:hAnsi="Symbol" w:hint="default"/>
      </w:rPr>
    </w:lvl>
    <w:lvl w:ilvl="1" w:tplc="AB464CF4">
      <w:start w:val="1"/>
      <w:numFmt w:val="bullet"/>
      <w:lvlText w:val="o"/>
      <w:lvlJc w:val="left"/>
      <w:pPr>
        <w:ind w:left="1440" w:hanging="360"/>
      </w:pPr>
      <w:rPr>
        <w:rFonts w:ascii="Courier New" w:hAnsi="Courier New" w:hint="default"/>
      </w:rPr>
    </w:lvl>
    <w:lvl w:ilvl="2" w:tplc="B49E9EE4">
      <w:start w:val="1"/>
      <w:numFmt w:val="bullet"/>
      <w:lvlText w:val=""/>
      <w:lvlJc w:val="left"/>
      <w:pPr>
        <w:ind w:left="2160" w:hanging="360"/>
      </w:pPr>
      <w:rPr>
        <w:rFonts w:ascii="Wingdings" w:hAnsi="Wingdings" w:hint="default"/>
      </w:rPr>
    </w:lvl>
    <w:lvl w:ilvl="3" w:tplc="40FC5712">
      <w:start w:val="1"/>
      <w:numFmt w:val="bullet"/>
      <w:lvlText w:val=""/>
      <w:lvlJc w:val="left"/>
      <w:pPr>
        <w:ind w:left="2880" w:hanging="360"/>
      </w:pPr>
      <w:rPr>
        <w:rFonts w:ascii="Symbol" w:hAnsi="Symbol" w:hint="default"/>
      </w:rPr>
    </w:lvl>
    <w:lvl w:ilvl="4" w:tplc="C4EE77F6">
      <w:start w:val="1"/>
      <w:numFmt w:val="bullet"/>
      <w:lvlText w:val="o"/>
      <w:lvlJc w:val="left"/>
      <w:pPr>
        <w:ind w:left="3600" w:hanging="360"/>
      </w:pPr>
      <w:rPr>
        <w:rFonts w:ascii="Courier New" w:hAnsi="Courier New" w:hint="default"/>
      </w:rPr>
    </w:lvl>
    <w:lvl w:ilvl="5" w:tplc="A38A5D44">
      <w:start w:val="1"/>
      <w:numFmt w:val="bullet"/>
      <w:lvlText w:val=""/>
      <w:lvlJc w:val="left"/>
      <w:pPr>
        <w:ind w:left="4320" w:hanging="360"/>
      </w:pPr>
      <w:rPr>
        <w:rFonts w:ascii="Wingdings" w:hAnsi="Wingdings" w:hint="default"/>
      </w:rPr>
    </w:lvl>
    <w:lvl w:ilvl="6" w:tplc="4DAE6EAE">
      <w:start w:val="1"/>
      <w:numFmt w:val="bullet"/>
      <w:lvlText w:val=""/>
      <w:lvlJc w:val="left"/>
      <w:pPr>
        <w:ind w:left="5040" w:hanging="360"/>
      </w:pPr>
      <w:rPr>
        <w:rFonts w:ascii="Symbol" w:hAnsi="Symbol" w:hint="default"/>
      </w:rPr>
    </w:lvl>
    <w:lvl w:ilvl="7" w:tplc="7B6EA0F8">
      <w:start w:val="1"/>
      <w:numFmt w:val="bullet"/>
      <w:lvlText w:val="o"/>
      <w:lvlJc w:val="left"/>
      <w:pPr>
        <w:ind w:left="5760" w:hanging="360"/>
      </w:pPr>
      <w:rPr>
        <w:rFonts w:ascii="Courier New" w:hAnsi="Courier New" w:hint="default"/>
      </w:rPr>
    </w:lvl>
    <w:lvl w:ilvl="8" w:tplc="BAFA83E0">
      <w:start w:val="1"/>
      <w:numFmt w:val="bullet"/>
      <w:lvlText w:val=""/>
      <w:lvlJc w:val="left"/>
      <w:pPr>
        <w:ind w:left="6480" w:hanging="360"/>
      </w:pPr>
      <w:rPr>
        <w:rFonts w:ascii="Wingdings" w:hAnsi="Wingdings" w:hint="default"/>
      </w:rPr>
    </w:lvl>
  </w:abstractNum>
  <w:abstractNum w:abstractNumId="25">
    <w:nsid w:val="5B253E33"/>
    <w:multiLevelType w:val="hybridMultilevel"/>
    <w:tmpl w:val="317E0E7C"/>
    <w:lvl w:ilvl="0" w:tplc="F0022618">
      <w:start w:val="1"/>
      <w:numFmt w:val="bullet"/>
      <w:lvlText w:val=""/>
      <w:lvlJc w:val="left"/>
      <w:pPr>
        <w:ind w:left="720" w:hanging="360"/>
      </w:pPr>
      <w:rPr>
        <w:rFonts w:ascii="Symbol" w:hAnsi="Symbol" w:hint="default"/>
      </w:rPr>
    </w:lvl>
    <w:lvl w:ilvl="1" w:tplc="AA60D59A">
      <w:start w:val="1"/>
      <w:numFmt w:val="bullet"/>
      <w:lvlText w:val="o"/>
      <w:lvlJc w:val="left"/>
      <w:pPr>
        <w:ind w:left="1440" w:hanging="360"/>
      </w:pPr>
      <w:rPr>
        <w:rFonts w:ascii="Courier New" w:hAnsi="Courier New" w:hint="default"/>
      </w:rPr>
    </w:lvl>
    <w:lvl w:ilvl="2" w:tplc="317CBDD2">
      <w:start w:val="1"/>
      <w:numFmt w:val="bullet"/>
      <w:lvlText w:val=""/>
      <w:lvlJc w:val="left"/>
      <w:pPr>
        <w:ind w:left="2160" w:hanging="360"/>
      </w:pPr>
      <w:rPr>
        <w:rFonts w:ascii="Wingdings" w:hAnsi="Wingdings" w:hint="default"/>
      </w:rPr>
    </w:lvl>
    <w:lvl w:ilvl="3" w:tplc="AAE0C1E2">
      <w:start w:val="1"/>
      <w:numFmt w:val="bullet"/>
      <w:lvlText w:val=""/>
      <w:lvlJc w:val="left"/>
      <w:pPr>
        <w:ind w:left="2880" w:hanging="360"/>
      </w:pPr>
      <w:rPr>
        <w:rFonts w:ascii="Symbol" w:hAnsi="Symbol" w:hint="default"/>
      </w:rPr>
    </w:lvl>
    <w:lvl w:ilvl="4" w:tplc="B624275A">
      <w:start w:val="1"/>
      <w:numFmt w:val="bullet"/>
      <w:lvlText w:val="o"/>
      <w:lvlJc w:val="left"/>
      <w:pPr>
        <w:ind w:left="3600" w:hanging="360"/>
      </w:pPr>
      <w:rPr>
        <w:rFonts w:ascii="Courier New" w:hAnsi="Courier New" w:hint="default"/>
      </w:rPr>
    </w:lvl>
    <w:lvl w:ilvl="5" w:tplc="154684C6">
      <w:start w:val="1"/>
      <w:numFmt w:val="bullet"/>
      <w:lvlText w:val=""/>
      <w:lvlJc w:val="left"/>
      <w:pPr>
        <w:ind w:left="4320" w:hanging="360"/>
      </w:pPr>
      <w:rPr>
        <w:rFonts w:ascii="Wingdings" w:hAnsi="Wingdings" w:hint="default"/>
      </w:rPr>
    </w:lvl>
    <w:lvl w:ilvl="6" w:tplc="2B2CA0FA">
      <w:start w:val="1"/>
      <w:numFmt w:val="bullet"/>
      <w:lvlText w:val=""/>
      <w:lvlJc w:val="left"/>
      <w:pPr>
        <w:ind w:left="5040" w:hanging="360"/>
      </w:pPr>
      <w:rPr>
        <w:rFonts w:ascii="Symbol" w:hAnsi="Symbol" w:hint="default"/>
      </w:rPr>
    </w:lvl>
    <w:lvl w:ilvl="7" w:tplc="26F4A9F6">
      <w:start w:val="1"/>
      <w:numFmt w:val="bullet"/>
      <w:lvlText w:val="o"/>
      <w:lvlJc w:val="left"/>
      <w:pPr>
        <w:ind w:left="5760" w:hanging="360"/>
      </w:pPr>
      <w:rPr>
        <w:rFonts w:ascii="Courier New" w:hAnsi="Courier New" w:hint="default"/>
      </w:rPr>
    </w:lvl>
    <w:lvl w:ilvl="8" w:tplc="CFF460A8">
      <w:start w:val="1"/>
      <w:numFmt w:val="bullet"/>
      <w:lvlText w:val=""/>
      <w:lvlJc w:val="left"/>
      <w:pPr>
        <w:ind w:left="6480" w:hanging="360"/>
      </w:pPr>
      <w:rPr>
        <w:rFonts w:ascii="Wingdings" w:hAnsi="Wingdings" w:hint="default"/>
      </w:rPr>
    </w:lvl>
  </w:abstractNum>
  <w:abstractNum w:abstractNumId="26">
    <w:nsid w:val="5BC61710"/>
    <w:multiLevelType w:val="hybridMultilevel"/>
    <w:tmpl w:val="C8DC4460"/>
    <w:lvl w:ilvl="0" w:tplc="8B2C7F52">
      <w:start w:val="1"/>
      <w:numFmt w:val="decimal"/>
      <w:lvlText w:val="%1."/>
      <w:lvlJc w:val="left"/>
      <w:pPr>
        <w:ind w:left="720" w:hanging="360"/>
      </w:pPr>
    </w:lvl>
    <w:lvl w:ilvl="1" w:tplc="F60CD104">
      <w:start w:val="1"/>
      <w:numFmt w:val="lowerLetter"/>
      <w:lvlText w:val="%2."/>
      <w:lvlJc w:val="left"/>
      <w:pPr>
        <w:ind w:left="1440" w:hanging="360"/>
      </w:pPr>
    </w:lvl>
    <w:lvl w:ilvl="2" w:tplc="3646A4D2">
      <w:start w:val="1"/>
      <w:numFmt w:val="lowerRoman"/>
      <w:lvlText w:val="%3."/>
      <w:lvlJc w:val="right"/>
      <w:pPr>
        <w:ind w:left="2160" w:hanging="180"/>
      </w:pPr>
    </w:lvl>
    <w:lvl w:ilvl="3" w:tplc="A0EAA298">
      <w:start w:val="1"/>
      <w:numFmt w:val="decimal"/>
      <w:lvlText w:val="%4."/>
      <w:lvlJc w:val="left"/>
      <w:pPr>
        <w:ind w:left="2880" w:hanging="360"/>
      </w:pPr>
    </w:lvl>
    <w:lvl w:ilvl="4" w:tplc="0D9692EC">
      <w:start w:val="1"/>
      <w:numFmt w:val="lowerLetter"/>
      <w:lvlText w:val="%5."/>
      <w:lvlJc w:val="left"/>
      <w:pPr>
        <w:ind w:left="3600" w:hanging="360"/>
      </w:pPr>
    </w:lvl>
    <w:lvl w:ilvl="5" w:tplc="E46210D2">
      <w:start w:val="1"/>
      <w:numFmt w:val="lowerRoman"/>
      <w:lvlText w:val="%6."/>
      <w:lvlJc w:val="right"/>
      <w:pPr>
        <w:ind w:left="4320" w:hanging="180"/>
      </w:pPr>
    </w:lvl>
    <w:lvl w:ilvl="6" w:tplc="B16E602C">
      <w:start w:val="1"/>
      <w:numFmt w:val="decimal"/>
      <w:lvlText w:val="%7."/>
      <w:lvlJc w:val="left"/>
      <w:pPr>
        <w:ind w:left="5040" w:hanging="360"/>
      </w:pPr>
    </w:lvl>
    <w:lvl w:ilvl="7" w:tplc="FADC90EE">
      <w:start w:val="1"/>
      <w:numFmt w:val="lowerLetter"/>
      <w:lvlText w:val="%8."/>
      <w:lvlJc w:val="left"/>
      <w:pPr>
        <w:ind w:left="5760" w:hanging="360"/>
      </w:pPr>
    </w:lvl>
    <w:lvl w:ilvl="8" w:tplc="903CAFF8">
      <w:start w:val="1"/>
      <w:numFmt w:val="lowerRoman"/>
      <w:lvlText w:val="%9."/>
      <w:lvlJc w:val="right"/>
      <w:pPr>
        <w:ind w:left="6480" w:hanging="180"/>
      </w:pPr>
    </w:lvl>
  </w:abstractNum>
  <w:abstractNum w:abstractNumId="27">
    <w:nsid w:val="6BA0E201"/>
    <w:multiLevelType w:val="hybridMultilevel"/>
    <w:tmpl w:val="A89E2CFC"/>
    <w:lvl w:ilvl="0" w:tplc="2C8443C4">
      <w:start w:val="1"/>
      <w:numFmt w:val="bullet"/>
      <w:lvlText w:val="·"/>
      <w:lvlJc w:val="left"/>
      <w:pPr>
        <w:ind w:left="720" w:hanging="360"/>
      </w:pPr>
      <w:rPr>
        <w:rFonts w:ascii="Symbol" w:hAnsi="Symbol" w:hint="default"/>
      </w:rPr>
    </w:lvl>
    <w:lvl w:ilvl="1" w:tplc="028402A6">
      <w:start w:val="1"/>
      <w:numFmt w:val="bullet"/>
      <w:lvlText w:val="o"/>
      <w:lvlJc w:val="left"/>
      <w:pPr>
        <w:ind w:left="1440" w:hanging="360"/>
      </w:pPr>
      <w:rPr>
        <w:rFonts w:ascii="Courier New" w:hAnsi="Courier New" w:hint="default"/>
      </w:rPr>
    </w:lvl>
    <w:lvl w:ilvl="2" w:tplc="0494256C">
      <w:start w:val="1"/>
      <w:numFmt w:val="bullet"/>
      <w:lvlText w:val=""/>
      <w:lvlJc w:val="left"/>
      <w:pPr>
        <w:ind w:left="2160" w:hanging="360"/>
      </w:pPr>
      <w:rPr>
        <w:rFonts w:ascii="Wingdings" w:hAnsi="Wingdings" w:hint="default"/>
      </w:rPr>
    </w:lvl>
    <w:lvl w:ilvl="3" w:tplc="E6EEEBBA">
      <w:start w:val="1"/>
      <w:numFmt w:val="bullet"/>
      <w:lvlText w:val=""/>
      <w:lvlJc w:val="left"/>
      <w:pPr>
        <w:ind w:left="2880" w:hanging="360"/>
      </w:pPr>
      <w:rPr>
        <w:rFonts w:ascii="Symbol" w:hAnsi="Symbol" w:hint="default"/>
      </w:rPr>
    </w:lvl>
    <w:lvl w:ilvl="4" w:tplc="010EF1F4">
      <w:start w:val="1"/>
      <w:numFmt w:val="bullet"/>
      <w:lvlText w:val="o"/>
      <w:lvlJc w:val="left"/>
      <w:pPr>
        <w:ind w:left="3600" w:hanging="360"/>
      </w:pPr>
      <w:rPr>
        <w:rFonts w:ascii="Courier New" w:hAnsi="Courier New" w:hint="default"/>
      </w:rPr>
    </w:lvl>
    <w:lvl w:ilvl="5" w:tplc="AAB8FF66">
      <w:start w:val="1"/>
      <w:numFmt w:val="bullet"/>
      <w:lvlText w:val=""/>
      <w:lvlJc w:val="left"/>
      <w:pPr>
        <w:ind w:left="4320" w:hanging="360"/>
      </w:pPr>
      <w:rPr>
        <w:rFonts w:ascii="Wingdings" w:hAnsi="Wingdings" w:hint="default"/>
      </w:rPr>
    </w:lvl>
    <w:lvl w:ilvl="6" w:tplc="7AF0ECF2">
      <w:start w:val="1"/>
      <w:numFmt w:val="bullet"/>
      <w:lvlText w:val=""/>
      <w:lvlJc w:val="left"/>
      <w:pPr>
        <w:ind w:left="5040" w:hanging="360"/>
      </w:pPr>
      <w:rPr>
        <w:rFonts w:ascii="Symbol" w:hAnsi="Symbol" w:hint="default"/>
      </w:rPr>
    </w:lvl>
    <w:lvl w:ilvl="7" w:tplc="8766C0C2">
      <w:start w:val="1"/>
      <w:numFmt w:val="bullet"/>
      <w:lvlText w:val="o"/>
      <w:lvlJc w:val="left"/>
      <w:pPr>
        <w:ind w:left="5760" w:hanging="360"/>
      </w:pPr>
      <w:rPr>
        <w:rFonts w:ascii="Courier New" w:hAnsi="Courier New" w:hint="default"/>
      </w:rPr>
    </w:lvl>
    <w:lvl w:ilvl="8" w:tplc="6D9A24F2">
      <w:start w:val="1"/>
      <w:numFmt w:val="bullet"/>
      <w:lvlText w:val=""/>
      <w:lvlJc w:val="left"/>
      <w:pPr>
        <w:ind w:left="6480" w:hanging="360"/>
      </w:pPr>
      <w:rPr>
        <w:rFonts w:ascii="Wingdings" w:hAnsi="Wingdings" w:hint="default"/>
      </w:rPr>
    </w:lvl>
  </w:abstractNum>
  <w:abstractNum w:abstractNumId="28">
    <w:nsid w:val="7136E0DC"/>
    <w:multiLevelType w:val="hybridMultilevel"/>
    <w:tmpl w:val="5FF49052"/>
    <w:lvl w:ilvl="0" w:tplc="1FB48990">
      <w:start w:val="1"/>
      <w:numFmt w:val="decimal"/>
      <w:lvlText w:val="%1."/>
      <w:lvlJc w:val="left"/>
      <w:pPr>
        <w:ind w:left="720" w:hanging="360"/>
      </w:pPr>
    </w:lvl>
    <w:lvl w:ilvl="1" w:tplc="BB928334">
      <w:start w:val="1"/>
      <w:numFmt w:val="lowerLetter"/>
      <w:lvlText w:val="%2."/>
      <w:lvlJc w:val="left"/>
      <w:pPr>
        <w:ind w:left="1440" w:hanging="360"/>
      </w:pPr>
    </w:lvl>
    <w:lvl w:ilvl="2" w:tplc="09102AA8">
      <w:start w:val="1"/>
      <w:numFmt w:val="lowerRoman"/>
      <w:lvlText w:val="%3."/>
      <w:lvlJc w:val="right"/>
      <w:pPr>
        <w:ind w:left="2160" w:hanging="180"/>
      </w:pPr>
    </w:lvl>
    <w:lvl w:ilvl="3" w:tplc="C1CC6592">
      <w:start w:val="1"/>
      <w:numFmt w:val="decimal"/>
      <w:lvlText w:val="%4."/>
      <w:lvlJc w:val="left"/>
      <w:pPr>
        <w:ind w:left="2880" w:hanging="360"/>
      </w:pPr>
    </w:lvl>
    <w:lvl w:ilvl="4" w:tplc="F236B93C">
      <w:start w:val="1"/>
      <w:numFmt w:val="lowerLetter"/>
      <w:lvlText w:val="%5."/>
      <w:lvlJc w:val="left"/>
      <w:pPr>
        <w:ind w:left="3600" w:hanging="360"/>
      </w:pPr>
    </w:lvl>
    <w:lvl w:ilvl="5" w:tplc="D93EC1CE">
      <w:start w:val="1"/>
      <w:numFmt w:val="lowerRoman"/>
      <w:lvlText w:val="%6."/>
      <w:lvlJc w:val="right"/>
      <w:pPr>
        <w:ind w:left="4320" w:hanging="180"/>
      </w:pPr>
    </w:lvl>
    <w:lvl w:ilvl="6" w:tplc="9AC62282">
      <w:start w:val="1"/>
      <w:numFmt w:val="decimal"/>
      <w:lvlText w:val="%7."/>
      <w:lvlJc w:val="left"/>
      <w:pPr>
        <w:ind w:left="5040" w:hanging="360"/>
      </w:pPr>
    </w:lvl>
    <w:lvl w:ilvl="7" w:tplc="1BEC9BB8">
      <w:start w:val="1"/>
      <w:numFmt w:val="lowerLetter"/>
      <w:lvlText w:val="%8."/>
      <w:lvlJc w:val="left"/>
      <w:pPr>
        <w:ind w:left="5760" w:hanging="360"/>
      </w:pPr>
    </w:lvl>
    <w:lvl w:ilvl="8" w:tplc="90520DE2">
      <w:start w:val="1"/>
      <w:numFmt w:val="lowerRoman"/>
      <w:lvlText w:val="%9."/>
      <w:lvlJc w:val="right"/>
      <w:pPr>
        <w:ind w:left="6480" w:hanging="180"/>
      </w:pPr>
    </w:lvl>
  </w:abstractNum>
  <w:abstractNum w:abstractNumId="29">
    <w:nsid w:val="75657473"/>
    <w:multiLevelType w:val="hybridMultilevel"/>
    <w:tmpl w:val="7AEAEB52"/>
    <w:lvl w:ilvl="0" w:tplc="2E0E1340">
      <w:start w:val="1"/>
      <w:numFmt w:val="decimal"/>
      <w:lvlText w:val="%1."/>
      <w:lvlJc w:val="left"/>
      <w:pPr>
        <w:ind w:left="720" w:hanging="360"/>
      </w:pPr>
    </w:lvl>
    <w:lvl w:ilvl="1" w:tplc="D3EA69B6">
      <w:start w:val="1"/>
      <w:numFmt w:val="lowerLetter"/>
      <w:lvlText w:val="%2."/>
      <w:lvlJc w:val="left"/>
      <w:pPr>
        <w:ind w:left="1440" w:hanging="360"/>
      </w:pPr>
    </w:lvl>
    <w:lvl w:ilvl="2" w:tplc="E90ABC90">
      <w:start w:val="1"/>
      <w:numFmt w:val="lowerRoman"/>
      <w:lvlText w:val="%3."/>
      <w:lvlJc w:val="right"/>
      <w:pPr>
        <w:ind w:left="2160" w:hanging="180"/>
      </w:pPr>
    </w:lvl>
    <w:lvl w:ilvl="3" w:tplc="7368C182">
      <w:start w:val="1"/>
      <w:numFmt w:val="decimal"/>
      <w:lvlText w:val="%4."/>
      <w:lvlJc w:val="left"/>
      <w:pPr>
        <w:ind w:left="2880" w:hanging="360"/>
      </w:pPr>
    </w:lvl>
    <w:lvl w:ilvl="4" w:tplc="449A17EA">
      <w:start w:val="1"/>
      <w:numFmt w:val="lowerLetter"/>
      <w:lvlText w:val="%5."/>
      <w:lvlJc w:val="left"/>
      <w:pPr>
        <w:ind w:left="3600" w:hanging="360"/>
      </w:pPr>
    </w:lvl>
    <w:lvl w:ilvl="5" w:tplc="C3B2038C">
      <w:start w:val="1"/>
      <w:numFmt w:val="lowerRoman"/>
      <w:lvlText w:val="%6."/>
      <w:lvlJc w:val="right"/>
      <w:pPr>
        <w:ind w:left="4320" w:hanging="180"/>
      </w:pPr>
    </w:lvl>
    <w:lvl w:ilvl="6" w:tplc="8CF073A4">
      <w:start w:val="1"/>
      <w:numFmt w:val="decimal"/>
      <w:lvlText w:val="%7."/>
      <w:lvlJc w:val="left"/>
      <w:pPr>
        <w:ind w:left="5040" w:hanging="360"/>
      </w:pPr>
    </w:lvl>
    <w:lvl w:ilvl="7" w:tplc="E97E11B0">
      <w:start w:val="1"/>
      <w:numFmt w:val="lowerLetter"/>
      <w:lvlText w:val="%8."/>
      <w:lvlJc w:val="left"/>
      <w:pPr>
        <w:ind w:left="5760" w:hanging="360"/>
      </w:pPr>
    </w:lvl>
    <w:lvl w:ilvl="8" w:tplc="F9E6808A">
      <w:start w:val="1"/>
      <w:numFmt w:val="lowerRoman"/>
      <w:lvlText w:val="%9."/>
      <w:lvlJc w:val="right"/>
      <w:pPr>
        <w:ind w:left="6480" w:hanging="180"/>
      </w:pPr>
    </w:lvl>
  </w:abstractNum>
  <w:abstractNum w:abstractNumId="30">
    <w:nsid w:val="78B14790"/>
    <w:multiLevelType w:val="hybridMultilevel"/>
    <w:tmpl w:val="B3D22160"/>
    <w:lvl w:ilvl="0" w:tplc="C6CE5408">
      <w:start w:val="1"/>
      <w:numFmt w:val="decimal"/>
      <w:lvlText w:val="%1."/>
      <w:lvlJc w:val="left"/>
      <w:pPr>
        <w:ind w:left="720" w:hanging="360"/>
      </w:pPr>
    </w:lvl>
    <w:lvl w:ilvl="1" w:tplc="48845D84">
      <w:start w:val="1"/>
      <w:numFmt w:val="lowerLetter"/>
      <w:lvlText w:val="%2."/>
      <w:lvlJc w:val="left"/>
      <w:pPr>
        <w:ind w:left="1440" w:hanging="360"/>
      </w:pPr>
    </w:lvl>
    <w:lvl w:ilvl="2" w:tplc="E646CD20">
      <w:start w:val="1"/>
      <w:numFmt w:val="lowerRoman"/>
      <w:lvlText w:val="%3."/>
      <w:lvlJc w:val="right"/>
      <w:pPr>
        <w:ind w:left="2160" w:hanging="180"/>
      </w:pPr>
    </w:lvl>
    <w:lvl w:ilvl="3" w:tplc="02889C36">
      <w:start w:val="1"/>
      <w:numFmt w:val="decimal"/>
      <w:lvlText w:val="%4."/>
      <w:lvlJc w:val="left"/>
      <w:pPr>
        <w:ind w:left="2880" w:hanging="360"/>
      </w:pPr>
    </w:lvl>
    <w:lvl w:ilvl="4" w:tplc="430A3C64">
      <w:start w:val="1"/>
      <w:numFmt w:val="lowerLetter"/>
      <w:lvlText w:val="%5."/>
      <w:lvlJc w:val="left"/>
      <w:pPr>
        <w:ind w:left="3600" w:hanging="360"/>
      </w:pPr>
    </w:lvl>
    <w:lvl w:ilvl="5" w:tplc="41222820">
      <w:start w:val="1"/>
      <w:numFmt w:val="lowerRoman"/>
      <w:lvlText w:val="%6."/>
      <w:lvlJc w:val="right"/>
      <w:pPr>
        <w:ind w:left="4320" w:hanging="180"/>
      </w:pPr>
    </w:lvl>
    <w:lvl w:ilvl="6" w:tplc="B5D43258">
      <w:start w:val="1"/>
      <w:numFmt w:val="decimal"/>
      <w:lvlText w:val="%7."/>
      <w:lvlJc w:val="left"/>
      <w:pPr>
        <w:ind w:left="5040" w:hanging="360"/>
      </w:pPr>
    </w:lvl>
    <w:lvl w:ilvl="7" w:tplc="A9BE77B6">
      <w:start w:val="1"/>
      <w:numFmt w:val="lowerLetter"/>
      <w:lvlText w:val="%8."/>
      <w:lvlJc w:val="left"/>
      <w:pPr>
        <w:ind w:left="5760" w:hanging="360"/>
      </w:pPr>
    </w:lvl>
    <w:lvl w:ilvl="8" w:tplc="0DACFB10">
      <w:start w:val="1"/>
      <w:numFmt w:val="lowerRoman"/>
      <w:lvlText w:val="%9."/>
      <w:lvlJc w:val="right"/>
      <w:pPr>
        <w:ind w:left="6480" w:hanging="180"/>
      </w:pPr>
    </w:lvl>
  </w:abstractNum>
  <w:num w:numId="1">
    <w:abstractNumId w:val="20"/>
  </w:num>
  <w:num w:numId="2">
    <w:abstractNumId w:val="17"/>
  </w:num>
  <w:num w:numId="3">
    <w:abstractNumId w:val="16"/>
  </w:num>
  <w:num w:numId="4">
    <w:abstractNumId w:val="2"/>
  </w:num>
  <w:num w:numId="5">
    <w:abstractNumId w:val="11"/>
  </w:num>
  <w:num w:numId="6">
    <w:abstractNumId w:val="22"/>
  </w:num>
  <w:num w:numId="7">
    <w:abstractNumId w:val="6"/>
  </w:num>
  <w:num w:numId="8">
    <w:abstractNumId w:val="7"/>
  </w:num>
  <w:num w:numId="9">
    <w:abstractNumId w:val="3"/>
  </w:num>
  <w:num w:numId="10">
    <w:abstractNumId w:val="24"/>
  </w:num>
  <w:num w:numId="11">
    <w:abstractNumId w:val="10"/>
  </w:num>
  <w:num w:numId="12">
    <w:abstractNumId w:val="8"/>
  </w:num>
  <w:num w:numId="13">
    <w:abstractNumId w:val="21"/>
  </w:num>
  <w:num w:numId="14">
    <w:abstractNumId w:val="25"/>
  </w:num>
  <w:num w:numId="15">
    <w:abstractNumId w:val="29"/>
  </w:num>
  <w:num w:numId="16">
    <w:abstractNumId w:val="26"/>
  </w:num>
  <w:num w:numId="17">
    <w:abstractNumId w:val="18"/>
  </w:num>
  <w:num w:numId="18">
    <w:abstractNumId w:val="5"/>
  </w:num>
  <w:num w:numId="19">
    <w:abstractNumId w:val="30"/>
  </w:num>
  <w:num w:numId="20">
    <w:abstractNumId w:val="13"/>
  </w:num>
  <w:num w:numId="21">
    <w:abstractNumId w:val="12"/>
  </w:num>
  <w:num w:numId="22">
    <w:abstractNumId w:val="4"/>
  </w:num>
  <w:num w:numId="23">
    <w:abstractNumId w:val="1"/>
  </w:num>
  <w:num w:numId="24">
    <w:abstractNumId w:val="28"/>
  </w:num>
  <w:num w:numId="25">
    <w:abstractNumId w:val="0"/>
  </w:num>
  <w:num w:numId="26">
    <w:abstractNumId w:val="19"/>
  </w:num>
  <w:num w:numId="27">
    <w:abstractNumId w:val="27"/>
  </w:num>
  <w:num w:numId="28">
    <w:abstractNumId w:val="15"/>
  </w:num>
  <w:num w:numId="29">
    <w:abstractNumId w:val="9"/>
  </w:num>
  <w:num w:numId="30">
    <w:abstractNumId w:val="14"/>
  </w:num>
  <w:num w:numId="31">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2D92264B"/>
    <w:rsid w:val="000B63D4"/>
    <w:rsid w:val="008D0028"/>
    <w:rsid w:val="00A31620"/>
    <w:rsid w:val="00B1F52B"/>
    <w:rsid w:val="00B267F4"/>
    <w:rsid w:val="00B27863"/>
    <w:rsid w:val="00E39BED"/>
    <w:rsid w:val="00E92A68"/>
    <w:rsid w:val="00EC7D3D"/>
    <w:rsid w:val="00FF435D"/>
    <w:rsid w:val="015D725D"/>
    <w:rsid w:val="0161B1BB"/>
    <w:rsid w:val="016EF951"/>
    <w:rsid w:val="01750A6B"/>
    <w:rsid w:val="01C0939B"/>
    <w:rsid w:val="01FF0CBB"/>
    <w:rsid w:val="0228B7ED"/>
    <w:rsid w:val="02295BD1"/>
    <w:rsid w:val="022DB36E"/>
    <w:rsid w:val="0252650D"/>
    <w:rsid w:val="02DD8CE3"/>
    <w:rsid w:val="02F05AF5"/>
    <w:rsid w:val="0300E4E2"/>
    <w:rsid w:val="03258301"/>
    <w:rsid w:val="0328627E"/>
    <w:rsid w:val="03688A97"/>
    <w:rsid w:val="03A647F2"/>
    <w:rsid w:val="03E15CD7"/>
    <w:rsid w:val="03EF6F47"/>
    <w:rsid w:val="0406AD50"/>
    <w:rsid w:val="041831BF"/>
    <w:rsid w:val="042BAEC2"/>
    <w:rsid w:val="0442B251"/>
    <w:rsid w:val="045FE1E9"/>
    <w:rsid w:val="0461F309"/>
    <w:rsid w:val="04AEEDA0"/>
    <w:rsid w:val="04BC97E2"/>
    <w:rsid w:val="05C3A6C2"/>
    <w:rsid w:val="05E977B2"/>
    <w:rsid w:val="0603257F"/>
    <w:rsid w:val="060498A1"/>
    <w:rsid w:val="062100C4"/>
    <w:rsid w:val="0639275E"/>
    <w:rsid w:val="063ED8BC"/>
    <w:rsid w:val="0669EE96"/>
    <w:rsid w:val="067B88E9"/>
    <w:rsid w:val="0697C8A6"/>
    <w:rsid w:val="06ABE708"/>
    <w:rsid w:val="07347F3E"/>
    <w:rsid w:val="0762A52B"/>
    <w:rsid w:val="07680796"/>
    <w:rsid w:val="078ABECF"/>
    <w:rsid w:val="07A0E8ED"/>
    <w:rsid w:val="07C9D5F2"/>
    <w:rsid w:val="07E5BA5B"/>
    <w:rsid w:val="080AB871"/>
    <w:rsid w:val="0832763D"/>
    <w:rsid w:val="0833C986"/>
    <w:rsid w:val="0835A72C"/>
    <w:rsid w:val="084E7F4E"/>
    <w:rsid w:val="08683480"/>
    <w:rsid w:val="088A4403"/>
    <w:rsid w:val="08905CCA"/>
    <w:rsid w:val="08BF7480"/>
    <w:rsid w:val="09145F51"/>
    <w:rsid w:val="09875428"/>
    <w:rsid w:val="09A30FE4"/>
    <w:rsid w:val="09C754EE"/>
    <w:rsid w:val="09E8F7C3"/>
    <w:rsid w:val="09EBFA80"/>
    <w:rsid w:val="09F08595"/>
    <w:rsid w:val="09FAEE07"/>
    <w:rsid w:val="0A022AD1"/>
    <w:rsid w:val="0A196C3F"/>
    <w:rsid w:val="0A3146D9"/>
    <w:rsid w:val="0A359524"/>
    <w:rsid w:val="0AB05998"/>
    <w:rsid w:val="0ADC969A"/>
    <w:rsid w:val="0AF91703"/>
    <w:rsid w:val="0B038AE0"/>
    <w:rsid w:val="0B2AFCD9"/>
    <w:rsid w:val="0B2F18CD"/>
    <w:rsid w:val="0B32BEA2"/>
    <w:rsid w:val="0B7BD9A6"/>
    <w:rsid w:val="0B94D5C5"/>
    <w:rsid w:val="0BC19CFF"/>
    <w:rsid w:val="0BC20CA0"/>
    <w:rsid w:val="0BCFC5B0"/>
    <w:rsid w:val="0BD823DB"/>
    <w:rsid w:val="0C0427D3"/>
    <w:rsid w:val="0C5EAD5A"/>
    <w:rsid w:val="0C8A01CD"/>
    <w:rsid w:val="0CB0C243"/>
    <w:rsid w:val="0CBAFE9E"/>
    <w:rsid w:val="0CC8C9CB"/>
    <w:rsid w:val="0CE67EEE"/>
    <w:rsid w:val="0D147E52"/>
    <w:rsid w:val="0D5AC964"/>
    <w:rsid w:val="0DA06BDA"/>
    <w:rsid w:val="0DA228C4"/>
    <w:rsid w:val="0DC2F129"/>
    <w:rsid w:val="0DCE21C8"/>
    <w:rsid w:val="0E08259C"/>
    <w:rsid w:val="0E2F753B"/>
    <w:rsid w:val="0E7EC406"/>
    <w:rsid w:val="0EB32029"/>
    <w:rsid w:val="0EBAA57B"/>
    <w:rsid w:val="0ED75AFC"/>
    <w:rsid w:val="0EFE4795"/>
    <w:rsid w:val="0F4EDD82"/>
    <w:rsid w:val="0F521631"/>
    <w:rsid w:val="0FA3DDB2"/>
    <w:rsid w:val="0FF24264"/>
    <w:rsid w:val="0FF7FC8C"/>
    <w:rsid w:val="0FF8F427"/>
    <w:rsid w:val="10131E20"/>
    <w:rsid w:val="101E5251"/>
    <w:rsid w:val="104CD307"/>
    <w:rsid w:val="108363E8"/>
    <w:rsid w:val="10D17729"/>
    <w:rsid w:val="10DE5011"/>
    <w:rsid w:val="10F39A51"/>
    <w:rsid w:val="110535FC"/>
    <w:rsid w:val="1144061D"/>
    <w:rsid w:val="11511CDF"/>
    <w:rsid w:val="11A15419"/>
    <w:rsid w:val="11A2D7BA"/>
    <w:rsid w:val="11CE9150"/>
    <w:rsid w:val="12092FCD"/>
    <w:rsid w:val="12150C5A"/>
    <w:rsid w:val="121B882B"/>
    <w:rsid w:val="1224AB2A"/>
    <w:rsid w:val="125017C6"/>
    <w:rsid w:val="128F5075"/>
    <w:rsid w:val="129804A4"/>
    <w:rsid w:val="12AF44C7"/>
    <w:rsid w:val="12EC27BC"/>
    <w:rsid w:val="1343F295"/>
    <w:rsid w:val="1357483A"/>
    <w:rsid w:val="13664345"/>
    <w:rsid w:val="1368CB94"/>
    <w:rsid w:val="1393F2F3"/>
    <w:rsid w:val="13A18D55"/>
    <w:rsid w:val="13BC7D04"/>
    <w:rsid w:val="13E63F63"/>
    <w:rsid w:val="14233350"/>
    <w:rsid w:val="143CF108"/>
    <w:rsid w:val="149D1821"/>
    <w:rsid w:val="14B3CB56"/>
    <w:rsid w:val="14F01410"/>
    <w:rsid w:val="1530E7F2"/>
    <w:rsid w:val="153A4A7B"/>
    <w:rsid w:val="153D285C"/>
    <w:rsid w:val="15608E0B"/>
    <w:rsid w:val="1561862B"/>
    <w:rsid w:val="157A33CC"/>
    <w:rsid w:val="159CA654"/>
    <w:rsid w:val="15F5C446"/>
    <w:rsid w:val="15F67BD6"/>
    <w:rsid w:val="1617ADD8"/>
    <w:rsid w:val="162FE6BD"/>
    <w:rsid w:val="163F75D8"/>
    <w:rsid w:val="1642058F"/>
    <w:rsid w:val="167B8312"/>
    <w:rsid w:val="169B4C76"/>
    <w:rsid w:val="16EBAA6E"/>
    <w:rsid w:val="16F1A7E2"/>
    <w:rsid w:val="16FC24C0"/>
    <w:rsid w:val="17B8EFB5"/>
    <w:rsid w:val="17BFF0EC"/>
    <w:rsid w:val="17E7678E"/>
    <w:rsid w:val="17F70550"/>
    <w:rsid w:val="1810CDD5"/>
    <w:rsid w:val="181EA68C"/>
    <w:rsid w:val="1830BEC7"/>
    <w:rsid w:val="18579DF3"/>
    <w:rsid w:val="1877989B"/>
    <w:rsid w:val="18B205EB"/>
    <w:rsid w:val="18B77B98"/>
    <w:rsid w:val="18FF5EB7"/>
    <w:rsid w:val="19627AC5"/>
    <w:rsid w:val="1998FBB2"/>
    <w:rsid w:val="199C9F83"/>
    <w:rsid w:val="19B25B0E"/>
    <w:rsid w:val="19B7C7CF"/>
    <w:rsid w:val="19E6C429"/>
    <w:rsid w:val="1A1F44AF"/>
    <w:rsid w:val="1A5FD6E4"/>
    <w:rsid w:val="1B0EED26"/>
    <w:rsid w:val="1B14AA42"/>
    <w:rsid w:val="1B56AF68"/>
    <w:rsid w:val="1B6C374F"/>
    <w:rsid w:val="1B909D8B"/>
    <w:rsid w:val="1B9C6519"/>
    <w:rsid w:val="1BD4D41C"/>
    <w:rsid w:val="1BECF42E"/>
    <w:rsid w:val="1BFA29AA"/>
    <w:rsid w:val="1C3872A6"/>
    <w:rsid w:val="1C565764"/>
    <w:rsid w:val="1C7B9B21"/>
    <w:rsid w:val="1C826A03"/>
    <w:rsid w:val="1C87E1C9"/>
    <w:rsid w:val="1C88092F"/>
    <w:rsid w:val="1C9D3956"/>
    <w:rsid w:val="1CA5245B"/>
    <w:rsid w:val="1CF69A74"/>
    <w:rsid w:val="1D51C70C"/>
    <w:rsid w:val="1D78124C"/>
    <w:rsid w:val="1D85A9A7"/>
    <w:rsid w:val="1DBC149D"/>
    <w:rsid w:val="1DCD06E4"/>
    <w:rsid w:val="1DD30BC7"/>
    <w:rsid w:val="1DD5C7CC"/>
    <w:rsid w:val="1DFF4827"/>
    <w:rsid w:val="1E00308D"/>
    <w:rsid w:val="1E71CB18"/>
    <w:rsid w:val="1E921F87"/>
    <w:rsid w:val="1E956885"/>
    <w:rsid w:val="1F1ABE5A"/>
    <w:rsid w:val="1F282303"/>
    <w:rsid w:val="1F380235"/>
    <w:rsid w:val="1F3A05FE"/>
    <w:rsid w:val="1F4A4DB0"/>
    <w:rsid w:val="1F5A41F2"/>
    <w:rsid w:val="1F9BE2F9"/>
    <w:rsid w:val="2014BEF9"/>
    <w:rsid w:val="20926FAB"/>
    <w:rsid w:val="20951DC0"/>
    <w:rsid w:val="209BA281"/>
    <w:rsid w:val="20BACFE8"/>
    <w:rsid w:val="2101CEDD"/>
    <w:rsid w:val="21040139"/>
    <w:rsid w:val="2113234D"/>
    <w:rsid w:val="2114E7E9"/>
    <w:rsid w:val="211614FA"/>
    <w:rsid w:val="211E3FE3"/>
    <w:rsid w:val="212A4384"/>
    <w:rsid w:val="21926831"/>
    <w:rsid w:val="21C21300"/>
    <w:rsid w:val="21CEFEA0"/>
    <w:rsid w:val="21DE038B"/>
    <w:rsid w:val="2233FC67"/>
    <w:rsid w:val="2239778A"/>
    <w:rsid w:val="2289BD3D"/>
    <w:rsid w:val="22B8C8D9"/>
    <w:rsid w:val="22CA5B5C"/>
    <w:rsid w:val="22EDF1C3"/>
    <w:rsid w:val="22FA766A"/>
    <w:rsid w:val="23031F95"/>
    <w:rsid w:val="23258C89"/>
    <w:rsid w:val="235E5D34"/>
    <w:rsid w:val="23A04117"/>
    <w:rsid w:val="23A21812"/>
    <w:rsid w:val="23A672CD"/>
    <w:rsid w:val="23AB01BD"/>
    <w:rsid w:val="2403B3A8"/>
    <w:rsid w:val="24547A21"/>
    <w:rsid w:val="245774BE"/>
    <w:rsid w:val="245FE111"/>
    <w:rsid w:val="248BF1B2"/>
    <w:rsid w:val="24FCFAF7"/>
    <w:rsid w:val="25163203"/>
    <w:rsid w:val="259CA631"/>
    <w:rsid w:val="259E9DD6"/>
    <w:rsid w:val="259F4B64"/>
    <w:rsid w:val="25B998E8"/>
    <w:rsid w:val="25F08EB5"/>
    <w:rsid w:val="26479537"/>
    <w:rsid w:val="264A048D"/>
    <w:rsid w:val="264E9CE7"/>
    <w:rsid w:val="267B6060"/>
    <w:rsid w:val="26836500"/>
    <w:rsid w:val="26C2D8C5"/>
    <w:rsid w:val="26D1F70F"/>
    <w:rsid w:val="26D3F215"/>
    <w:rsid w:val="26EE6FB7"/>
    <w:rsid w:val="271700A6"/>
    <w:rsid w:val="27339A39"/>
    <w:rsid w:val="2761FA50"/>
    <w:rsid w:val="2763DF4B"/>
    <w:rsid w:val="279A58AE"/>
    <w:rsid w:val="27C72A0B"/>
    <w:rsid w:val="28117B2E"/>
    <w:rsid w:val="28318DA5"/>
    <w:rsid w:val="2875126C"/>
    <w:rsid w:val="28A374BF"/>
    <w:rsid w:val="28C2ACB1"/>
    <w:rsid w:val="290F53F9"/>
    <w:rsid w:val="292A98F0"/>
    <w:rsid w:val="295E5E99"/>
    <w:rsid w:val="296B37AE"/>
    <w:rsid w:val="29714473"/>
    <w:rsid w:val="29992C15"/>
    <w:rsid w:val="29BD2D80"/>
    <w:rsid w:val="2AA8AE73"/>
    <w:rsid w:val="2AA8B111"/>
    <w:rsid w:val="2AC6A417"/>
    <w:rsid w:val="2B29F46A"/>
    <w:rsid w:val="2B63433E"/>
    <w:rsid w:val="2B6B0D5C"/>
    <w:rsid w:val="2B782F38"/>
    <w:rsid w:val="2B7A95F6"/>
    <w:rsid w:val="2B98700F"/>
    <w:rsid w:val="2C12E479"/>
    <w:rsid w:val="2C25EB01"/>
    <w:rsid w:val="2C46FBBA"/>
    <w:rsid w:val="2C7C4227"/>
    <w:rsid w:val="2C86618B"/>
    <w:rsid w:val="2C923853"/>
    <w:rsid w:val="2C9A6A6A"/>
    <w:rsid w:val="2CAE34C8"/>
    <w:rsid w:val="2CD519C3"/>
    <w:rsid w:val="2CE0E533"/>
    <w:rsid w:val="2D3868DB"/>
    <w:rsid w:val="2D420AD4"/>
    <w:rsid w:val="2D62CF59"/>
    <w:rsid w:val="2D75B2BE"/>
    <w:rsid w:val="2D92264B"/>
    <w:rsid w:val="2DA89877"/>
    <w:rsid w:val="2DB93C50"/>
    <w:rsid w:val="2DD0CC50"/>
    <w:rsid w:val="2DD51ED6"/>
    <w:rsid w:val="2E362B71"/>
    <w:rsid w:val="2E497E58"/>
    <w:rsid w:val="2E7D649F"/>
    <w:rsid w:val="2E8AFE05"/>
    <w:rsid w:val="2EBBD164"/>
    <w:rsid w:val="2EC88544"/>
    <w:rsid w:val="2F0B8573"/>
    <w:rsid w:val="2F158F2D"/>
    <w:rsid w:val="2F2C4854"/>
    <w:rsid w:val="2F5BD2C0"/>
    <w:rsid w:val="2F6CE9E9"/>
    <w:rsid w:val="2F7658BD"/>
    <w:rsid w:val="2F9981E7"/>
    <w:rsid w:val="2FC032FE"/>
    <w:rsid w:val="2FC8C11A"/>
    <w:rsid w:val="2FDF2AFC"/>
    <w:rsid w:val="30393424"/>
    <w:rsid w:val="3043B7BB"/>
    <w:rsid w:val="304F69C9"/>
    <w:rsid w:val="30977ACE"/>
    <w:rsid w:val="30A72CAE"/>
    <w:rsid w:val="30BE248A"/>
    <w:rsid w:val="30C0BC9E"/>
    <w:rsid w:val="30E2BA7F"/>
    <w:rsid w:val="30EA8136"/>
    <w:rsid w:val="30F5E934"/>
    <w:rsid w:val="30F81CD0"/>
    <w:rsid w:val="310F0DBD"/>
    <w:rsid w:val="31ABA56D"/>
    <w:rsid w:val="31E39665"/>
    <w:rsid w:val="31EEF238"/>
    <w:rsid w:val="31FE7747"/>
    <w:rsid w:val="3211081A"/>
    <w:rsid w:val="3250D83C"/>
    <w:rsid w:val="326A4343"/>
    <w:rsid w:val="331B0DE3"/>
    <w:rsid w:val="335AD2E2"/>
    <w:rsid w:val="33783622"/>
    <w:rsid w:val="33881E9F"/>
    <w:rsid w:val="33BCE0CA"/>
    <w:rsid w:val="341B085E"/>
    <w:rsid w:val="348D8F36"/>
    <w:rsid w:val="3496763D"/>
    <w:rsid w:val="34AD0122"/>
    <w:rsid w:val="34BC792E"/>
    <w:rsid w:val="34E1660F"/>
    <w:rsid w:val="34E29917"/>
    <w:rsid w:val="34FF9363"/>
    <w:rsid w:val="3517C778"/>
    <w:rsid w:val="357E29A4"/>
    <w:rsid w:val="35801591"/>
    <w:rsid w:val="35C10996"/>
    <w:rsid w:val="35C4AEE6"/>
    <w:rsid w:val="3604BB94"/>
    <w:rsid w:val="36271B27"/>
    <w:rsid w:val="3630199C"/>
    <w:rsid w:val="3662DAB0"/>
    <w:rsid w:val="36CB141D"/>
    <w:rsid w:val="36D6070C"/>
    <w:rsid w:val="36EC9B15"/>
    <w:rsid w:val="36F1D787"/>
    <w:rsid w:val="36FBDBAD"/>
    <w:rsid w:val="36FFB126"/>
    <w:rsid w:val="37145823"/>
    <w:rsid w:val="374B7C0F"/>
    <w:rsid w:val="37B9724D"/>
    <w:rsid w:val="37DDB07E"/>
    <w:rsid w:val="37FB81F5"/>
    <w:rsid w:val="380838A0"/>
    <w:rsid w:val="381E352A"/>
    <w:rsid w:val="386F35A8"/>
    <w:rsid w:val="387BDF5F"/>
    <w:rsid w:val="388F25D5"/>
    <w:rsid w:val="38939E51"/>
    <w:rsid w:val="38974DD3"/>
    <w:rsid w:val="38C658F1"/>
    <w:rsid w:val="38C69979"/>
    <w:rsid w:val="38EFE8E6"/>
    <w:rsid w:val="3915C83E"/>
    <w:rsid w:val="39237F70"/>
    <w:rsid w:val="392848C4"/>
    <w:rsid w:val="39301EEE"/>
    <w:rsid w:val="393429DB"/>
    <w:rsid w:val="39425F67"/>
    <w:rsid w:val="39618FA1"/>
    <w:rsid w:val="398361E2"/>
    <w:rsid w:val="399C7EDF"/>
    <w:rsid w:val="3A1B2F06"/>
    <w:rsid w:val="3A24D4E6"/>
    <w:rsid w:val="3A3B31A1"/>
    <w:rsid w:val="3AE53822"/>
    <w:rsid w:val="3B10287B"/>
    <w:rsid w:val="3B68074F"/>
    <w:rsid w:val="3B7774B7"/>
    <w:rsid w:val="3B959639"/>
    <w:rsid w:val="3BBE7BE0"/>
    <w:rsid w:val="3BCC6129"/>
    <w:rsid w:val="3BD3ED71"/>
    <w:rsid w:val="3BD50E20"/>
    <w:rsid w:val="3C488D25"/>
    <w:rsid w:val="3C71713F"/>
    <w:rsid w:val="3CAC4B5F"/>
    <w:rsid w:val="3CB10870"/>
    <w:rsid w:val="3D09DA71"/>
    <w:rsid w:val="3D29898F"/>
    <w:rsid w:val="3D436476"/>
    <w:rsid w:val="3D5B81AD"/>
    <w:rsid w:val="3D80A8A1"/>
    <w:rsid w:val="3D845309"/>
    <w:rsid w:val="3D87F72D"/>
    <w:rsid w:val="3DA13904"/>
    <w:rsid w:val="3DFAAD3C"/>
    <w:rsid w:val="3E13106B"/>
    <w:rsid w:val="3E16D258"/>
    <w:rsid w:val="3E49B920"/>
    <w:rsid w:val="3E4D2CC8"/>
    <w:rsid w:val="3E848AA6"/>
    <w:rsid w:val="3E92AFAE"/>
    <w:rsid w:val="3EAE67DB"/>
    <w:rsid w:val="3ED33B17"/>
    <w:rsid w:val="3EFE412F"/>
    <w:rsid w:val="3F202AE7"/>
    <w:rsid w:val="3F2C03BB"/>
    <w:rsid w:val="3F8F37B2"/>
    <w:rsid w:val="3F93F37A"/>
    <w:rsid w:val="3FA1695F"/>
    <w:rsid w:val="3FCDB959"/>
    <w:rsid w:val="4011A36E"/>
    <w:rsid w:val="40195434"/>
    <w:rsid w:val="403374DB"/>
    <w:rsid w:val="4059FE94"/>
    <w:rsid w:val="40A9F5F1"/>
    <w:rsid w:val="40AD6A90"/>
    <w:rsid w:val="40D57D08"/>
    <w:rsid w:val="40EA8455"/>
    <w:rsid w:val="40EC17AF"/>
    <w:rsid w:val="40FAF735"/>
    <w:rsid w:val="413D0ED0"/>
    <w:rsid w:val="417EE158"/>
    <w:rsid w:val="41828BAD"/>
    <w:rsid w:val="418B6F52"/>
    <w:rsid w:val="41A192CC"/>
    <w:rsid w:val="41A93D61"/>
    <w:rsid w:val="41AC4DCC"/>
    <w:rsid w:val="41F4357B"/>
    <w:rsid w:val="4203B12E"/>
    <w:rsid w:val="4246FA43"/>
    <w:rsid w:val="42947FC7"/>
    <w:rsid w:val="429BCF37"/>
    <w:rsid w:val="42FBD25E"/>
    <w:rsid w:val="43409056"/>
    <w:rsid w:val="434A672B"/>
    <w:rsid w:val="437BC412"/>
    <w:rsid w:val="43934AC0"/>
    <w:rsid w:val="43F42791"/>
    <w:rsid w:val="441AFF36"/>
    <w:rsid w:val="441D667D"/>
    <w:rsid w:val="44315BA8"/>
    <w:rsid w:val="443979EF"/>
    <w:rsid w:val="446E3D63"/>
    <w:rsid w:val="44AC2765"/>
    <w:rsid w:val="44B8914B"/>
    <w:rsid w:val="44E29907"/>
    <w:rsid w:val="45010B95"/>
    <w:rsid w:val="451AA8CB"/>
    <w:rsid w:val="45B41F03"/>
    <w:rsid w:val="45CF7F5A"/>
    <w:rsid w:val="45CFFD66"/>
    <w:rsid w:val="45D0B3FA"/>
    <w:rsid w:val="45E05030"/>
    <w:rsid w:val="45FE69CE"/>
    <w:rsid w:val="4609AEFB"/>
    <w:rsid w:val="4657BC3B"/>
    <w:rsid w:val="465819C3"/>
    <w:rsid w:val="465D63C9"/>
    <w:rsid w:val="46685E60"/>
    <w:rsid w:val="467CD584"/>
    <w:rsid w:val="468A8AB8"/>
    <w:rsid w:val="4691C3D9"/>
    <w:rsid w:val="46A89887"/>
    <w:rsid w:val="46AA221B"/>
    <w:rsid w:val="46D6144F"/>
    <w:rsid w:val="47700E15"/>
    <w:rsid w:val="47BFE431"/>
    <w:rsid w:val="47CD00B1"/>
    <w:rsid w:val="47DBC21F"/>
    <w:rsid w:val="47E0A591"/>
    <w:rsid w:val="487086C8"/>
    <w:rsid w:val="48EF642C"/>
    <w:rsid w:val="48EF6AB1"/>
    <w:rsid w:val="490729ED"/>
    <w:rsid w:val="49165C83"/>
    <w:rsid w:val="4921C3E9"/>
    <w:rsid w:val="496B4F60"/>
    <w:rsid w:val="49A6AEF7"/>
    <w:rsid w:val="49B839A7"/>
    <w:rsid w:val="49C54F27"/>
    <w:rsid w:val="49CB8A3F"/>
    <w:rsid w:val="49FC1427"/>
    <w:rsid w:val="49FEB8B8"/>
    <w:rsid w:val="4A27BEBD"/>
    <w:rsid w:val="4A7926AE"/>
    <w:rsid w:val="4AD86E6B"/>
    <w:rsid w:val="4AEEDADF"/>
    <w:rsid w:val="4B920A95"/>
    <w:rsid w:val="4B92B06C"/>
    <w:rsid w:val="4B9749B8"/>
    <w:rsid w:val="4BC09290"/>
    <w:rsid w:val="4BC2C9A5"/>
    <w:rsid w:val="4BD43F3D"/>
    <w:rsid w:val="4C79A034"/>
    <w:rsid w:val="4CAD0DB4"/>
    <w:rsid w:val="4DA91F08"/>
    <w:rsid w:val="4DF41460"/>
    <w:rsid w:val="4E090CCF"/>
    <w:rsid w:val="4E3BD944"/>
    <w:rsid w:val="4E42A22F"/>
    <w:rsid w:val="4E576DD4"/>
    <w:rsid w:val="4E6AA3AB"/>
    <w:rsid w:val="4E7975E5"/>
    <w:rsid w:val="4E9C5B84"/>
    <w:rsid w:val="4EA718FD"/>
    <w:rsid w:val="4EC22540"/>
    <w:rsid w:val="4EEFEA58"/>
    <w:rsid w:val="4EF762E1"/>
    <w:rsid w:val="4F3B3FB2"/>
    <w:rsid w:val="4F86494B"/>
    <w:rsid w:val="4F9F669C"/>
    <w:rsid w:val="4FC4493C"/>
    <w:rsid w:val="501505C4"/>
    <w:rsid w:val="502784EB"/>
    <w:rsid w:val="50372146"/>
    <w:rsid w:val="504AC02D"/>
    <w:rsid w:val="50744610"/>
    <w:rsid w:val="50AD41A8"/>
    <w:rsid w:val="50B37899"/>
    <w:rsid w:val="50BE8CD2"/>
    <w:rsid w:val="50C17805"/>
    <w:rsid w:val="51357BFF"/>
    <w:rsid w:val="515FAC9F"/>
    <w:rsid w:val="519364F8"/>
    <w:rsid w:val="51DEFAA3"/>
    <w:rsid w:val="51EDDD58"/>
    <w:rsid w:val="522A22E1"/>
    <w:rsid w:val="523BF722"/>
    <w:rsid w:val="5250CD85"/>
    <w:rsid w:val="52CEDBF3"/>
    <w:rsid w:val="52FE4C15"/>
    <w:rsid w:val="531C9790"/>
    <w:rsid w:val="53416CE4"/>
    <w:rsid w:val="534D0375"/>
    <w:rsid w:val="53502DDC"/>
    <w:rsid w:val="536852FE"/>
    <w:rsid w:val="53708C76"/>
    <w:rsid w:val="53A2EB0E"/>
    <w:rsid w:val="53E904B5"/>
    <w:rsid w:val="53FA3085"/>
    <w:rsid w:val="5448AEE7"/>
    <w:rsid w:val="546826FB"/>
    <w:rsid w:val="5476E14A"/>
    <w:rsid w:val="5491BF92"/>
    <w:rsid w:val="549F725D"/>
    <w:rsid w:val="54CB1416"/>
    <w:rsid w:val="5543302C"/>
    <w:rsid w:val="557ACB17"/>
    <w:rsid w:val="55DCC0A4"/>
    <w:rsid w:val="55E0F5FE"/>
    <w:rsid w:val="5682DC4B"/>
    <w:rsid w:val="5702E57C"/>
    <w:rsid w:val="5706A0A5"/>
    <w:rsid w:val="570AD86D"/>
    <w:rsid w:val="570DCE06"/>
    <w:rsid w:val="57210AB0"/>
    <w:rsid w:val="577154D7"/>
    <w:rsid w:val="577FFFFE"/>
    <w:rsid w:val="57A7916E"/>
    <w:rsid w:val="57A97546"/>
    <w:rsid w:val="57AAD8F6"/>
    <w:rsid w:val="57BCB59A"/>
    <w:rsid w:val="58239B06"/>
    <w:rsid w:val="5829518E"/>
    <w:rsid w:val="58470CB0"/>
    <w:rsid w:val="586F3F02"/>
    <w:rsid w:val="589863D5"/>
    <w:rsid w:val="58C79D1B"/>
    <w:rsid w:val="590F5CCA"/>
    <w:rsid w:val="590FE073"/>
    <w:rsid w:val="596273AF"/>
    <w:rsid w:val="5968257E"/>
    <w:rsid w:val="59CA2FA6"/>
    <w:rsid w:val="59CBA19E"/>
    <w:rsid w:val="5A0B2CFB"/>
    <w:rsid w:val="5A5D4536"/>
    <w:rsid w:val="5A9BF9F5"/>
    <w:rsid w:val="5AC5D281"/>
    <w:rsid w:val="5B038CFC"/>
    <w:rsid w:val="5B248F51"/>
    <w:rsid w:val="5B31A920"/>
    <w:rsid w:val="5B3B5C63"/>
    <w:rsid w:val="5B3DCA2D"/>
    <w:rsid w:val="5B838CD0"/>
    <w:rsid w:val="5B92D5F4"/>
    <w:rsid w:val="5BA3279E"/>
    <w:rsid w:val="5BA42AF5"/>
    <w:rsid w:val="5BC067F1"/>
    <w:rsid w:val="5BC26A4C"/>
    <w:rsid w:val="5BF39E9E"/>
    <w:rsid w:val="5C01B7E1"/>
    <w:rsid w:val="5C382CFB"/>
    <w:rsid w:val="5C7B469E"/>
    <w:rsid w:val="5CA216D0"/>
    <w:rsid w:val="5D07C7F7"/>
    <w:rsid w:val="5D0DCB24"/>
    <w:rsid w:val="5D0E39B0"/>
    <w:rsid w:val="5D78106A"/>
    <w:rsid w:val="5D8CD7CA"/>
    <w:rsid w:val="5DB5BD5C"/>
    <w:rsid w:val="5E31EF73"/>
    <w:rsid w:val="5E3302FE"/>
    <w:rsid w:val="5E3AA247"/>
    <w:rsid w:val="5E98031B"/>
    <w:rsid w:val="5EAE8F15"/>
    <w:rsid w:val="5EBFBC47"/>
    <w:rsid w:val="5EC711F3"/>
    <w:rsid w:val="5ED9511B"/>
    <w:rsid w:val="5F1F10FE"/>
    <w:rsid w:val="5F280C39"/>
    <w:rsid w:val="5F2A39A1"/>
    <w:rsid w:val="5F30DF21"/>
    <w:rsid w:val="5F3C6078"/>
    <w:rsid w:val="5F4614F9"/>
    <w:rsid w:val="5F888AD6"/>
    <w:rsid w:val="5F98247F"/>
    <w:rsid w:val="5FE6D9D6"/>
    <w:rsid w:val="6000E23C"/>
    <w:rsid w:val="60206747"/>
    <w:rsid w:val="60256BF3"/>
    <w:rsid w:val="602BD7BD"/>
    <w:rsid w:val="60442AF1"/>
    <w:rsid w:val="60648945"/>
    <w:rsid w:val="6076BA25"/>
    <w:rsid w:val="60A9A18B"/>
    <w:rsid w:val="60DA8EA2"/>
    <w:rsid w:val="60E5689F"/>
    <w:rsid w:val="6106E834"/>
    <w:rsid w:val="613E9759"/>
    <w:rsid w:val="616ADE3D"/>
    <w:rsid w:val="616F0A01"/>
    <w:rsid w:val="6198D634"/>
    <w:rsid w:val="61A60A0C"/>
    <w:rsid w:val="61B2456F"/>
    <w:rsid w:val="61C823FC"/>
    <w:rsid w:val="61DBDCF9"/>
    <w:rsid w:val="61DD311E"/>
    <w:rsid w:val="61E54F26"/>
    <w:rsid w:val="61F08B58"/>
    <w:rsid w:val="61F5246E"/>
    <w:rsid w:val="620B059B"/>
    <w:rsid w:val="62236050"/>
    <w:rsid w:val="624133F0"/>
    <w:rsid w:val="6262A77A"/>
    <w:rsid w:val="626983D8"/>
    <w:rsid w:val="6292B47A"/>
    <w:rsid w:val="6306071B"/>
    <w:rsid w:val="630ED3C4"/>
    <w:rsid w:val="63154FC1"/>
    <w:rsid w:val="6341D1A1"/>
    <w:rsid w:val="634EEA18"/>
    <w:rsid w:val="63A7E1C0"/>
    <w:rsid w:val="63CED152"/>
    <w:rsid w:val="63CF38BA"/>
    <w:rsid w:val="63DC1130"/>
    <w:rsid w:val="6404F546"/>
    <w:rsid w:val="64053A21"/>
    <w:rsid w:val="642E9270"/>
    <w:rsid w:val="645FADAC"/>
    <w:rsid w:val="649F40EB"/>
    <w:rsid w:val="649F4B5B"/>
    <w:rsid w:val="64B46CA3"/>
    <w:rsid w:val="64B4E3B5"/>
    <w:rsid w:val="64B8D245"/>
    <w:rsid w:val="64BA0D3F"/>
    <w:rsid w:val="651337BC"/>
    <w:rsid w:val="6537224D"/>
    <w:rsid w:val="653819C2"/>
    <w:rsid w:val="653CBD87"/>
    <w:rsid w:val="654790A0"/>
    <w:rsid w:val="6549D7BB"/>
    <w:rsid w:val="657B0FF2"/>
    <w:rsid w:val="65939DDE"/>
    <w:rsid w:val="65B0BDDA"/>
    <w:rsid w:val="65C7D364"/>
    <w:rsid w:val="65EC2D17"/>
    <w:rsid w:val="6601DE96"/>
    <w:rsid w:val="66085EC4"/>
    <w:rsid w:val="6608EAD1"/>
    <w:rsid w:val="660BCC19"/>
    <w:rsid w:val="6635A664"/>
    <w:rsid w:val="664C364B"/>
    <w:rsid w:val="66514C54"/>
    <w:rsid w:val="66544AAD"/>
    <w:rsid w:val="66848E93"/>
    <w:rsid w:val="66860292"/>
    <w:rsid w:val="66ABE746"/>
    <w:rsid w:val="66C380B2"/>
    <w:rsid w:val="66D5FB32"/>
    <w:rsid w:val="6707FD07"/>
    <w:rsid w:val="670D97BE"/>
    <w:rsid w:val="67107618"/>
    <w:rsid w:val="6731CEDE"/>
    <w:rsid w:val="6751B141"/>
    <w:rsid w:val="676517D0"/>
    <w:rsid w:val="67991A65"/>
    <w:rsid w:val="67996DA1"/>
    <w:rsid w:val="67CE113B"/>
    <w:rsid w:val="6848EE21"/>
    <w:rsid w:val="68EF6C0D"/>
    <w:rsid w:val="69021915"/>
    <w:rsid w:val="691AC9C8"/>
    <w:rsid w:val="691B1C2D"/>
    <w:rsid w:val="6922F4E9"/>
    <w:rsid w:val="69600685"/>
    <w:rsid w:val="6968984F"/>
    <w:rsid w:val="6969BA55"/>
    <w:rsid w:val="69827850"/>
    <w:rsid w:val="69B7C2EF"/>
    <w:rsid w:val="6A655942"/>
    <w:rsid w:val="6AA4606F"/>
    <w:rsid w:val="6AB5C4AC"/>
    <w:rsid w:val="6ADDAB83"/>
    <w:rsid w:val="6AEC74D5"/>
    <w:rsid w:val="6B08A3D3"/>
    <w:rsid w:val="6B33108B"/>
    <w:rsid w:val="6B4202E3"/>
    <w:rsid w:val="6B6F0480"/>
    <w:rsid w:val="6B71F49F"/>
    <w:rsid w:val="6B9A26DB"/>
    <w:rsid w:val="6BA77E75"/>
    <w:rsid w:val="6BBEEA4F"/>
    <w:rsid w:val="6BEF51E4"/>
    <w:rsid w:val="6C423401"/>
    <w:rsid w:val="6C95519D"/>
    <w:rsid w:val="6D28F1A3"/>
    <w:rsid w:val="6D32A411"/>
    <w:rsid w:val="6D732CCC"/>
    <w:rsid w:val="6D94AF30"/>
    <w:rsid w:val="6DC1030F"/>
    <w:rsid w:val="6DC9765C"/>
    <w:rsid w:val="6E238B4E"/>
    <w:rsid w:val="6E2546A4"/>
    <w:rsid w:val="6E2C620B"/>
    <w:rsid w:val="6E5C37A0"/>
    <w:rsid w:val="6E74FC57"/>
    <w:rsid w:val="6EAC2389"/>
    <w:rsid w:val="6EEDF3F8"/>
    <w:rsid w:val="6EF7703A"/>
    <w:rsid w:val="6F1510B7"/>
    <w:rsid w:val="6F1EEBBC"/>
    <w:rsid w:val="6F429506"/>
    <w:rsid w:val="6F58E7A7"/>
    <w:rsid w:val="6F6AAD75"/>
    <w:rsid w:val="6FAC5BDA"/>
    <w:rsid w:val="6FC1D7B9"/>
    <w:rsid w:val="701EC4FB"/>
    <w:rsid w:val="7024CB1C"/>
    <w:rsid w:val="702ED029"/>
    <w:rsid w:val="703F767B"/>
    <w:rsid w:val="70798E13"/>
    <w:rsid w:val="708A83BC"/>
    <w:rsid w:val="70DFBB7C"/>
    <w:rsid w:val="70F47458"/>
    <w:rsid w:val="713F9223"/>
    <w:rsid w:val="714AB0C5"/>
    <w:rsid w:val="71713BC6"/>
    <w:rsid w:val="71945E27"/>
    <w:rsid w:val="71C3CAEB"/>
    <w:rsid w:val="71FC3105"/>
    <w:rsid w:val="720F6767"/>
    <w:rsid w:val="724BA261"/>
    <w:rsid w:val="728AA20E"/>
    <w:rsid w:val="72C55E27"/>
    <w:rsid w:val="72FADC64"/>
    <w:rsid w:val="732BF967"/>
    <w:rsid w:val="73710FF5"/>
    <w:rsid w:val="73886F6A"/>
    <w:rsid w:val="73A879DD"/>
    <w:rsid w:val="73D19879"/>
    <w:rsid w:val="73E59274"/>
    <w:rsid w:val="7401486B"/>
    <w:rsid w:val="7425F52D"/>
    <w:rsid w:val="743B2C50"/>
    <w:rsid w:val="74586682"/>
    <w:rsid w:val="746601E1"/>
    <w:rsid w:val="749D7E55"/>
    <w:rsid w:val="74C27E84"/>
    <w:rsid w:val="74C5C3E3"/>
    <w:rsid w:val="752DEC51"/>
    <w:rsid w:val="757C2C7F"/>
    <w:rsid w:val="757DA8E5"/>
    <w:rsid w:val="758F5189"/>
    <w:rsid w:val="759EC8B6"/>
    <w:rsid w:val="75B702D3"/>
    <w:rsid w:val="75D07215"/>
    <w:rsid w:val="75D7A1E3"/>
    <w:rsid w:val="75EA4D13"/>
    <w:rsid w:val="761ABC47"/>
    <w:rsid w:val="76914576"/>
    <w:rsid w:val="76D7B069"/>
    <w:rsid w:val="76F14823"/>
    <w:rsid w:val="77279528"/>
    <w:rsid w:val="772DE51D"/>
    <w:rsid w:val="775CAD19"/>
    <w:rsid w:val="77617A8E"/>
    <w:rsid w:val="77ABC9C4"/>
    <w:rsid w:val="77C60D8B"/>
    <w:rsid w:val="77E27EA5"/>
    <w:rsid w:val="7821A7E0"/>
    <w:rsid w:val="78317903"/>
    <w:rsid w:val="784627BF"/>
    <w:rsid w:val="785F922E"/>
    <w:rsid w:val="786DA0C4"/>
    <w:rsid w:val="787CA34F"/>
    <w:rsid w:val="7891AEFA"/>
    <w:rsid w:val="78A5A13C"/>
    <w:rsid w:val="78B7FACB"/>
    <w:rsid w:val="790DD158"/>
    <w:rsid w:val="79213E43"/>
    <w:rsid w:val="7930BB5C"/>
    <w:rsid w:val="795EC8E0"/>
    <w:rsid w:val="79AFEF30"/>
    <w:rsid w:val="79C5BFF3"/>
    <w:rsid w:val="7A1DA7F0"/>
    <w:rsid w:val="7A225B80"/>
    <w:rsid w:val="7A2B9C82"/>
    <w:rsid w:val="7A3F93BF"/>
    <w:rsid w:val="7A43E9AC"/>
    <w:rsid w:val="7A4EB9A6"/>
    <w:rsid w:val="7A508EFE"/>
    <w:rsid w:val="7A54577E"/>
    <w:rsid w:val="7A54F222"/>
    <w:rsid w:val="7A59EE89"/>
    <w:rsid w:val="7A5B48A9"/>
    <w:rsid w:val="7A857338"/>
    <w:rsid w:val="7AADE9AE"/>
    <w:rsid w:val="7B0F1BC3"/>
    <w:rsid w:val="7B338771"/>
    <w:rsid w:val="7B7A1243"/>
    <w:rsid w:val="7BF99691"/>
    <w:rsid w:val="7C17E3AB"/>
    <w:rsid w:val="7C1B9B2E"/>
    <w:rsid w:val="7C52BA04"/>
    <w:rsid w:val="7C6F3F92"/>
    <w:rsid w:val="7C91EBC6"/>
    <w:rsid w:val="7CA152E5"/>
    <w:rsid w:val="7D0C186B"/>
    <w:rsid w:val="7D21421C"/>
    <w:rsid w:val="7D4D3DBC"/>
    <w:rsid w:val="7D88E2F8"/>
    <w:rsid w:val="7DADE985"/>
    <w:rsid w:val="7DD3E8FE"/>
    <w:rsid w:val="7DDA1FC3"/>
    <w:rsid w:val="7DF02B51"/>
    <w:rsid w:val="7E20BD1D"/>
    <w:rsid w:val="7E47EAF5"/>
    <w:rsid w:val="7E47F655"/>
    <w:rsid w:val="7E72B9D8"/>
    <w:rsid w:val="7E806A5C"/>
    <w:rsid w:val="7E897351"/>
    <w:rsid w:val="7ED45FAC"/>
    <w:rsid w:val="7EE5C998"/>
    <w:rsid w:val="7EF6B96F"/>
    <w:rsid w:val="7EF92822"/>
    <w:rsid w:val="7F19A98D"/>
    <w:rsid w:val="7F1BEFA4"/>
    <w:rsid w:val="7F27363A"/>
    <w:rsid w:val="7FFC948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92264B"/>
  <w15:chartTrackingRefBased/>
  <w15:docId w15:val="{1E42556C-1B10-4032-9BDF-6EB00BA3DD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US" w:eastAsia="ja-JP" w:bidi="ar-SA"/>
      </w:rPr>
    </w:rPrDefault>
    <w:pPrDefault>
      <w:pPr>
        <w:spacing w:after="160" w:line="27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19B7C7CF"/>
    <w:rPr>
      <w:lang w:val="es-CO"/>
    </w:rPr>
  </w:style>
  <w:style w:type="paragraph" w:styleId="Ttulo1">
    <w:name w:val="heading 1"/>
    <w:basedOn w:val="Normal"/>
    <w:next w:val="Normal"/>
    <w:link w:val="Ttulo1Car"/>
    <w:uiPriority w:val="9"/>
    <w:qFormat/>
    <w:rsid w:val="19B7C7C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unhideWhenUsed/>
    <w:qFormat/>
    <w:rsid w:val="19B7C7C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unhideWhenUsed/>
    <w:qFormat/>
    <w:rsid w:val="19B7C7CF"/>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unhideWhenUsed/>
    <w:qFormat/>
    <w:rsid w:val="19B7C7CF"/>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unhideWhenUsed/>
    <w:qFormat/>
    <w:rsid w:val="19B7C7CF"/>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unhideWhenUsed/>
    <w:qFormat/>
    <w:rsid w:val="19B7C7CF"/>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unhideWhenUsed/>
    <w:qFormat/>
    <w:rsid w:val="19B7C7CF"/>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unhideWhenUsed/>
    <w:qFormat/>
    <w:rsid w:val="19B7C7CF"/>
    <w:pPr>
      <w:keepNext/>
      <w:keepLines/>
      <w:spacing w:after="0"/>
      <w:outlineLvl w:val="7"/>
    </w:pPr>
    <w:rPr>
      <w:rFonts w:eastAsiaTheme="majorEastAsia" w:cstheme="majorBidi"/>
      <w:i/>
      <w:iCs/>
      <w:color w:val="272727"/>
    </w:rPr>
  </w:style>
  <w:style w:type="paragraph" w:styleId="Ttulo9">
    <w:name w:val="heading 9"/>
    <w:basedOn w:val="Normal"/>
    <w:next w:val="Normal"/>
    <w:link w:val="Ttulo9Car"/>
    <w:uiPriority w:val="9"/>
    <w:unhideWhenUsed/>
    <w:qFormat/>
    <w:rsid w:val="19B7C7CF"/>
    <w:pPr>
      <w:keepNext/>
      <w:keepLines/>
      <w:spacing w:after="0"/>
      <w:outlineLvl w:val="8"/>
    </w:pPr>
    <w:rPr>
      <w:rFonts w:eastAsiaTheme="majorEastAsia" w:cstheme="majorBidi"/>
      <w:color w:val="272727"/>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rPr>
      <w:rFonts w:eastAsiaTheme="majorEastAsia" w:cstheme="majorBidi"/>
      <w:color w:val="0F4761" w:themeColor="accent1" w:themeShade="BF"/>
    </w:rPr>
  </w:style>
  <w:style w:type="character" w:customStyle="1" w:styleId="Ttulo6Car">
    <w:name w:val="Título 6 Car"/>
    <w:basedOn w:val="Fuentedeprrafopredeter"/>
    <w:link w:val="Ttulo6"/>
    <w:uiPriority w:val="9"/>
    <w:rPr>
      <w:rFonts w:eastAsiaTheme="majorEastAsia" w:cstheme="majorBidi"/>
      <w:i/>
      <w:iCs/>
      <w:color w:val="595959" w:themeColor="text1" w:themeTint="A6"/>
    </w:rPr>
  </w:style>
  <w:style w:type="character" w:customStyle="1" w:styleId="Ttulo7Car">
    <w:name w:val="Título 7 Car"/>
    <w:basedOn w:val="Fuentedeprrafopredeter"/>
    <w:link w:val="Ttulo7"/>
    <w:uiPriority w:val="9"/>
    <w:rPr>
      <w:rFonts w:eastAsiaTheme="majorEastAsia" w:cstheme="majorBidi"/>
      <w:color w:val="595959" w:themeColor="text1" w:themeTint="A6"/>
    </w:rPr>
  </w:style>
  <w:style w:type="character" w:customStyle="1" w:styleId="Ttulo8Car">
    <w:name w:val="Título 8 Car"/>
    <w:basedOn w:val="Fuentedeprrafopredeter"/>
    <w:link w:val="Ttulo8"/>
    <w:uiPriority w:val="9"/>
    <w:rPr>
      <w:rFonts w:eastAsiaTheme="majorEastAsia" w:cstheme="majorBidi"/>
      <w:i/>
      <w:iCs/>
      <w:color w:val="272727" w:themeColor="text1" w:themeTint="D8"/>
    </w:rPr>
  </w:style>
  <w:style w:type="character" w:customStyle="1" w:styleId="Ttulo9Car">
    <w:name w:val="Título 9 Car"/>
    <w:basedOn w:val="Fuentedeprrafopredeter"/>
    <w:link w:val="Ttulo9"/>
    <w:uiPriority w:val="9"/>
    <w:rPr>
      <w:rFonts w:eastAsiaTheme="majorEastAsia" w:cstheme="majorBidi"/>
      <w:color w:val="272727" w:themeColor="text1" w:themeTint="D8"/>
    </w:rPr>
  </w:style>
  <w:style w:type="character" w:customStyle="1" w:styleId="PuestoCar">
    <w:name w:val="Puesto Car"/>
    <w:basedOn w:val="Fuentedeprrafopredeter"/>
    <w:link w:val="Puesto"/>
    <w:uiPriority w:val="10"/>
    <w:rPr>
      <w:rFonts w:asciiTheme="majorHAnsi" w:eastAsiaTheme="majorEastAsia" w:hAnsiTheme="majorHAnsi" w:cstheme="majorBidi"/>
      <w:spacing w:val="-10"/>
      <w:kern w:val="28"/>
      <w:sz w:val="56"/>
      <w:szCs w:val="56"/>
    </w:rPr>
  </w:style>
  <w:style w:type="paragraph" w:styleId="Puesto">
    <w:name w:val="Title"/>
    <w:basedOn w:val="Normal"/>
    <w:next w:val="Normal"/>
    <w:link w:val="PuestoCar"/>
    <w:uiPriority w:val="10"/>
    <w:qFormat/>
    <w:rsid w:val="19B7C7CF"/>
    <w:pPr>
      <w:spacing w:after="80" w:line="240" w:lineRule="auto"/>
      <w:contextualSpacing/>
    </w:pPr>
    <w:rPr>
      <w:rFonts w:asciiTheme="majorHAnsi" w:eastAsiaTheme="majorEastAsia" w:hAnsiTheme="majorHAnsi" w:cstheme="majorBidi"/>
      <w:sz w:val="56"/>
      <w:szCs w:val="56"/>
    </w:rPr>
  </w:style>
  <w:style w:type="character" w:customStyle="1" w:styleId="SubttuloCar">
    <w:name w:val="Subtítulo Car"/>
    <w:basedOn w:val="Fuentedeprrafopredeter"/>
    <w:link w:val="Subttulo"/>
    <w:uiPriority w:val="11"/>
    <w:rPr>
      <w:rFonts w:eastAsiaTheme="majorEastAsia" w:cstheme="majorBidi"/>
      <w:color w:val="595959" w:themeColor="text1" w:themeTint="A6"/>
      <w:spacing w:val="15"/>
      <w:sz w:val="28"/>
      <w:szCs w:val="28"/>
    </w:rPr>
  </w:style>
  <w:style w:type="paragraph" w:styleId="Subttulo">
    <w:name w:val="Subtitle"/>
    <w:basedOn w:val="Normal"/>
    <w:next w:val="Normal"/>
    <w:link w:val="SubttuloCar"/>
    <w:uiPriority w:val="11"/>
    <w:qFormat/>
    <w:rsid w:val="19B7C7CF"/>
    <w:rPr>
      <w:rFonts w:eastAsiaTheme="majorEastAsia" w:cstheme="majorBidi"/>
      <w:color w:val="595959" w:themeColor="text1" w:themeTint="A6"/>
      <w:sz w:val="28"/>
      <w:szCs w:val="28"/>
    </w:rPr>
  </w:style>
  <w:style w:type="character" w:styleId="nfasisintenso">
    <w:name w:val="Intense Emphasis"/>
    <w:basedOn w:val="Fuentedeprrafopredeter"/>
    <w:uiPriority w:val="21"/>
    <w:qFormat/>
    <w:rPr>
      <w:i/>
      <w:iCs/>
      <w:color w:val="0F4761" w:themeColor="accent1" w:themeShade="BF"/>
    </w:rPr>
  </w:style>
  <w:style w:type="character" w:customStyle="1" w:styleId="CitaCar">
    <w:name w:val="Cita Car"/>
    <w:basedOn w:val="Fuentedeprrafopredeter"/>
    <w:link w:val="Cita"/>
    <w:uiPriority w:val="29"/>
    <w:rPr>
      <w:i/>
      <w:iCs/>
      <w:color w:val="404040" w:themeColor="text1" w:themeTint="BF"/>
    </w:rPr>
  </w:style>
  <w:style w:type="paragraph" w:styleId="Cita">
    <w:name w:val="Quote"/>
    <w:basedOn w:val="Normal"/>
    <w:next w:val="Normal"/>
    <w:link w:val="CitaCar"/>
    <w:uiPriority w:val="29"/>
    <w:qFormat/>
    <w:rsid w:val="19B7C7CF"/>
    <w:pPr>
      <w:spacing w:before="160"/>
      <w:jc w:val="center"/>
    </w:pPr>
    <w:rPr>
      <w:i/>
      <w:iCs/>
      <w:color w:val="404040" w:themeColor="text1" w:themeTint="BF"/>
    </w:rPr>
  </w:style>
  <w:style w:type="character" w:customStyle="1" w:styleId="CitadestacadaCar">
    <w:name w:val="Cita destacada Car"/>
    <w:basedOn w:val="Fuentedeprrafopredeter"/>
    <w:link w:val="Citadestacada"/>
    <w:uiPriority w:val="30"/>
    <w:rPr>
      <w:i/>
      <w:iCs/>
      <w:color w:val="0F4761" w:themeColor="accent1" w:themeShade="BF"/>
    </w:rPr>
  </w:style>
  <w:style w:type="paragraph" w:styleId="Citadestacada">
    <w:name w:val="Intense Quote"/>
    <w:basedOn w:val="Normal"/>
    <w:next w:val="Normal"/>
    <w:link w:val="CitadestacadaCar"/>
    <w:uiPriority w:val="30"/>
    <w:qFormat/>
    <w:rsid w:val="19B7C7C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styleId="Referenciaintensa">
    <w:name w:val="Intense Reference"/>
    <w:basedOn w:val="Fuentedeprrafopredeter"/>
    <w:uiPriority w:val="32"/>
    <w:qFormat/>
    <w:rPr>
      <w:b/>
      <w:bCs/>
      <w:smallCaps/>
      <w:color w:val="0F4761" w:themeColor="accent1" w:themeShade="BF"/>
      <w:spacing w:val="5"/>
    </w:rPr>
  </w:style>
  <w:style w:type="paragraph" w:styleId="Prrafodelista">
    <w:name w:val="List Paragraph"/>
    <w:basedOn w:val="Normal"/>
    <w:uiPriority w:val="34"/>
    <w:qFormat/>
    <w:rsid w:val="19B7C7CF"/>
    <w:pPr>
      <w:ind w:left="720"/>
      <w:contextualSpacing/>
    </w:pPr>
  </w:style>
  <w:style w:type="paragraph" w:styleId="TDC1">
    <w:name w:val="toc 1"/>
    <w:basedOn w:val="Normal"/>
    <w:next w:val="Normal"/>
    <w:uiPriority w:val="39"/>
    <w:unhideWhenUsed/>
    <w:rsid w:val="19B7C7CF"/>
    <w:pPr>
      <w:spacing w:after="100"/>
    </w:pPr>
  </w:style>
  <w:style w:type="paragraph" w:styleId="TDC2">
    <w:name w:val="toc 2"/>
    <w:basedOn w:val="Normal"/>
    <w:next w:val="Normal"/>
    <w:uiPriority w:val="39"/>
    <w:unhideWhenUsed/>
    <w:rsid w:val="19B7C7CF"/>
    <w:pPr>
      <w:spacing w:after="100"/>
      <w:ind w:left="220"/>
    </w:pPr>
  </w:style>
  <w:style w:type="paragraph" w:styleId="TDC3">
    <w:name w:val="toc 3"/>
    <w:basedOn w:val="Normal"/>
    <w:next w:val="Normal"/>
    <w:uiPriority w:val="39"/>
    <w:unhideWhenUsed/>
    <w:rsid w:val="19B7C7CF"/>
    <w:pPr>
      <w:spacing w:after="100"/>
      <w:ind w:left="440"/>
    </w:pPr>
  </w:style>
  <w:style w:type="paragraph" w:styleId="TDC4">
    <w:name w:val="toc 4"/>
    <w:basedOn w:val="Normal"/>
    <w:next w:val="Normal"/>
    <w:uiPriority w:val="39"/>
    <w:unhideWhenUsed/>
    <w:rsid w:val="19B7C7CF"/>
    <w:pPr>
      <w:spacing w:after="100"/>
      <w:ind w:left="660"/>
    </w:pPr>
  </w:style>
  <w:style w:type="paragraph" w:styleId="TDC5">
    <w:name w:val="toc 5"/>
    <w:basedOn w:val="Normal"/>
    <w:next w:val="Normal"/>
    <w:uiPriority w:val="39"/>
    <w:unhideWhenUsed/>
    <w:rsid w:val="19B7C7CF"/>
    <w:pPr>
      <w:spacing w:after="100"/>
      <w:ind w:left="880"/>
    </w:pPr>
  </w:style>
  <w:style w:type="paragraph" w:styleId="TDC6">
    <w:name w:val="toc 6"/>
    <w:basedOn w:val="Normal"/>
    <w:next w:val="Normal"/>
    <w:uiPriority w:val="39"/>
    <w:unhideWhenUsed/>
    <w:rsid w:val="19B7C7CF"/>
    <w:pPr>
      <w:spacing w:after="100"/>
      <w:ind w:left="1100"/>
    </w:pPr>
  </w:style>
  <w:style w:type="paragraph" w:styleId="TDC7">
    <w:name w:val="toc 7"/>
    <w:basedOn w:val="Normal"/>
    <w:next w:val="Normal"/>
    <w:uiPriority w:val="39"/>
    <w:unhideWhenUsed/>
    <w:rsid w:val="19B7C7CF"/>
    <w:pPr>
      <w:spacing w:after="100"/>
      <w:ind w:left="1320"/>
    </w:pPr>
  </w:style>
  <w:style w:type="paragraph" w:styleId="TDC8">
    <w:name w:val="toc 8"/>
    <w:basedOn w:val="Normal"/>
    <w:next w:val="Normal"/>
    <w:uiPriority w:val="39"/>
    <w:unhideWhenUsed/>
    <w:rsid w:val="19B7C7CF"/>
    <w:pPr>
      <w:spacing w:after="100"/>
      <w:ind w:left="1540"/>
    </w:pPr>
  </w:style>
  <w:style w:type="paragraph" w:styleId="TDC9">
    <w:name w:val="toc 9"/>
    <w:basedOn w:val="Normal"/>
    <w:next w:val="Normal"/>
    <w:uiPriority w:val="39"/>
    <w:unhideWhenUsed/>
    <w:rsid w:val="19B7C7CF"/>
    <w:pPr>
      <w:spacing w:after="100"/>
      <w:ind w:left="1760"/>
    </w:pPr>
  </w:style>
  <w:style w:type="paragraph" w:styleId="Textonotaalfinal">
    <w:name w:val="endnote text"/>
    <w:basedOn w:val="Normal"/>
    <w:uiPriority w:val="99"/>
    <w:semiHidden/>
    <w:unhideWhenUsed/>
    <w:rsid w:val="19B7C7CF"/>
    <w:pPr>
      <w:spacing w:after="0" w:line="240" w:lineRule="auto"/>
    </w:pPr>
    <w:rPr>
      <w:sz w:val="20"/>
      <w:szCs w:val="20"/>
    </w:rPr>
  </w:style>
  <w:style w:type="paragraph" w:styleId="Piedepgina">
    <w:name w:val="footer"/>
    <w:basedOn w:val="Normal"/>
    <w:uiPriority w:val="99"/>
    <w:unhideWhenUsed/>
    <w:rsid w:val="19B7C7CF"/>
    <w:pPr>
      <w:tabs>
        <w:tab w:val="center" w:pos="4680"/>
        <w:tab w:val="right" w:pos="9360"/>
      </w:tabs>
      <w:spacing w:after="0" w:line="240" w:lineRule="auto"/>
    </w:pPr>
  </w:style>
  <w:style w:type="paragraph" w:styleId="Textonotapie">
    <w:name w:val="footnote text"/>
    <w:basedOn w:val="Normal"/>
    <w:uiPriority w:val="99"/>
    <w:semiHidden/>
    <w:unhideWhenUsed/>
    <w:rsid w:val="19B7C7CF"/>
    <w:pPr>
      <w:spacing w:after="0" w:line="240" w:lineRule="auto"/>
    </w:pPr>
    <w:rPr>
      <w:sz w:val="20"/>
      <w:szCs w:val="20"/>
    </w:rPr>
  </w:style>
  <w:style w:type="paragraph" w:styleId="Encabezado">
    <w:name w:val="header"/>
    <w:basedOn w:val="Normal"/>
    <w:uiPriority w:val="99"/>
    <w:unhideWhenUsed/>
    <w:rsid w:val="19B7C7CF"/>
    <w:pPr>
      <w:tabs>
        <w:tab w:val="center" w:pos="4680"/>
        <w:tab w:val="right" w:pos="9360"/>
      </w:tabs>
      <w:spacing w:after="0" w:line="240" w:lineRule="auto"/>
    </w:pPr>
  </w:style>
  <w:style w:type="character" w:styleId="Textodelmarcadordeposicin">
    <w:name w:val="Placeholder Text"/>
    <w:basedOn w:val="Fuentedeprrafopredeter"/>
    <w:uiPriority w:val="99"/>
    <w:semiHidden/>
    <w:rsid w:val="19B7C7CF"/>
    <w:rPr>
      <w:color w:val="808080" w:themeColor="background1" w:themeShade="80"/>
    </w:rPr>
  </w:style>
  <w:style w:type="character" w:styleId="Hipervnculo">
    <w:name w:val="Hyperlink"/>
    <w:basedOn w:val="Fuentedeprrafopredeter"/>
    <w:uiPriority w:val="99"/>
    <w:unhideWhenUsed/>
    <w:rsid w:val="3F8F37B2"/>
    <w:rPr>
      <w:color w:val="467886"/>
      <w:u w:val="single"/>
    </w:rPr>
  </w:style>
  <w:style w:type="table" w:styleId="Tablaconcuadrcula">
    <w:name w:val="Table Grid"/>
    <w:basedOn w:val="Tablanormal"/>
    <w:uiPriority w:val="59"/>
    <w:rsid w:val="00FB4123"/>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paragraph">
    <w:name w:val="paragraph"/>
    <w:basedOn w:val="Normal"/>
    <w:rsid w:val="00FF435D"/>
    <w:pPr>
      <w:spacing w:before="100" w:beforeAutospacing="1" w:after="100" w:afterAutospacing="1" w:line="240" w:lineRule="auto"/>
    </w:pPr>
    <w:rPr>
      <w:rFonts w:ascii="Times New Roman" w:eastAsia="Times New Roman" w:hAnsi="Times New Roman" w:cs="Times New Roman"/>
      <w:lang w:eastAsia="es-CO"/>
    </w:rPr>
  </w:style>
  <w:style w:type="character" w:customStyle="1" w:styleId="normaltextrun">
    <w:name w:val="normaltextrun"/>
    <w:basedOn w:val="Fuentedeprrafopredeter"/>
    <w:rsid w:val="00FF435D"/>
  </w:style>
  <w:style w:type="character" w:customStyle="1" w:styleId="eop">
    <w:name w:val="eop"/>
    <w:basedOn w:val="Fuentedeprrafopredeter"/>
    <w:rsid w:val="00FF435D"/>
  </w:style>
  <w:style w:type="paragraph" w:styleId="NormalWeb">
    <w:name w:val="Normal (Web)"/>
    <w:basedOn w:val="Normal"/>
    <w:uiPriority w:val="99"/>
    <w:unhideWhenUsed/>
    <w:rsid w:val="000B63D4"/>
    <w:pPr>
      <w:spacing w:before="100" w:beforeAutospacing="1" w:after="100" w:afterAutospacing="1" w:line="240" w:lineRule="auto"/>
    </w:pPr>
    <w:rPr>
      <w:rFonts w:ascii="Times New Roman" w:eastAsia="Times New Roman" w:hAnsi="Times New Roman" w:cs="Times New Roman"/>
      <w:lang w:eastAsia="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85457585">
      <w:bodyDiv w:val="1"/>
      <w:marLeft w:val="0"/>
      <w:marRight w:val="0"/>
      <w:marTop w:val="0"/>
      <w:marBottom w:val="0"/>
      <w:divBdr>
        <w:top w:val="none" w:sz="0" w:space="0" w:color="auto"/>
        <w:left w:val="none" w:sz="0" w:space="0" w:color="auto"/>
        <w:bottom w:val="none" w:sz="0" w:space="0" w:color="auto"/>
        <w:right w:val="none" w:sz="0" w:space="0" w:color="auto"/>
      </w:divBdr>
    </w:div>
    <w:div w:id="2109345504">
      <w:bodyDiv w:val="1"/>
      <w:marLeft w:val="0"/>
      <w:marRight w:val="0"/>
      <w:marTop w:val="0"/>
      <w:marBottom w:val="0"/>
      <w:divBdr>
        <w:top w:val="none" w:sz="0" w:space="0" w:color="auto"/>
        <w:left w:val="none" w:sz="0" w:space="0" w:color="auto"/>
        <w:bottom w:val="none" w:sz="0" w:space="0" w:color="auto"/>
        <w:right w:val="none" w:sz="0" w:space="0" w:color="auto"/>
      </w:divBdr>
      <w:divsChild>
        <w:div w:id="2097164861">
          <w:marLeft w:val="0"/>
          <w:marRight w:val="0"/>
          <w:marTop w:val="0"/>
          <w:marBottom w:val="0"/>
          <w:divBdr>
            <w:top w:val="none" w:sz="0" w:space="0" w:color="auto"/>
            <w:left w:val="none" w:sz="0" w:space="0" w:color="auto"/>
            <w:bottom w:val="none" w:sz="0" w:space="0" w:color="auto"/>
            <w:right w:val="none" w:sz="0" w:space="0" w:color="auto"/>
          </w:divBdr>
          <w:divsChild>
            <w:div w:id="2101482320">
              <w:marLeft w:val="0"/>
              <w:marRight w:val="0"/>
              <w:marTop w:val="0"/>
              <w:marBottom w:val="0"/>
              <w:divBdr>
                <w:top w:val="none" w:sz="0" w:space="0" w:color="auto"/>
                <w:left w:val="none" w:sz="0" w:space="0" w:color="auto"/>
                <w:bottom w:val="none" w:sz="0" w:space="0" w:color="auto"/>
                <w:right w:val="none" w:sz="0" w:space="0" w:color="auto"/>
              </w:divBdr>
            </w:div>
          </w:divsChild>
        </w:div>
        <w:div w:id="890337679">
          <w:marLeft w:val="0"/>
          <w:marRight w:val="0"/>
          <w:marTop w:val="0"/>
          <w:marBottom w:val="0"/>
          <w:divBdr>
            <w:top w:val="none" w:sz="0" w:space="0" w:color="auto"/>
            <w:left w:val="none" w:sz="0" w:space="0" w:color="auto"/>
            <w:bottom w:val="none" w:sz="0" w:space="0" w:color="auto"/>
            <w:right w:val="none" w:sz="0" w:space="0" w:color="auto"/>
          </w:divBdr>
          <w:divsChild>
            <w:div w:id="1796176919">
              <w:marLeft w:val="0"/>
              <w:marRight w:val="0"/>
              <w:marTop w:val="0"/>
              <w:marBottom w:val="0"/>
              <w:divBdr>
                <w:top w:val="none" w:sz="0" w:space="0" w:color="auto"/>
                <w:left w:val="none" w:sz="0" w:space="0" w:color="auto"/>
                <w:bottom w:val="none" w:sz="0" w:space="0" w:color="auto"/>
                <w:right w:val="none" w:sz="0" w:space="0" w:color="auto"/>
              </w:divBdr>
            </w:div>
          </w:divsChild>
        </w:div>
        <w:div w:id="851603725">
          <w:marLeft w:val="0"/>
          <w:marRight w:val="0"/>
          <w:marTop w:val="0"/>
          <w:marBottom w:val="0"/>
          <w:divBdr>
            <w:top w:val="none" w:sz="0" w:space="0" w:color="auto"/>
            <w:left w:val="none" w:sz="0" w:space="0" w:color="auto"/>
            <w:bottom w:val="none" w:sz="0" w:space="0" w:color="auto"/>
            <w:right w:val="none" w:sz="0" w:space="0" w:color="auto"/>
          </w:divBdr>
          <w:divsChild>
            <w:div w:id="5374534">
              <w:marLeft w:val="0"/>
              <w:marRight w:val="0"/>
              <w:marTop w:val="0"/>
              <w:marBottom w:val="0"/>
              <w:divBdr>
                <w:top w:val="none" w:sz="0" w:space="0" w:color="auto"/>
                <w:left w:val="none" w:sz="0" w:space="0" w:color="auto"/>
                <w:bottom w:val="none" w:sz="0" w:space="0" w:color="auto"/>
                <w:right w:val="none" w:sz="0" w:space="0" w:color="auto"/>
              </w:divBdr>
            </w:div>
          </w:divsChild>
        </w:div>
        <w:div w:id="1833595127">
          <w:marLeft w:val="0"/>
          <w:marRight w:val="0"/>
          <w:marTop w:val="0"/>
          <w:marBottom w:val="0"/>
          <w:divBdr>
            <w:top w:val="none" w:sz="0" w:space="0" w:color="auto"/>
            <w:left w:val="none" w:sz="0" w:space="0" w:color="auto"/>
            <w:bottom w:val="none" w:sz="0" w:space="0" w:color="auto"/>
            <w:right w:val="none" w:sz="0" w:space="0" w:color="auto"/>
          </w:divBdr>
          <w:divsChild>
            <w:div w:id="419370685">
              <w:marLeft w:val="0"/>
              <w:marRight w:val="0"/>
              <w:marTop w:val="0"/>
              <w:marBottom w:val="0"/>
              <w:divBdr>
                <w:top w:val="none" w:sz="0" w:space="0" w:color="auto"/>
                <w:left w:val="none" w:sz="0" w:space="0" w:color="auto"/>
                <w:bottom w:val="none" w:sz="0" w:space="0" w:color="auto"/>
                <w:right w:val="none" w:sz="0" w:space="0" w:color="auto"/>
              </w:divBdr>
            </w:div>
          </w:divsChild>
        </w:div>
        <w:div w:id="1691759853">
          <w:marLeft w:val="0"/>
          <w:marRight w:val="0"/>
          <w:marTop w:val="0"/>
          <w:marBottom w:val="0"/>
          <w:divBdr>
            <w:top w:val="none" w:sz="0" w:space="0" w:color="auto"/>
            <w:left w:val="none" w:sz="0" w:space="0" w:color="auto"/>
            <w:bottom w:val="none" w:sz="0" w:space="0" w:color="auto"/>
            <w:right w:val="none" w:sz="0" w:space="0" w:color="auto"/>
          </w:divBdr>
          <w:divsChild>
            <w:div w:id="1466308962">
              <w:marLeft w:val="0"/>
              <w:marRight w:val="0"/>
              <w:marTop w:val="0"/>
              <w:marBottom w:val="0"/>
              <w:divBdr>
                <w:top w:val="none" w:sz="0" w:space="0" w:color="auto"/>
                <w:left w:val="none" w:sz="0" w:space="0" w:color="auto"/>
                <w:bottom w:val="none" w:sz="0" w:space="0" w:color="auto"/>
                <w:right w:val="none" w:sz="0" w:space="0" w:color="auto"/>
              </w:divBdr>
            </w:div>
          </w:divsChild>
        </w:div>
        <w:div w:id="568463181">
          <w:marLeft w:val="0"/>
          <w:marRight w:val="0"/>
          <w:marTop w:val="0"/>
          <w:marBottom w:val="0"/>
          <w:divBdr>
            <w:top w:val="none" w:sz="0" w:space="0" w:color="auto"/>
            <w:left w:val="none" w:sz="0" w:space="0" w:color="auto"/>
            <w:bottom w:val="none" w:sz="0" w:space="0" w:color="auto"/>
            <w:right w:val="none" w:sz="0" w:space="0" w:color="auto"/>
          </w:divBdr>
          <w:divsChild>
            <w:div w:id="211502747">
              <w:marLeft w:val="0"/>
              <w:marRight w:val="0"/>
              <w:marTop w:val="0"/>
              <w:marBottom w:val="0"/>
              <w:divBdr>
                <w:top w:val="none" w:sz="0" w:space="0" w:color="auto"/>
                <w:left w:val="none" w:sz="0" w:space="0" w:color="auto"/>
                <w:bottom w:val="none" w:sz="0" w:space="0" w:color="auto"/>
                <w:right w:val="none" w:sz="0" w:space="0" w:color="auto"/>
              </w:divBdr>
            </w:div>
            <w:div w:id="1224871955">
              <w:marLeft w:val="0"/>
              <w:marRight w:val="0"/>
              <w:marTop w:val="0"/>
              <w:marBottom w:val="0"/>
              <w:divBdr>
                <w:top w:val="none" w:sz="0" w:space="0" w:color="auto"/>
                <w:left w:val="none" w:sz="0" w:space="0" w:color="auto"/>
                <w:bottom w:val="none" w:sz="0" w:space="0" w:color="auto"/>
                <w:right w:val="none" w:sz="0" w:space="0" w:color="auto"/>
              </w:divBdr>
            </w:div>
            <w:div w:id="1211190735">
              <w:marLeft w:val="0"/>
              <w:marRight w:val="0"/>
              <w:marTop w:val="0"/>
              <w:marBottom w:val="0"/>
              <w:divBdr>
                <w:top w:val="none" w:sz="0" w:space="0" w:color="auto"/>
                <w:left w:val="none" w:sz="0" w:space="0" w:color="auto"/>
                <w:bottom w:val="none" w:sz="0" w:space="0" w:color="auto"/>
                <w:right w:val="none" w:sz="0" w:space="0" w:color="auto"/>
              </w:divBdr>
            </w:div>
            <w:div w:id="578321832">
              <w:marLeft w:val="0"/>
              <w:marRight w:val="0"/>
              <w:marTop w:val="0"/>
              <w:marBottom w:val="0"/>
              <w:divBdr>
                <w:top w:val="none" w:sz="0" w:space="0" w:color="auto"/>
                <w:left w:val="none" w:sz="0" w:space="0" w:color="auto"/>
                <w:bottom w:val="none" w:sz="0" w:space="0" w:color="auto"/>
                <w:right w:val="none" w:sz="0" w:space="0" w:color="auto"/>
              </w:divBdr>
            </w:div>
            <w:div w:id="857888361">
              <w:marLeft w:val="0"/>
              <w:marRight w:val="0"/>
              <w:marTop w:val="0"/>
              <w:marBottom w:val="0"/>
              <w:divBdr>
                <w:top w:val="none" w:sz="0" w:space="0" w:color="auto"/>
                <w:left w:val="none" w:sz="0" w:space="0" w:color="auto"/>
                <w:bottom w:val="none" w:sz="0" w:space="0" w:color="auto"/>
                <w:right w:val="none" w:sz="0" w:space="0" w:color="auto"/>
              </w:divBdr>
            </w:div>
          </w:divsChild>
        </w:div>
        <w:div w:id="1519733840">
          <w:marLeft w:val="0"/>
          <w:marRight w:val="0"/>
          <w:marTop w:val="0"/>
          <w:marBottom w:val="0"/>
          <w:divBdr>
            <w:top w:val="none" w:sz="0" w:space="0" w:color="auto"/>
            <w:left w:val="none" w:sz="0" w:space="0" w:color="auto"/>
            <w:bottom w:val="none" w:sz="0" w:space="0" w:color="auto"/>
            <w:right w:val="none" w:sz="0" w:space="0" w:color="auto"/>
          </w:divBdr>
          <w:divsChild>
            <w:div w:id="450436236">
              <w:marLeft w:val="0"/>
              <w:marRight w:val="0"/>
              <w:marTop w:val="0"/>
              <w:marBottom w:val="0"/>
              <w:divBdr>
                <w:top w:val="none" w:sz="0" w:space="0" w:color="auto"/>
                <w:left w:val="none" w:sz="0" w:space="0" w:color="auto"/>
                <w:bottom w:val="none" w:sz="0" w:space="0" w:color="auto"/>
                <w:right w:val="none" w:sz="0" w:space="0" w:color="auto"/>
              </w:divBdr>
            </w:div>
            <w:div w:id="857040603">
              <w:marLeft w:val="0"/>
              <w:marRight w:val="0"/>
              <w:marTop w:val="0"/>
              <w:marBottom w:val="0"/>
              <w:divBdr>
                <w:top w:val="none" w:sz="0" w:space="0" w:color="auto"/>
                <w:left w:val="none" w:sz="0" w:space="0" w:color="auto"/>
                <w:bottom w:val="none" w:sz="0" w:space="0" w:color="auto"/>
                <w:right w:val="none" w:sz="0" w:space="0" w:color="auto"/>
              </w:divBdr>
            </w:div>
            <w:div w:id="46953385">
              <w:marLeft w:val="0"/>
              <w:marRight w:val="0"/>
              <w:marTop w:val="0"/>
              <w:marBottom w:val="0"/>
              <w:divBdr>
                <w:top w:val="none" w:sz="0" w:space="0" w:color="auto"/>
                <w:left w:val="none" w:sz="0" w:space="0" w:color="auto"/>
                <w:bottom w:val="none" w:sz="0" w:space="0" w:color="auto"/>
                <w:right w:val="none" w:sz="0" w:space="0" w:color="auto"/>
              </w:divBdr>
            </w:div>
            <w:div w:id="1050614719">
              <w:marLeft w:val="0"/>
              <w:marRight w:val="0"/>
              <w:marTop w:val="0"/>
              <w:marBottom w:val="0"/>
              <w:divBdr>
                <w:top w:val="none" w:sz="0" w:space="0" w:color="auto"/>
                <w:left w:val="none" w:sz="0" w:space="0" w:color="auto"/>
                <w:bottom w:val="none" w:sz="0" w:space="0" w:color="auto"/>
                <w:right w:val="none" w:sz="0" w:space="0" w:color="auto"/>
              </w:divBdr>
            </w:div>
            <w:div w:id="295644920">
              <w:marLeft w:val="0"/>
              <w:marRight w:val="0"/>
              <w:marTop w:val="0"/>
              <w:marBottom w:val="0"/>
              <w:divBdr>
                <w:top w:val="none" w:sz="0" w:space="0" w:color="auto"/>
                <w:left w:val="none" w:sz="0" w:space="0" w:color="auto"/>
                <w:bottom w:val="none" w:sz="0" w:space="0" w:color="auto"/>
                <w:right w:val="none" w:sz="0" w:space="0" w:color="auto"/>
              </w:divBdr>
            </w:div>
            <w:div w:id="1850942479">
              <w:marLeft w:val="0"/>
              <w:marRight w:val="0"/>
              <w:marTop w:val="0"/>
              <w:marBottom w:val="0"/>
              <w:divBdr>
                <w:top w:val="none" w:sz="0" w:space="0" w:color="auto"/>
                <w:left w:val="none" w:sz="0" w:space="0" w:color="auto"/>
                <w:bottom w:val="none" w:sz="0" w:space="0" w:color="auto"/>
                <w:right w:val="none" w:sz="0" w:space="0" w:color="auto"/>
              </w:divBdr>
            </w:div>
            <w:div w:id="1458914421">
              <w:marLeft w:val="0"/>
              <w:marRight w:val="0"/>
              <w:marTop w:val="0"/>
              <w:marBottom w:val="0"/>
              <w:divBdr>
                <w:top w:val="none" w:sz="0" w:space="0" w:color="auto"/>
                <w:left w:val="none" w:sz="0" w:space="0" w:color="auto"/>
                <w:bottom w:val="none" w:sz="0" w:space="0" w:color="auto"/>
                <w:right w:val="none" w:sz="0" w:space="0" w:color="auto"/>
              </w:divBdr>
            </w:div>
          </w:divsChild>
        </w:div>
        <w:div w:id="656962235">
          <w:marLeft w:val="0"/>
          <w:marRight w:val="0"/>
          <w:marTop w:val="0"/>
          <w:marBottom w:val="0"/>
          <w:divBdr>
            <w:top w:val="none" w:sz="0" w:space="0" w:color="auto"/>
            <w:left w:val="none" w:sz="0" w:space="0" w:color="auto"/>
            <w:bottom w:val="none" w:sz="0" w:space="0" w:color="auto"/>
            <w:right w:val="none" w:sz="0" w:space="0" w:color="auto"/>
          </w:divBdr>
          <w:divsChild>
            <w:div w:id="890963134">
              <w:marLeft w:val="0"/>
              <w:marRight w:val="0"/>
              <w:marTop w:val="0"/>
              <w:marBottom w:val="0"/>
              <w:divBdr>
                <w:top w:val="none" w:sz="0" w:space="0" w:color="auto"/>
                <w:left w:val="none" w:sz="0" w:space="0" w:color="auto"/>
                <w:bottom w:val="none" w:sz="0" w:space="0" w:color="auto"/>
                <w:right w:val="none" w:sz="0" w:space="0" w:color="auto"/>
              </w:divBdr>
            </w:div>
            <w:div w:id="2064480455">
              <w:marLeft w:val="0"/>
              <w:marRight w:val="0"/>
              <w:marTop w:val="0"/>
              <w:marBottom w:val="0"/>
              <w:divBdr>
                <w:top w:val="none" w:sz="0" w:space="0" w:color="auto"/>
                <w:left w:val="none" w:sz="0" w:space="0" w:color="auto"/>
                <w:bottom w:val="none" w:sz="0" w:space="0" w:color="auto"/>
                <w:right w:val="none" w:sz="0" w:space="0" w:color="auto"/>
              </w:divBdr>
            </w:div>
          </w:divsChild>
        </w:div>
        <w:div w:id="566300924">
          <w:marLeft w:val="0"/>
          <w:marRight w:val="0"/>
          <w:marTop w:val="0"/>
          <w:marBottom w:val="0"/>
          <w:divBdr>
            <w:top w:val="none" w:sz="0" w:space="0" w:color="auto"/>
            <w:left w:val="none" w:sz="0" w:space="0" w:color="auto"/>
            <w:bottom w:val="none" w:sz="0" w:space="0" w:color="auto"/>
            <w:right w:val="none" w:sz="0" w:space="0" w:color="auto"/>
          </w:divBdr>
          <w:divsChild>
            <w:div w:id="391121928">
              <w:marLeft w:val="0"/>
              <w:marRight w:val="0"/>
              <w:marTop w:val="0"/>
              <w:marBottom w:val="0"/>
              <w:divBdr>
                <w:top w:val="none" w:sz="0" w:space="0" w:color="auto"/>
                <w:left w:val="none" w:sz="0" w:space="0" w:color="auto"/>
                <w:bottom w:val="none" w:sz="0" w:space="0" w:color="auto"/>
                <w:right w:val="none" w:sz="0" w:space="0" w:color="auto"/>
              </w:divBdr>
            </w:div>
            <w:div w:id="302466888">
              <w:marLeft w:val="0"/>
              <w:marRight w:val="0"/>
              <w:marTop w:val="0"/>
              <w:marBottom w:val="0"/>
              <w:divBdr>
                <w:top w:val="none" w:sz="0" w:space="0" w:color="auto"/>
                <w:left w:val="none" w:sz="0" w:space="0" w:color="auto"/>
                <w:bottom w:val="none" w:sz="0" w:space="0" w:color="auto"/>
                <w:right w:val="none" w:sz="0" w:space="0" w:color="auto"/>
              </w:divBdr>
            </w:div>
            <w:div w:id="621770539">
              <w:marLeft w:val="0"/>
              <w:marRight w:val="0"/>
              <w:marTop w:val="0"/>
              <w:marBottom w:val="0"/>
              <w:divBdr>
                <w:top w:val="none" w:sz="0" w:space="0" w:color="auto"/>
                <w:left w:val="none" w:sz="0" w:space="0" w:color="auto"/>
                <w:bottom w:val="none" w:sz="0" w:space="0" w:color="auto"/>
                <w:right w:val="none" w:sz="0" w:space="0" w:color="auto"/>
              </w:divBdr>
            </w:div>
            <w:div w:id="1211307297">
              <w:marLeft w:val="0"/>
              <w:marRight w:val="0"/>
              <w:marTop w:val="0"/>
              <w:marBottom w:val="0"/>
              <w:divBdr>
                <w:top w:val="none" w:sz="0" w:space="0" w:color="auto"/>
                <w:left w:val="none" w:sz="0" w:space="0" w:color="auto"/>
                <w:bottom w:val="none" w:sz="0" w:space="0" w:color="auto"/>
                <w:right w:val="none" w:sz="0" w:space="0" w:color="auto"/>
              </w:divBdr>
            </w:div>
          </w:divsChild>
        </w:div>
        <w:div w:id="1902249492">
          <w:marLeft w:val="0"/>
          <w:marRight w:val="0"/>
          <w:marTop w:val="0"/>
          <w:marBottom w:val="0"/>
          <w:divBdr>
            <w:top w:val="none" w:sz="0" w:space="0" w:color="auto"/>
            <w:left w:val="none" w:sz="0" w:space="0" w:color="auto"/>
            <w:bottom w:val="none" w:sz="0" w:space="0" w:color="auto"/>
            <w:right w:val="none" w:sz="0" w:space="0" w:color="auto"/>
          </w:divBdr>
          <w:divsChild>
            <w:div w:id="727920217">
              <w:marLeft w:val="0"/>
              <w:marRight w:val="0"/>
              <w:marTop w:val="0"/>
              <w:marBottom w:val="0"/>
              <w:divBdr>
                <w:top w:val="none" w:sz="0" w:space="0" w:color="auto"/>
                <w:left w:val="none" w:sz="0" w:space="0" w:color="auto"/>
                <w:bottom w:val="none" w:sz="0" w:space="0" w:color="auto"/>
                <w:right w:val="none" w:sz="0" w:space="0" w:color="auto"/>
              </w:divBdr>
            </w:div>
            <w:div w:id="269050720">
              <w:marLeft w:val="0"/>
              <w:marRight w:val="0"/>
              <w:marTop w:val="0"/>
              <w:marBottom w:val="0"/>
              <w:divBdr>
                <w:top w:val="none" w:sz="0" w:space="0" w:color="auto"/>
                <w:left w:val="none" w:sz="0" w:space="0" w:color="auto"/>
                <w:bottom w:val="none" w:sz="0" w:space="0" w:color="auto"/>
                <w:right w:val="none" w:sz="0" w:space="0" w:color="auto"/>
              </w:divBdr>
            </w:div>
            <w:div w:id="209801538">
              <w:marLeft w:val="0"/>
              <w:marRight w:val="0"/>
              <w:marTop w:val="0"/>
              <w:marBottom w:val="0"/>
              <w:divBdr>
                <w:top w:val="none" w:sz="0" w:space="0" w:color="auto"/>
                <w:left w:val="none" w:sz="0" w:space="0" w:color="auto"/>
                <w:bottom w:val="none" w:sz="0" w:space="0" w:color="auto"/>
                <w:right w:val="none" w:sz="0" w:space="0" w:color="auto"/>
              </w:divBdr>
            </w:div>
          </w:divsChild>
        </w:div>
        <w:div w:id="361515285">
          <w:marLeft w:val="0"/>
          <w:marRight w:val="0"/>
          <w:marTop w:val="0"/>
          <w:marBottom w:val="0"/>
          <w:divBdr>
            <w:top w:val="none" w:sz="0" w:space="0" w:color="auto"/>
            <w:left w:val="none" w:sz="0" w:space="0" w:color="auto"/>
            <w:bottom w:val="none" w:sz="0" w:space="0" w:color="auto"/>
            <w:right w:val="none" w:sz="0" w:space="0" w:color="auto"/>
          </w:divBdr>
          <w:divsChild>
            <w:div w:id="1090663488">
              <w:marLeft w:val="0"/>
              <w:marRight w:val="0"/>
              <w:marTop w:val="0"/>
              <w:marBottom w:val="0"/>
              <w:divBdr>
                <w:top w:val="none" w:sz="0" w:space="0" w:color="auto"/>
                <w:left w:val="none" w:sz="0" w:space="0" w:color="auto"/>
                <w:bottom w:val="none" w:sz="0" w:space="0" w:color="auto"/>
                <w:right w:val="none" w:sz="0" w:space="0" w:color="auto"/>
              </w:divBdr>
            </w:div>
            <w:div w:id="415514600">
              <w:marLeft w:val="0"/>
              <w:marRight w:val="0"/>
              <w:marTop w:val="0"/>
              <w:marBottom w:val="0"/>
              <w:divBdr>
                <w:top w:val="none" w:sz="0" w:space="0" w:color="auto"/>
                <w:left w:val="none" w:sz="0" w:space="0" w:color="auto"/>
                <w:bottom w:val="none" w:sz="0" w:space="0" w:color="auto"/>
                <w:right w:val="none" w:sz="0" w:space="0" w:color="auto"/>
              </w:divBdr>
            </w:div>
            <w:div w:id="1045641737">
              <w:marLeft w:val="0"/>
              <w:marRight w:val="0"/>
              <w:marTop w:val="0"/>
              <w:marBottom w:val="0"/>
              <w:divBdr>
                <w:top w:val="none" w:sz="0" w:space="0" w:color="auto"/>
                <w:left w:val="none" w:sz="0" w:space="0" w:color="auto"/>
                <w:bottom w:val="none" w:sz="0" w:space="0" w:color="auto"/>
                <w:right w:val="none" w:sz="0" w:space="0" w:color="auto"/>
              </w:divBdr>
            </w:div>
          </w:divsChild>
        </w:div>
        <w:div w:id="846015610">
          <w:marLeft w:val="0"/>
          <w:marRight w:val="0"/>
          <w:marTop w:val="0"/>
          <w:marBottom w:val="0"/>
          <w:divBdr>
            <w:top w:val="none" w:sz="0" w:space="0" w:color="auto"/>
            <w:left w:val="none" w:sz="0" w:space="0" w:color="auto"/>
            <w:bottom w:val="none" w:sz="0" w:space="0" w:color="auto"/>
            <w:right w:val="none" w:sz="0" w:space="0" w:color="auto"/>
          </w:divBdr>
          <w:divsChild>
            <w:div w:id="1404252897">
              <w:marLeft w:val="0"/>
              <w:marRight w:val="0"/>
              <w:marTop w:val="0"/>
              <w:marBottom w:val="0"/>
              <w:divBdr>
                <w:top w:val="none" w:sz="0" w:space="0" w:color="auto"/>
                <w:left w:val="none" w:sz="0" w:space="0" w:color="auto"/>
                <w:bottom w:val="none" w:sz="0" w:space="0" w:color="auto"/>
                <w:right w:val="none" w:sz="0" w:space="0" w:color="auto"/>
              </w:divBdr>
            </w:div>
            <w:div w:id="2045278889">
              <w:marLeft w:val="0"/>
              <w:marRight w:val="0"/>
              <w:marTop w:val="0"/>
              <w:marBottom w:val="0"/>
              <w:divBdr>
                <w:top w:val="none" w:sz="0" w:space="0" w:color="auto"/>
                <w:left w:val="none" w:sz="0" w:space="0" w:color="auto"/>
                <w:bottom w:val="none" w:sz="0" w:space="0" w:color="auto"/>
                <w:right w:val="none" w:sz="0" w:space="0" w:color="auto"/>
              </w:divBdr>
            </w:div>
            <w:div w:id="1514227832">
              <w:marLeft w:val="0"/>
              <w:marRight w:val="0"/>
              <w:marTop w:val="0"/>
              <w:marBottom w:val="0"/>
              <w:divBdr>
                <w:top w:val="none" w:sz="0" w:space="0" w:color="auto"/>
                <w:left w:val="none" w:sz="0" w:space="0" w:color="auto"/>
                <w:bottom w:val="none" w:sz="0" w:space="0" w:color="auto"/>
                <w:right w:val="none" w:sz="0" w:space="0" w:color="auto"/>
              </w:divBdr>
            </w:div>
          </w:divsChild>
        </w:div>
        <w:div w:id="563565887">
          <w:marLeft w:val="0"/>
          <w:marRight w:val="0"/>
          <w:marTop w:val="0"/>
          <w:marBottom w:val="0"/>
          <w:divBdr>
            <w:top w:val="none" w:sz="0" w:space="0" w:color="auto"/>
            <w:left w:val="none" w:sz="0" w:space="0" w:color="auto"/>
            <w:bottom w:val="none" w:sz="0" w:space="0" w:color="auto"/>
            <w:right w:val="none" w:sz="0" w:space="0" w:color="auto"/>
          </w:divBdr>
          <w:divsChild>
            <w:div w:id="1181163648">
              <w:marLeft w:val="0"/>
              <w:marRight w:val="0"/>
              <w:marTop w:val="0"/>
              <w:marBottom w:val="0"/>
              <w:divBdr>
                <w:top w:val="none" w:sz="0" w:space="0" w:color="auto"/>
                <w:left w:val="none" w:sz="0" w:space="0" w:color="auto"/>
                <w:bottom w:val="none" w:sz="0" w:space="0" w:color="auto"/>
                <w:right w:val="none" w:sz="0" w:space="0" w:color="auto"/>
              </w:divBdr>
            </w:div>
            <w:div w:id="1609198176">
              <w:marLeft w:val="0"/>
              <w:marRight w:val="0"/>
              <w:marTop w:val="0"/>
              <w:marBottom w:val="0"/>
              <w:divBdr>
                <w:top w:val="none" w:sz="0" w:space="0" w:color="auto"/>
                <w:left w:val="none" w:sz="0" w:space="0" w:color="auto"/>
                <w:bottom w:val="none" w:sz="0" w:space="0" w:color="auto"/>
                <w:right w:val="none" w:sz="0" w:space="0" w:color="auto"/>
              </w:divBdr>
            </w:div>
            <w:div w:id="62874311">
              <w:marLeft w:val="0"/>
              <w:marRight w:val="0"/>
              <w:marTop w:val="0"/>
              <w:marBottom w:val="0"/>
              <w:divBdr>
                <w:top w:val="none" w:sz="0" w:space="0" w:color="auto"/>
                <w:left w:val="none" w:sz="0" w:space="0" w:color="auto"/>
                <w:bottom w:val="none" w:sz="0" w:space="0" w:color="auto"/>
                <w:right w:val="none" w:sz="0" w:space="0" w:color="auto"/>
              </w:divBdr>
            </w:div>
          </w:divsChild>
        </w:div>
        <w:div w:id="469638061">
          <w:marLeft w:val="0"/>
          <w:marRight w:val="0"/>
          <w:marTop w:val="0"/>
          <w:marBottom w:val="0"/>
          <w:divBdr>
            <w:top w:val="none" w:sz="0" w:space="0" w:color="auto"/>
            <w:left w:val="none" w:sz="0" w:space="0" w:color="auto"/>
            <w:bottom w:val="none" w:sz="0" w:space="0" w:color="auto"/>
            <w:right w:val="none" w:sz="0" w:space="0" w:color="auto"/>
          </w:divBdr>
          <w:divsChild>
            <w:div w:id="1827818379">
              <w:marLeft w:val="0"/>
              <w:marRight w:val="0"/>
              <w:marTop w:val="0"/>
              <w:marBottom w:val="0"/>
              <w:divBdr>
                <w:top w:val="none" w:sz="0" w:space="0" w:color="auto"/>
                <w:left w:val="none" w:sz="0" w:space="0" w:color="auto"/>
                <w:bottom w:val="none" w:sz="0" w:space="0" w:color="auto"/>
                <w:right w:val="none" w:sz="0" w:space="0" w:color="auto"/>
              </w:divBdr>
            </w:div>
            <w:div w:id="1006325448">
              <w:marLeft w:val="0"/>
              <w:marRight w:val="0"/>
              <w:marTop w:val="0"/>
              <w:marBottom w:val="0"/>
              <w:divBdr>
                <w:top w:val="none" w:sz="0" w:space="0" w:color="auto"/>
                <w:left w:val="none" w:sz="0" w:space="0" w:color="auto"/>
                <w:bottom w:val="none" w:sz="0" w:space="0" w:color="auto"/>
                <w:right w:val="none" w:sz="0" w:space="0" w:color="auto"/>
              </w:divBdr>
            </w:div>
            <w:div w:id="1860772633">
              <w:marLeft w:val="0"/>
              <w:marRight w:val="0"/>
              <w:marTop w:val="0"/>
              <w:marBottom w:val="0"/>
              <w:divBdr>
                <w:top w:val="none" w:sz="0" w:space="0" w:color="auto"/>
                <w:left w:val="none" w:sz="0" w:space="0" w:color="auto"/>
                <w:bottom w:val="none" w:sz="0" w:space="0" w:color="auto"/>
                <w:right w:val="none" w:sz="0" w:space="0" w:color="auto"/>
              </w:divBdr>
            </w:div>
            <w:div w:id="7103042">
              <w:marLeft w:val="0"/>
              <w:marRight w:val="0"/>
              <w:marTop w:val="0"/>
              <w:marBottom w:val="0"/>
              <w:divBdr>
                <w:top w:val="none" w:sz="0" w:space="0" w:color="auto"/>
                <w:left w:val="none" w:sz="0" w:space="0" w:color="auto"/>
                <w:bottom w:val="none" w:sz="0" w:space="0" w:color="auto"/>
                <w:right w:val="none" w:sz="0" w:space="0" w:color="auto"/>
              </w:divBdr>
            </w:div>
            <w:div w:id="318386688">
              <w:marLeft w:val="0"/>
              <w:marRight w:val="0"/>
              <w:marTop w:val="0"/>
              <w:marBottom w:val="0"/>
              <w:divBdr>
                <w:top w:val="none" w:sz="0" w:space="0" w:color="auto"/>
                <w:left w:val="none" w:sz="0" w:space="0" w:color="auto"/>
                <w:bottom w:val="none" w:sz="0" w:space="0" w:color="auto"/>
                <w:right w:val="none" w:sz="0" w:space="0" w:color="auto"/>
              </w:divBdr>
            </w:div>
            <w:div w:id="823081635">
              <w:marLeft w:val="0"/>
              <w:marRight w:val="0"/>
              <w:marTop w:val="0"/>
              <w:marBottom w:val="0"/>
              <w:divBdr>
                <w:top w:val="none" w:sz="0" w:space="0" w:color="auto"/>
                <w:left w:val="none" w:sz="0" w:space="0" w:color="auto"/>
                <w:bottom w:val="none" w:sz="0" w:space="0" w:color="auto"/>
                <w:right w:val="none" w:sz="0" w:space="0" w:color="auto"/>
              </w:divBdr>
            </w:div>
            <w:div w:id="293220673">
              <w:marLeft w:val="0"/>
              <w:marRight w:val="0"/>
              <w:marTop w:val="0"/>
              <w:marBottom w:val="0"/>
              <w:divBdr>
                <w:top w:val="none" w:sz="0" w:space="0" w:color="auto"/>
                <w:left w:val="none" w:sz="0" w:space="0" w:color="auto"/>
                <w:bottom w:val="none" w:sz="0" w:space="0" w:color="auto"/>
                <w:right w:val="none" w:sz="0" w:space="0" w:color="auto"/>
              </w:divBdr>
            </w:div>
          </w:divsChild>
        </w:div>
        <w:div w:id="418212303">
          <w:marLeft w:val="0"/>
          <w:marRight w:val="0"/>
          <w:marTop w:val="0"/>
          <w:marBottom w:val="0"/>
          <w:divBdr>
            <w:top w:val="none" w:sz="0" w:space="0" w:color="auto"/>
            <w:left w:val="none" w:sz="0" w:space="0" w:color="auto"/>
            <w:bottom w:val="none" w:sz="0" w:space="0" w:color="auto"/>
            <w:right w:val="none" w:sz="0" w:space="0" w:color="auto"/>
          </w:divBdr>
          <w:divsChild>
            <w:div w:id="1169442203">
              <w:marLeft w:val="0"/>
              <w:marRight w:val="0"/>
              <w:marTop w:val="0"/>
              <w:marBottom w:val="0"/>
              <w:divBdr>
                <w:top w:val="none" w:sz="0" w:space="0" w:color="auto"/>
                <w:left w:val="none" w:sz="0" w:space="0" w:color="auto"/>
                <w:bottom w:val="none" w:sz="0" w:space="0" w:color="auto"/>
                <w:right w:val="none" w:sz="0" w:space="0" w:color="auto"/>
              </w:divBdr>
            </w:div>
            <w:div w:id="1474101556">
              <w:marLeft w:val="0"/>
              <w:marRight w:val="0"/>
              <w:marTop w:val="0"/>
              <w:marBottom w:val="0"/>
              <w:divBdr>
                <w:top w:val="none" w:sz="0" w:space="0" w:color="auto"/>
                <w:left w:val="none" w:sz="0" w:space="0" w:color="auto"/>
                <w:bottom w:val="none" w:sz="0" w:space="0" w:color="auto"/>
                <w:right w:val="none" w:sz="0" w:space="0" w:color="auto"/>
              </w:divBdr>
            </w:div>
            <w:div w:id="568271478">
              <w:marLeft w:val="0"/>
              <w:marRight w:val="0"/>
              <w:marTop w:val="0"/>
              <w:marBottom w:val="0"/>
              <w:divBdr>
                <w:top w:val="none" w:sz="0" w:space="0" w:color="auto"/>
                <w:left w:val="none" w:sz="0" w:space="0" w:color="auto"/>
                <w:bottom w:val="none" w:sz="0" w:space="0" w:color="auto"/>
                <w:right w:val="none" w:sz="0" w:space="0" w:color="auto"/>
              </w:divBdr>
            </w:div>
            <w:div w:id="346181118">
              <w:marLeft w:val="0"/>
              <w:marRight w:val="0"/>
              <w:marTop w:val="0"/>
              <w:marBottom w:val="0"/>
              <w:divBdr>
                <w:top w:val="none" w:sz="0" w:space="0" w:color="auto"/>
                <w:left w:val="none" w:sz="0" w:space="0" w:color="auto"/>
                <w:bottom w:val="none" w:sz="0" w:space="0" w:color="auto"/>
                <w:right w:val="none" w:sz="0" w:space="0" w:color="auto"/>
              </w:divBdr>
            </w:div>
            <w:div w:id="491221537">
              <w:marLeft w:val="0"/>
              <w:marRight w:val="0"/>
              <w:marTop w:val="0"/>
              <w:marBottom w:val="0"/>
              <w:divBdr>
                <w:top w:val="none" w:sz="0" w:space="0" w:color="auto"/>
                <w:left w:val="none" w:sz="0" w:space="0" w:color="auto"/>
                <w:bottom w:val="none" w:sz="0" w:space="0" w:color="auto"/>
                <w:right w:val="none" w:sz="0" w:space="0" w:color="auto"/>
              </w:divBdr>
            </w:div>
            <w:div w:id="392319264">
              <w:marLeft w:val="0"/>
              <w:marRight w:val="0"/>
              <w:marTop w:val="0"/>
              <w:marBottom w:val="0"/>
              <w:divBdr>
                <w:top w:val="none" w:sz="0" w:space="0" w:color="auto"/>
                <w:left w:val="none" w:sz="0" w:space="0" w:color="auto"/>
                <w:bottom w:val="none" w:sz="0" w:space="0" w:color="auto"/>
                <w:right w:val="none" w:sz="0" w:space="0" w:color="auto"/>
              </w:divBdr>
            </w:div>
            <w:div w:id="1671591762">
              <w:marLeft w:val="0"/>
              <w:marRight w:val="0"/>
              <w:marTop w:val="0"/>
              <w:marBottom w:val="0"/>
              <w:divBdr>
                <w:top w:val="none" w:sz="0" w:space="0" w:color="auto"/>
                <w:left w:val="none" w:sz="0" w:space="0" w:color="auto"/>
                <w:bottom w:val="none" w:sz="0" w:space="0" w:color="auto"/>
                <w:right w:val="none" w:sz="0" w:space="0" w:color="auto"/>
              </w:divBdr>
            </w:div>
            <w:div w:id="970751077">
              <w:marLeft w:val="0"/>
              <w:marRight w:val="0"/>
              <w:marTop w:val="0"/>
              <w:marBottom w:val="0"/>
              <w:divBdr>
                <w:top w:val="none" w:sz="0" w:space="0" w:color="auto"/>
                <w:left w:val="none" w:sz="0" w:space="0" w:color="auto"/>
                <w:bottom w:val="none" w:sz="0" w:space="0" w:color="auto"/>
                <w:right w:val="none" w:sz="0" w:space="0" w:color="auto"/>
              </w:divBdr>
            </w:div>
            <w:div w:id="1413818188">
              <w:marLeft w:val="0"/>
              <w:marRight w:val="0"/>
              <w:marTop w:val="0"/>
              <w:marBottom w:val="0"/>
              <w:divBdr>
                <w:top w:val="none" w:sz="0" w:space="0" w:color="auto"/>
                <w:left w:val="none" w:sz="0" w:space="0" w:color="auto"/>
                <w:bottom w:val="none" w:sz="0" w:space="0" w:color="auto"/>
                <w:right w:val="none" w:sz="0" w:space="0" w:color="auto"/>
              </w:divBdr>
            </w:div>
            <w:div w:id="356855771">
              <w:marLeft w:val="0"/>
              <w:marRight w:val="0"/>
              <w:marTop w:val="0"/>
              <w:marBottom w:val="0"/>
              <w:divBdr>
                <w:top w:val="none" w:sz="0" w:space="0" w:color="auto"/>
                <w:left w:val="none" w:sz="0" w:space="0" w:color="auto"/>
                <w:bottom w:val="none" w:sz="0" w:space="0" w:color="auto"/>
                <w:right w:val="none" w:sz="0" w:space="0" w:color="auto"/>
              </w:divBdr>
            </w:div>
            <w:div w:id="83843028">
              <w:marLeft w:val="0"/>
              <w:marRight w:val="0"/>
              <w:marTop w:val="0"/>
              <w:marBottom w:val="0"/>
              <w:divBdr>
                <w:top w:val="none" w:sz="0" w:space="0" w:color="auto"/>
                <w:left w:val="none" w:sz="0" w:space="0" w:color="auto"/>
                <w:bottom w:val="none" w:sz="0" w:space="0" w:color="auto"/>
                <w:right w:val="none" w:sz="0" w:space="0" w:color="auto"/>
              </w:divBdr>
            </w:div>
            <w:div w:id="254553388">
              <w:marLeft w:val="0"/>
              <w:marRight w:val="0"/>
              <w:marTop w:val="0"/>
              <w:marBottom w:val="0"/>
              <w:divBdr>
                <w:top w:val="none" w:sz="0" w:space="0" w:color="auto"/>
                <w:left w:val="none" w:sz="0" w:space="0" w:color="auto"/>
                <w:bottom w:val="none" w:sz="0" w:space="0" w:color="auto"/>
                <w:right w:val="none" w:sz="0" w:space="0" w:color="auto"/>
              </w:divBdr>
            </w:div>
            <w:div w:id="342782389">
              <w:marLeft w:val="0"/>
              <w:marRight w:val="0"/>
              <w:marTop w:val="0"/>
              <w:marBottom w:val="0"/>
              <w:divBdr>
                <w:top w:val="none" w:sz="0" w:space="0" w:color="auto"/>
                <w:left w:val="none" w:sz="0" w:space="0" w:color="auto"/>
                <w:bottom w:val="none" w:sz="0" w:space="0" w:color="auto"/>
                <w:right w:val="none" w:sz="0" w:space="0" w:color="auto"/>
              </w:divBdr>
            </w:div>
            <w:div w:id="1721250120">
              <w:marLeft w:val="0"/>
              <w:marRight w:val="0"/>
              <w:marTop w:val="0"/>
              <w:marBottom w:val="0"/>
              <w:divBdr>
                <w:top w:val="none" w:sz="0" w:space="0" w:color="auto"/>
                <w:left w:val="none" w:sz="0" w:space="0" w:color="auto"/>
                <w:bottom w:val="none" w:sz="0" w:space="0" w:color="auto"/>
                <w:right w:val="none" w:sz="0" w:space="0" w:color="auto"/>
              </w:divBdr>
            </w:div>
            <w:div w:id="532424025">
              <w:marLeft w:val="0"/>
              <w:marRight w:val="0"/>
              <w:marTop w:val="0"/>
              <w:marBottom w:val="0"/>
              <w:divBdr>
                <w:top w:val="none" w:sz="0" w:space="0" w:color="auto"/>
                <w:left w:val="none" w:sz="0" w:space="0" w:color="auto"/>
                <w:bottom w:val="none" w:sz="0" w:space="0" w:color="auto"/>
                <w:right w:val="none" w:sz="0" w:space="0" w:color="auto"/>
              </w:divBdr>
            </w:div>
            <w:div w:id="1814568012">
              <w:marLeft w:val="0"/>
              <w:marRight w:val="0"/>
              <w:marTop w:val="0"/>
              <w:marBottom w:val="0"/>
              <w:divBdr>
                <w:top w:val="none" w:sz="0" w:space="0" w:color="auto"/>
                <w:left w:val="none" w:sz="0" w:space="0" w:color="auto"/>
                <w:bottom w:val="none" w:sz="0" w:space="0" w:color="auto"/>
                <w:right w:val="none" w:sz="0" w:space="0" w:color="auto"/>
              </w:divBdr>
            </w:div>
            <w:div w:id="307783868">
              <w:marLeft w:val="0"/>
              <w:marRight w:val="0"/>
              <w:marTop w:val="0"/>
              <w:marBottom w:val="0"/>
              <w:divBdr>
                <w:top w:val="none" w:sz="0" w:space="0" w:color="auto"/>
                <w:left w:val="none" w:sz="0" w:space="0" w:color="auto"/>
                <w:bottom w:val="none" w:sz="0" w:space="0" w:color="auto"/>
                <w:right w:val="none" w:sz="0" w:space="0" w:color="auto"/>
              </w:divBdr>
            </w:div>
            <w:div w:id="287518563">
              <w:marLeft w:val="0"/>
              <w:marRight w:val="0"/>
              <w:marTop w:val="0"/>
              <w:marBottom w:val="0"/>
              <w:divBdr>
                <w:top w:val="none" w:sz="0" w:space="0" w:color="auto"/>
                <w:left w:val="none" w:sz="0" w:space="0" w:color="auto"/>
                <w:bottom w:val="none" w:sz="0" w:space="0" w:color="auto"/>
                <w:right w:val="none" w:sz="0" w:space="0" w:color="auto"/>
              </w:divBdr>
            </w:div>
            <w:div w:id="86311796">
              <w:marLeft w:val="0"/>
              <w:marRight w:val="0"/>
              <w:marTop w:val="0"/>
              <w:marBottom w:val="0"/>
              <w:divBdr>
                <w:top w:val="none" w:sz="0" w:space="0" w:color="auto"/>
                <w:left w:val="none" w:sz="0" w:space="0" w:color="auto"/>
                <w:bottom w:val="none" w:sz="0" w:space="0" w:color="auto"/>
                <w:right w:val="none" w:sz="0" w:space="0" w:color="auto"/>
              </w:divBdr>
            </w:div>
            <w:div w:id="185674755">
              <w:marLeft w:val="0"/>
              <w:marRight w:val="0"/>
              <w:marTop w:val="0"/>
              <w:marBottom w:val="0"/>
              <w:divBdr>
                <w:top w:val="none" w:sz="0" w:space="0" w:color="auto"/>
                <w:left w:val="none" w:sz="0" w:space="0" w:color="auto"/>
                <w:bottom w:val="none" w:sz="0" w:space="0" w:color="auto"/>
                <w:right w:val="none" w:sz="0" w:space="0" w:color="auto"/>
              </w:divBdr>
            </w:div>
            <w:div w:id="2013601080">
              <w:marLeft w:val="0"/>
              <w:marRight w:val="0"/>
              <w:marTop w:val="0"/>
              <w:marBottom w:val="0"/>
              <w:divBdr>
                <w:top w:val="none" w:sz="0" w:space="0" w:color="auto"/>
                <w:left w:val="none" w:sz="0" w:space="0" w:color="auto"/>
                <w:bottom w:val="none" w:sz="0" w:space="0" w:color="auto"/>
                <w:right w:val="none" w:sz="0" w:space="0" w:color="auto"/>
              </w:divBdr>
            </w:div>
            <w:div w:id="2030643732">
              <w:marLeft w:val="0"/>
              <w:marRight w:val="0"/>
              <w:marTop w:val="0"/>
              <w:marBottom w:val="0"/>
              <w:divBdr>
                <w:top w:val="none" w:sz="0" w:space="0" w:color="auto"/>
                <w:left w:val="none" w:sz="0" w:space="0" w:color="auto"/>
                <w:bottom w:val="none" w:sz="0" w:space="0" w:color="auto"/>
                <w:right w:val="none" w:sz="0" w:space="0" w:color="auto"/>
              </w:divBdr>
            </w:div>
            <w:div w:id="1428387002">
              <w:marLeft w:val="0"/>
              <w:marRight w:val="0"/>
              <w:marTop w:val="0"/>
              <w:marBottom w:val="0"/>
              <w:divBdr>
                <w:top w:val="none" w:sz="0" w:space="0" w:color="auto"/>
                <w:left w:val="none" w:sz="0" w:space="0" w:color="auto"/>
                <w:bottom w:val="none" w:sz="0" w:space="0" w:color="auto"/>
                <w:right w:val="none" w:sz="0" w:space="0" w:color="auto"/>
              </w:divBdr>
            </w:div>
            <w:div w:id="761150048">
              <w:marLeft w:val="0"/>
              <w:marRight w:val="0"/>
              <w:marTop w:val="0"/>
              <w:marBottom w:val="0"/>
              <w:divBdr>
                <w:top w:val="none" w:sz="0" w:space="0" w:color="auto"/>
                <w:left w:val="none" w:sz="0" w:space="0" w:color="auto"/>
                <w:bottom w:val="none" w:sz="0" w:space="0" w:color="auto"/>
                <w:right w:val="none" w:sz="0" w:space="0" w:color="auto"/>
              </w:divBdr>
            </w:div>
            <w:div w:id="2133598091">
              <w:marLeft w:val="0"/>
              <w:marRight w:val="0"/>
              <w:marTop w:val="0"/>
              <w:marBottom w:val="0"/>
              <w:divBdr>
                <w:top w:val="none" w:sz="0" w:space="0" w:color="auto"/>
                <w:left w:val="none" w:sz="0" w:space="0" w:color="auto"/>
                <w:bottom w:val="none" w:sz="0" w:space="0" w:color="auto"/>
                <w:right w:val="none" w:sz="0" w:space="0" w:color="auto"/>
              </w:divBdr>
            </w:div>
            <w:div w:id="831679165">
              <w:marLeft w:val="0"/>
              <w:marRight w:val="0"/>
              <w:marTop w:val="0"/>
              <w:marBottom w:val="0"/>
              <w:divBdr>
                <w:top w:val="none" w:sz="0" w:space="0" w:color="auto"/>
                <w:left w:val="none" w:sz="0" w:space="0" w:color="auto"/>
                <w:bottom w:val="none" w:sz="0" w:space="0" w:color="auto"/>
                <w:right w:val="none" w:sz="0" w:space="0" w:color="auto"/>
              </w:divBdr>
            </w:div>
            <w:div w:id="1937060186">
              <w:marLeft w:val="0"/>
              <w:marRight w:val="0"/>
              <w:marTop w:val="0"/>
              <w:marBottom w:val="0"/>
              <w:divBdr>
                <w:top w:val="none" w:sz="0" w:space="0" w:color="auto"/>
                <w:left w:val="none" w:sz="0" w:space="0" w:color="auto"/>
                <w:bottom w:val="none" w:sz="0" w:space="0" w:color="auto"/>
                <w:right w:val="none" w:sz="0" w:space="0" w:color="auto"/>
              </w:divBdr>
            </w:div>
            <w:div w:id="1335037706">
              <w:marLeft w:val="0"/>
              <w:marRight w:val="0"/>
              <w:marTop w:val="0"/>
              <w:marBottom w:val="0"/>
              <w:divBdr>
                <w:top w:val="none" w:sz="0" w:space="0" w:color="auto"/>
                <w:left w:val="none" w:sz="0" w:space="0" w:color="auto"/>
                <w:bottom w:val="none" w:sz="0" w:space="0" w:color="auto"/>
                <w:right w:val="none" w:sz="0" w:space="0" w:color="auto"/>
              </w:divBdr>
            </w:div>
            <w:div w:id="175927092">
              <w:marLeft w:val="0"/>
              <w:marRight w:val="0"/>
              <w:marTop w:val="0"/>
              <w:marBottom w:val="0"/>
              <w:divBdr>
                <w:top w:val="none" w:sz="0" w:space="0" w:color="auto"/>
                <w:left w:val="none" w:sz="0" w:space="0" w:color="auto"/>
                <w:bottom w:val="none" w:sz="0" w:space="0" w:color="auto"/>
                <w:right w:val="none" w:sz="0" w:space="0" w:color="auto"/>
              </w:divBdr>
            </w:div>
            <w:div w:id="1369380052">
              <w:marLeft w:val="0"/>
              <w:marRight w:val="0"/>
              <w:marTop w:val="0"/>
              <w:marBottom w:val="0"/>
              <w:divBdr>
                <w:top w:val="none" w:sz="0" w:space="0" w:color="auto"/>
                <w:left w:val="none" w:sz="0" w:space="0" w:color="auto"/>
                <w:bottom w:val="none" w:sz="0" w:space="0" w:color="auto"/>
                <w:right w:val="none" w:sz="0" w:space="0" w:color="auto"/>
              </w:divBdr>
            </w:div>
          </w:divsChild>
        </w:div>
        <w:div w:id="1605769347">
          <w:marLeft w:val="0"/>
          <w:marRight w:val="0"/>
          <w:marTop w:val="0"/>
          <w:marBottom w:val="0"/>
          <w:divBdr>
            <w:top w:val="none" w:sz="0" w:space="0" w:color="auto"/>
            <w:left w:val="none" w:sz="0" w:space="0" w:color="auto"/>
            <w:bottom w:val="none" w:sz="0" w:space="0" w:color="auto"/>
            <w:right w:val="none" w:sz="0" w:space="0" w:color="auto"/>
          </w:divBdr>
          <w:divsChild>
            <w:div w:id="1121193848">
              <w:marLeft w:val="0"/>
              <w:marRight w:val="0"/>
              <w:marTop w:val="0"/>
              <w:marBottom w:val="0"/>
              <w:divBdr>
                <w:top w:val="none" w:sz="0" w:space="0" w:color="auto"/>
                <w:left w:val="none" w:sz="0" w:space="0" w:color="auto"/>
                <w:bottom w:val="none" w:sz="0" w:space="0" w:color="auto"/>
                <w:right w:val="none" w:sz="0" w:space="0" w:color="auto"/>
              </w:divBdr>
            </w:div>
            <w:div w:id="2117674755">
              <w:marLeft w:val="0"/>
              <w:marRight w:val="0"/>
              <w:marTop w:val="0"/>
              <w:marBottom w:val="0"/>
              <w:divBdr>
                <w:top w:val="none" w:sz="0" w:space="0" w:color="auto"/>
                <w:left w:val="none" w:sz="0" w:space="0" w:color="auto"/>
                <w:bottom w:val="none" w:sz="0" w:space="0" w:color="auto"/>
                <w:right w:val="none" w:sz="0" w:space="0" w:color="auto"/>
              </w:divBdr>
            </w:div>
            <w:div w:id="882903599">
              <w:marLeft w:val="0"/>
              <w:marRight w:val="0"/>
              <w:marTop w:val="0"/>
              <w:marBottom w:val="0"/>
              <w:divBdr>
                <w:top w:val="none" w:sz="0" w:space="0" w:color="auto"/>
                <w:left w:val="none" w:sz="0" w:space="0" w:color="auto"/>
                <w:bottom w:val="none" w:sz="0" w:space="0" w:color="auto"/>
                <w:right w:val="none" w:sz="0" w:space="0" w:color="auto"/>
              </w:divBdr>
            </w:div>
            <w:div w:id="1112362904">
              <w:marLeft w:val="0"/>
              <w:marRight w:val="0"/>
              <w:marTop w:val="0"/>
              <w:marBottom w:val="0"/>
              <w:divBdr>
                <w:top w:val="none" w:sz="0" w:space="0" w:color="auto"/>
                <w:left w:val="none" w:sz="0" w:space="0" w:color="auto"/>
                <w:bottom w:val="none" w:sz="0" w:space="0" w:color="auto"/>
                <w:right w:val="none" w:sz="0" w:space="0" w:color="auto"/>
              </w:divBdr>
            </w:div>
            <w:div w:id="605623864">
              <w:marLeft w:val="0"/>
              <w:marRight w:val="0"/>
              <w:marTop w:val="0"/>
              <w:marBottom w:val="0"/>
              <w:divBdr>
                <w:top w:val="none" w:sz="0" w:space="0" w:color="auto"/>
                <w:left w:val="none" w:sz="0" w:space="0" w:color="auto"/>
                <w:bottom w:val="none" w:sz="0" w:space="0" w:color="auto"/>
                <w:right w:val="none" w:sz="0" w:space="0" w:color="auto"/>
              </w:divBdr>
            </w:div>
            <w:div w:id="1576813535">
              <w:marLeft w:val="0"/>
              <w:marRight w:val="0"/>
              <w:marTop w:val="0"/>
              <w:marBottom w:val="0"/>
              <w:divBdr>
                <w:top w:val="none" w:sz="0" w:space="0" w:color="auto"/>
                <w:left w:val="none" w:sz="0" w:space="0" w:color="auto"/>
                <w:bottom w:val="none" w:sz="0" w:space="0" w:color="auto"/>
                <w:right w:val="none" w:sz="0" w:space="0" w:color="auto"/>
              </w:divBdr>
            </w:div>
          </w:divsChild>
        </w:div>
        <w:div w:id="422192666">
          <w:marLeft w:val="0"/>
          <w:marRight w:val="0"/>
          <w:marTop w:val="0"/>
          <w:marBottom w:val="0"/>
          <w:divBdr>
            <w:top w:val="none" w:sz="0" w:space="0" w:color="auto"/>
            <w:left w:val="none" w:sz="0" w:space="0" w:color="auto"/>
            <w:bottom w:val="none" w:sz="0" w:space="0" w:color="auto"/>
            <w:right w:val="none" w:sz="0" w:space="0" w:color="auto"/>
          </w:divBdr>
          <w:divsChild>
            <w:div w:id="1817256397">
              <w:marLeft w:val="0"/>
              <w:marRight w:val="0"/>
              <w:marTop w:val="0"/>
              <w:marBottom w:val="0"/>
              <w:divBdr>
                <w:top w:val="none" w:sz="0" w:space="0" w:color="auto"/>
                <w:left w:val="none" w:sz="0" w:space="0" w:color="auto"/>
                <w:bottom w:val="none" w:sz="0" w:space="0" w:color="auto"/>
                <w:right w:val="none" w:sz="0" w:space="0" w:color="auto"/>
              </w:divBdr>
            </w:div>
            <w:div w:id="990331187">
              <w:marLeft w:val="0"/>
              <w:marRight w:val="0"/>
              <w:marTop w:val="0"/>
              <w:marBottom w:val="0"/>
              <w:divBdr>
                <w:top w:val="none" w:sz="0" w:space="0" w:color="auto"/>
                <w:left w:val="none" w:sz="0" w:space="0" w:color="auto"/>
                <w:bottom w:val="none" w:sz="0" w:space="0" w:color="auto"/>
                <w:right w:val="none" w:sz="0" w:space="0" w:color="auto"/>
              </w:divBdr>
            </w:div>
            <w:div w:id="1455517227">
              <w:marLeft w:val="0"/>
              <w:marRight w:val="0"/>
              <w:marTop w:val="0"/>
              <w:marBottom w:val="0"/>
              <w:divBdr>
                <w:top w:val="none" w:sz="0" w:space="0" w:color="auto"/>
                <w:left w:val="none" w:sz="0" w:space="0" w:color="auto"/>
                <w:bottom w:val="none" w:sz="0" w:space="0" w:color="auto"/>
                <w:right w:val="none" w:sz="0" w:space="0" w:color="auto"/>
              </w:divBdr>
            </w:div>
            <w:div w:id="30109072">
              <w:marLeft w:val="0"/>
              <w:marRight w:val="0"/>
              <w:marTop w:val="0"/>
              <w:marBottom w:val="0"/>
              <w:divBdr>
                <w:top w:val="none" w:sz="0" w:space="0" w:color="auto"/>
                <w:left w:val="none" w:sz="0" w:space="0" w:color="auto"/>
                <w:bottom w:val="none" w:sz="0" w:space="0" w:color="auto"/>
                <w:right w:val="none" w:sz="0" w:space="0" w:color="auto"/>
              </w:divBdr>
            </w:div>
            <w:div w:id="1228682318">
              <w:marLeft w:val="0"/>
              <w:marRight w:val="0"/>
              <w:marTop w:val="0"/>
              <w:marBottom w:val="0"/>
              <w:divBdr>
                <w:top w:val="none" w:sz="0" w:space="0" w:color="auto"/>
                <w:left w:val="none" w:sz="0" w:space="0" w:color="auto"/>
                <w:bottom w:val="none" w:sz="0" w:space="0" w:color="auto"/>
                <w:right w:val="none" w:sz="0" w:space="0" w:color="auto"/>
              </w:divBdr>
            </w:div>
          </w:divsChild>
        </w:div>
        <w:div w:id="1919360202">
          <w:marLeft w:val="0"/>
          <w:marRight w:val="0"/>
          <w:marTop w:val="0"/>
          <w:marBottom w:val="0"/>
          <w:divBdr>
            <w:top w:val="none" w:sz="0" w:space="0" w:color="auto"/>
            <w:left w:val="none" w:sz="0" w:space="0" w:color="auto"/>
            <w:bottom w:val="none" w:sz="0" w:space="0" w:color="auto"/>
            <w:right w:val="none" w:sz="0" w:space="0" w:color="auto"/>
          </w:divBdr>
          <w:divsChild>
            <w:div w:id="1155992152">
              <w:marLeft w:val="0"/>
              <w:marRight w:val="0"/>
              <w:marTop w:val="0"/>
              <w:marBottom w:val="0"/>
              <w:divBdr>
                <w:top w:val="none" w:sz="0" w:space="0" w:color="auto"/>
                <w:left w:val="none" w:sz="0" w:space="0" w:color="auto"/>
                <w:bottom w:val="none" w:sz="0" w:space="0" w:color="auto"/>
                <w:right w:val="none" w:sz="0" w:space="0" w:color="auto"/>
              </w:divBdr>
            </w:div>
            <w:div w:id="1803763693">
              <w:marLeft w:val="0"/>
              <w:marRight w:val="0"/>
              <w:marTop w:val="0"/>
              <w:marBottom w:val="0"/>
              <w:divBdr>
                <w:top w:val="none" w:sz="0" w:space="0" w:color="auto"/>
                <w:left w:val="none" w:sz="0" w:space="0" w:color="auto"/>
                <w:bottom w:val="none" w:sz="0" w:space="0" w:color="auto"/>
                <w:right w:val="none" w:sz="0" w:space="0" w:color="auto"/>
              </w:divBdr>
            </w:div>
          </w:divsChild>
        </w:div>
        <w:div w:id="828403931">
          <w:marLeft w:val="0"/>
          <w:marRight w:val="0"/>
          <w:marTop w:val="0"/>
          <w:marBottom w:val="0"/>
          <w:divBdr>
            <w:top w:val="none" w:sz="0" w:space="0" w:color="auto"/>
            <w:left w:val="none" w:sz="0" w:space="0" w:color="auto"/>
            <w:bottom w:val="none" w:sz="0" w:space="0" w:color="auto"/>
            <w:right w:val="none" w:sz="0" w:space="0" w:color="auto"/>
          </w:divBdr>
          <w:divsChild>
            <w:div w:id="1896508084">
              <w:marLeft w:val="0"/>
              <w:marRight w:val="0"/>
              <w:marTop w:val="0"/>
              <w:marBottom w:val="0"/>
              <w:divBdr>
                <w:top w:val="none" w:sz="0" w:space="0" w:color="auto"/>
                <w:left w:val="none" w:sz="0" w:space="0" w:color="auto"/>
                <w:bottom w:val="none" w:sz="0" w:space="0" w:color="auto"/>
                <w:right w:val="none" w:sz="0" w:space="0" w:color="auto"/>
              </w:divBdr>
            </w:div>
            <w:div w:id="700014192">
              <w:marLeft w:val="0"/>
              <w:marRight w:val="0"/>
              <w:marTop w:val="0"/>
              <w:marBottom w:val="0"/>
              <w:divBdr>
                <w:top w:val="none" w:sz="0" w:space="0" w:color="auto"/>
                <w:left w:val="none" w:sz="0" w:space="0" w:color="auto"/>
                <w:bottom w:val="none" w:sz="0" w:space="0" w:color="auto"/>
                <w:right w:val="none" w:sz="0" w:space="0" w:color="auto"/>
              </w:divBdr>
            </w:div>
            <w:div w:id="438332155">
              <w:marLeft w:val="0"/>
              <w:marRight w:val="0"/>
              <w:marTop w:val="0"/>
              <w:marBottom w:val="0"/>
              <w:divBdr>
                <w:top w:val="none" w:sz="0" w:space="0" w:color="auto"/>
                <w:left w:val="none" w:sz="0" w:space="0" w:color="auto"/>
                <w:bottom w:val="none" w:sz="0" w:space="0" w:color="auto"/>
                <w:right w:val="none" w:sz="0" w:space="0" w:color="auto"/>
              </w:divBdr>
            </w:div>
            <w:div w:id="969898838">
              <w:marLeft w:val="0"/>
              <w:marRight w:val="0"/>
              <w:marTop w:val="0"/>
              <w:marBottom w:val="0"/>
              <w:divBdr>
                <w:top w:val="none" w:sz="0" w:space="0" w:color="auto"/>
                <w:left w:val="none" w:sz="0" w:space="0" w:color="auto"/>
                <w:bottom w:val="none" w:sz="0" w:space="0" w:color="auto"/>
                <w:right w:val="none" w:sz="0" w:space="0" w:color="auto"/>
              </w:divBdr>
            </w:div>
            <w:div w:id="1102920249">
              <w:marLeft w:val="0"/>
              <w:marRight w:val="0"/>
              <w:marTop w:val="0"/>
              <w:marBottom w:val="0"/>
              <w:divBdr>
                <w:top w:val="none" w:sz="0" w:space="0" w:color="auto"/>
                <w:left w:val="none" w:sz="0" w:space="0" w:color="auto"/>
                <w:bottom w:val="none" w:sz="0" w:space="0" w:color="auto"/>
                <w:right w:val="none" w:sz="0" w:space="0" w:color="auto"/>
              </w:divBdr>
            </w:div>
            <w:div w:id="1090740591">
              <w:marLeft w:val="0"/>
              <w:marRight w:val="0"/>
              <w:marTop w:val="0"/>
              <w:marBottom w:val="0"/>
              <w:divBdr>
                <w:top w:val="none" w:sz="0" w:space="0" w:color="auto"/>
                <w:left w:val="none" w:sz="0" w:space="0" w:color="auto"/>
                <w:bottom w:val="none" w:sz="0" w:space="0" w:color="auto"/>
                <w:right w:val="none" w:sz="0" w:space="0" w:color="auto"/>
              </w:divBdr>
            </w:div>
            <w:div w:id="170918733">
              <w:marLeft w:val="0"/>
              <w:marRight w:val="0"/>
              <w:marTop w:val="0"/>
              <w:marBottom w:val="0"/>
              <w:divBdr>
                <w:top w:val="none" w:sz="0" w:space="0" w:color="auto"/>
                <w:left w:val="none" w:sz="0" w:space="0" w:color="auto"/>
                <w:bottom w:val="none" w:sz="0" w:space="0" w:color="auto"/>
                <w:right w:val="none" w:sz="0" w:space="0" w:color="auto"/>
              </w:divBdr>
            </w:div>
          </w:divsChild>
        </w:div>
        <w:div w:id="1134904094">
          <w:marLeft w:val="0"/>
          <w:marRight w:val="0"/>
          <w:marTop w:val="0"/>
          <w:marBottom w:val="0"/>
          <w:divBdr>
            <w:top w:val="none" w:sz="0" w:space="0" w:color="auto"/>
            <w:left w:val="none" w:sz="0" w:space="0" w:color="auto"/>
            <w:bottom w:val="none" w:sz="0" w:space="0" w:color="auto"/>
            <w:right w:val="none" w:sz="0" w:space="0" w:color="auto"/>
          </w:divBdr>
          <w:divsChild>
            <w:div w:id="862595939">
              <w:marLeft w:val="0"/>
              <w:marRight w:val="0"/>
              <w:marTop w:val="0"/>
              <w:marBottom w:val="0"/>
              <w:divBdr>
                <w:top w:val="none" w:sz="0" w:space="0" w:color="auto"/>
                <w:left w:val="none" w:sz="0" w:space="0" w:color="auto"/>
                <w:bottom w:val="none" w:sz="0" w:space="0" w:color="auto"/>
                <w:right w:val="none" w:sz="0" w:space="0" w:color="auto"/>
              </w:divBdr>
            </w:div>
            <w:div w:id="2097941694">
              <w:marLeft w:val="0"/>
              <w:marRight w:val="0"/>
              <w:marTop w:val="0"/>
              <w:marBottom w:val="0"/>
              <w:divBdr>
                <w:top w:val="none" w:sz="0" w:space="0" w:color="auto"/>
                <w:left w:val="none" w:sz="0" w:space="0" w:color="auto"/>
                <w:bottom w:val="none" w:sz="0" w:space="0" w:color="auto"/>
                <w:right w:val="none" w:sz="0" w:space="0" w:color="auto"/>
              </w:divBdr>
            </w:div>
            <w:div w:id="1530676903">
              <w:marLeft w:val="0"/>
              <w:marRight w:val="0"/>
              <w:marTop w:val="0"/>
              <w:marBottom w:val="0"/>
              <w:divBdr>
                <w:top w:val="none" w:sz="0" w:space="0" w:color="auto"/>
                <w:left w:val="none" w:sz="0" w:space="0" w:color="auto"/>
                <w:bottom w:val="none" w:sz="0" w:space="0" w:color="auto"/>
                <w:right w:val="none" w:sz="0" w:space="0" w:color="auto"/>
              </w:divBdr>
            </w:div>
            <w:div w:id="367950348">
              <w:marLeft w:val="0"/>
              <w:marRight w:val="0"/>
              <w:marTop w:val="0"/>
              <w:marBottom w:val="0"/>
              <w:divBdr>
                <w:top w:val="none" w:sz="0" w:space="0" w:color="auto"/>
                <w:left w:val="none" w:sz="0" w:space="0" w:color="auto"/>
                <w:bottom w:val="none" w:sz="0" w:space="0" w:color="auto"/>
                <w:right w:val="none" w:sz="0" w:space="0" w:color="auto"/>
              </w:divBdr>
            </w:div>
            <w:div w:id="1543176193">
              <w:marLeft w:val="0"/>
              <w:marRight w:val="0"/>
              <w:marTop w:val="0"/>
              <w:marBottom w:val="0"/>
              <w:divBdr>
                <w:top w:val="none" w:sz="0" w:space="0" w:color="auto"/>
                <w:left w:val="none" w:sz="0" w:space="0" w:color="auto"/>
                <w:bottom w:val="none" w:sz="0" w:space="0" w:color="auto"/>
                <w:right w:val="none" w:sz="0" w:space="0" w:color="auto"/>
              </w:divBdr>
            </w:div>
            <w:div w:id="615138869">
              <w:marLeft w:val="0"/>
              <w:marRight w:val="0"/>
              <w:marTop w:val="0"/>
              <w:marBottom w:val="0"/>
              <w:divBdr>
                <w:top w:val="none" w:sz="0" w:space="0" w:color="auto"/>
                <w:left w:val="none" w:sz="0" w:space="0" w:color="auto"/>
                <w:bottom w:val="none" w:sz="0" w:space="0" w:color="auto"/>
                <w:right w:val="none" w:sz="0" w:space="0" w:color="auto"/>
              </w:divBdr>
            </w:div>
            <w:div w:id="2045904755">
              <w:marLeft w:val="0"/>
              <w:marRight w:val="0"/>
              <w:marTop w:val="0"/>
              <w:marBottom w:val="0"/>
              <w:divBdr>
                <w:top w:val="none" w:sz="0" w:space="0" w:color="auto"/>
                <w:left w:val="none" w:sz="0" w:space="0" w:color="auto"/>
                <w:bottom w:val="none" w:sz="0" w:space="0" w:color="auto"/>
                <w:right w:val="none" w:sz="0" w:space="0" w:color="auto"/>
              </w:divBdr>
            </w:div>
          </w:divsChild>
        </w:div>
        <w:div w:id="468745077">
          <w:marLeft w:val="0"/>
          <w:marRight w:val="0"/>
          <w:marTop w:val="0"/>
          <w:marBottom w:val="0"/>
          <w:divBdr>
            <w:top w:val="none" w:sz="0" w:space="0" w:color="auto"/>
            <w:left w:val="none" w:sz="0" w:space="0" w:color="auto"/>
            <w:bottom w:val="none" w:sz="0" w:space="0" w:color="auto"/>
            <w:right w:val="none" w:sz="0" w:space="0" w:color="auto"/>
          </w:divBdr>
          <w:divsChild>
            <w:div w:id="1951735838">
              <w:marLeft w:val="0"/>
              <w:marRight w:val="0"/>
              <w:marTop w:val="0"/>
              <w:marBottom w:val="0"/>
              <w:divBdr>
                <w:top w:val="none" w:sz="0" w:space="0" w:color="auto"/>
                <w:left w:val="none" w:sz="0" w:space="0" w:color="auto"/>
                <w:bottom w:val="none" w:sz="0" w:space="0" w:color="auto"/>
                <w:right w:val="none" w:sz="0" w:space="0" w:color="auto"/>
              </w:divBdr>
            </w:div>
            <w:div w:id="826046824">
              <w:marLeft w:val="0"/>
              <w:marRight w:val="0"/>
              <w:marTop w:val="0"/>
              <w:marBottom w:val="0"/>
              <w:divBdr>
                <w:top w:val="none" w:sz="0" w:space="0" w:color="auto"/>
                <w:left w:val="none" w:sz="0" w:space="0" w:color="auto"/>
                <w:bottom w:val="none" w:sz="0" w:space="0" w:color="auto"/>
                <w:right w:val="none" w:sz="0" w:space="0" w:color="auto"/>
              </w:divBdr>
            </w:div>
            <w:div w:id="910457505">
              <w:marLeft w:val="0"/>
              <w:marRight w:val="0"/>
              <w:marTop w:val="0"/>
              <w:marBottom w:val="0"/>
              <w:divBdr>
                <w:top w:val="none" w:sz="0" w:space="0" w:color="auto"/>
                <w:left w:val="none" w:sz="0" w:space="0" w:color="auto"/>
                <w:bottom w:val="none" w:sz="0" w:space="0" w:color="auto"/>
                <w:right w:val="none" w:sz="0" w:space="0" w:color="auto"/>
              </w:divBdr>
            </w:div>
            <w:div w:id="446973434">
              <w:marLeft w:val="0"/>
              <w:marRight w:val="0"/>
              <w:marTop w:val="0"/>
              <w:marBottom w:val="0"/>
              <w:divBdr>
                <w:top w:val="none" w:sz="0" w:space="0" w:color="auto"/>
                <w:left w:val="none" w:sz="0" w:space="0" w:color="auto"/>
                <w:bottom w:val="none" w:sz="0" w:space="0" w:color="auto"/>
                <w:right w:val="none" w:sz="0" w:space="0" w:color="auto"/>
              </w:divBdr>
            </w:div>
          </w:divsChild>
        </w:div>
        <w:div w:id="1400402677">
          <w:marLeft w:val="0"/>
          <w:marRight w:val="0"/>
          <w:marTop w:val="0"/>
          <w:marBottom w:val="0"/>
          <w:divBdr>
            <w:top w:val="none" w:sz="0" w:space="0" w:color="auto"/>
            <w:left w:val="none" w:sz="0" w:space="0" w:color="auto"/>
            <w:bottom w:val="none" w:sz="0" w:space="0" w:color="auto"/>
            <w:right w:val="none" w:sz="0" w:space="0" w:color="auto"/>
          </w:divBdr>
          <w:divsChild>
            <w:div w:id="1835412991">
              <w:marLeft w:val="0"/>
              <w:marRight w:val="0"/>
              <w:marTop w:val="0"/>
              <w:marBottom w:val="0"/>
              <w:divBdr>
                <w:top w:val="none" w:sz="0" w:space="0" w:color="auto"/>
                <w:left w:val="none" w:sz="0" w:space="0" w:color="auto"/>
                <w:bottom w:val="none" w:sz="0" w:space="0" w:color="auto"/>
                <w:right w:val="none" w:sz="0" w:space="0" w:color="auto"/>
              </w:divBdr>
            </w:div>
            <w:div w:id="554243916">
              <w:marLeft w:val="0"/>
              <w:marRight w:val="0"/>
              <w:marTop w:val="0"/>
              <w:marBottom w:val="0"/>
              <w:divBdr>
                <w:top w:val="none" w:sz="0" w:space="0" w:color="auto"/>
                <w:left w:val="none" w:sz="0" w:space="0" w:color="auto"/>
                <w:bottom w:val="none" w:sz="0" w:space="0" w:color="auto"/>
                <w:right w:val="none" w:sz="0" w:space="0" w:color="auto"/>
              </w:divBdr>
            </w:div>
          </w:divsChild>
        </w:div>
        <w:div w:id="1162963158">
          <w:marLeft w:val="0"/>
          <w:marRight w:val="0"/>
          <w:marTop w:val="0"/>
          <w:marBottom w:val="0"/>
          <w:divBdr>
            <w:top w:val="none" w:sz="0" w:space="0" w:color="auto"/>
            <w:left w:val="none" w:sz="0" w:space="0" w:color="auto"/>
            <w:bottom w:val="none" w:sz="0" w:space="0" w:color="auto"/>
            <w:right w:val="none" w:sz="0" w:space="0" w:color="auto"/>
          </w:divBdr>
          <w:divsChild>
            <w:div w:id="1436636231">
              <w:marLeft w:val="0"/>
              <w:marRight w:val="0"/>
              <w:marTop w:val="0"/>
              <w:marBottom w:val="0"/>
              <w:divBdr>
                <w:top w:val="none" w:sz="0" w:space="0" w:color="auto"/>
                <w:left w:val="none" w:sz="0" w:space="0" w:color="auto"/>
                <w:bottom w:val="none" w:sz="0" w:space="0" w:color="auto"/>
                <w:right w:val="none" w:sz="0" w:space="0" w:color="auto"/>
              </w:divBdr>
            </w:div>
            <w:div w:id="1452212349">
              <w:marLeft w:val="0"/>
              <w:marRight w:val="0"/>
              <w:marTop w:val="0"/>
              <w:marBottom w:val="0"/>
              <w:divBdr>
                <w:top w:val="none" w:sz="0" w:space="0" w:color="auto"/>
                <w:left w:val="none" w:sz="0" w:space="0" w:color="auto"/>
                <w:bottom w:val="none" w:sz="0" w:space="0" w:color="auto"/>
                <w:right w:val="none" w:sz="0" w:space="0" w:color="auto"/>
              </w:divBdr>
            </w:div>
          </w:divsChild>
        </w:div>
        <w:div w:id="293367655">
          <w:marLeft w:val="0"/>
          <w:marRight w:val="0"/>
          <w:marTop w:val="0"/>
          <w:marBottom w:val="0"/>
          <w:divBdr>
            <w:top w:val="none" w:sz="0" w:space="0" w:color="auto"/>
            <w:left w:val="none" w:sz="0" w:space="0" w:color="auto"/>
            <w:bottom w:val="none" w:sz="0" w:space="0" w:color="auto"/>
            <w:right w:val="none" w:sz="0" w:space="0" w:color="auto"/>
          </w:divBdr>
          <w:divsChild>
            <w:div w:id="2114087536">
              <w:marLeft w:val="0"/>
              <w:marRight w:val="0"/>
              <w:marTop w:val="0"/>
              <w:marBottom w:val="0"/>
              <w:divBdr>
                <w:top w:val="none" w:sz="0" w:space="0" w:color="auto"/>
                <w:left w:val="none" w:sz="0" w:space="0" w:color="auto"/>
                <w:bottom w:val="none" w:sz="0" w:space="0" w:color="auto"/>
                <w:right w:val="none" w:sz="0" w:space="0" w:color="auto"/>
              </w:divBdr>
            </w:div>
            <w:div w:id="1874616237">
              <w:marLeft w:val="0"/>
              <w:marRight w:val="0"/>
              <w:marTop w:val="0"/>
              <w:marBottom w:val="0"/>
              <w:divBdr>
                <w:top w:val="none" w:sz="0" w:space="0" w:color="auto"/>
                <w:left w:val="none" w:sz="0" w:space="0" w:color="auto"/>
                <w:bottom w:val="none" w:sz="0" w:space="0" w:color="auto"/>
                <w:right w:val="none" w:sz="0" w:space="0" w:color="auto"/>
              </w:divBdr>
            </w:div>
          </w:divsChild>
        </w:div>
        <w:div w:id="1778717423">
          <w:marLeft w:val="0"/>
          <w:marRight w:val="0"/>
          <w:marTop w:val="0"/>
          <w:marBottom w:val="0"/>
          <w:divBdr>
            <w:top w:val="none" w:sz="0" w:space="0" w:color="auto"/>
            <w:left w:val="none" w:sz="0" w:space="0" w:color="auto"/>
            <w:bottom w:val="none" w:sz="0" w:space="0" w:color="auto"/>
            <w:right w:val="none" w:sz="0" w:space="0" w:color="auto"/>
          </w:divBdr>
          <w:divsChild>
            <w:div w:id="2057898426">
              <w:marLeft w:val="0"/>
              <w:marRight w:val="0"/>
              <w:marTop w:val="0"/>
              <w:marBottom w:val="0"/>
              <w:divBdr>
                <w:top w:val="none" w:sz="0" w:space="0" w:color="auto"/>
                <w:left w:val="none" w:sz="0" w:space="0" w:color="auto"/>
                <w:bottom w:val="none" w:sz="0" w:space="0" w:color="auto"/>
                <w:right w:val="none" w:sz="0" w:space="0" w:color="auto"/>
              </w:divBdr>
            </w:div>
            <w:div w:id="876353492">
              <w:marLeft w:val="0"/>
              <w:marRight w:val="0"/>
              <w:marTop w:val="0"/>
              <w:marBottom w:val="0"/>
              <w:divBdr>
                <w:top w:val="none" w:sz="0" w:space="0" w:color="auto"/>
                <w:left w:val="none" w:sz="0" w:space="0" w:color="auto"/>
                <w:bottom w:val="none" w:sz="0" w:space="0" w:color="auto"/>
                <w:right w:val="none" w:sz="0" w:space="0" w:color="auto"/>
              </w:divBdr>
            </w:div>
            <w:div w:id="621151887">
              <w:marLeft w:val="0"/>
              <w:marRight w:val="0"/>
              <w:marTop w:val="0"/>
              <w:marBottom w:val="0"/>
              <w:divBdr>
                <w:top w:val="none" w:sz="0" w:space="0" w:color="auto"/>
                <w:left w:val="none" w:sz="0" w:space="0" w:color="auto"/>
                <w:bottom w:val="none" w:sz="0" w:space="0" w:color="auto"/>
                <w:right w:val="none" w:sz="0" w:space="0" w:color="auto"/>
              </w:divBdr>
            </w:div>
            <w:div w:id="916206501">
              <w:marLeft w:val="0"/>
              <w:marRight w:val="0"/>
              <w:marTop w:val="0"/>
              <w:marBottom w:val="0"/>
              <w:divBdr>
                <w:top w:val="none" w:sz="0" w:space="0" w:color="auto"/>
                <w:left w:val="none" w:sz="0" w:space="0" w:color="auto"/>
                <w:bottom w:val="none" w:sz="0" w:space="0" w:color="auto"/>
                <w:right w:val="none" w:sz="0" w:space="0" w:color="auto"/>
              </w:divBdr>
            </w:div>
            <w:div w:id="1733889325">
              <w:marLeft w:val="0"/>
              <w:marRight w:val="0"/>
              <w:marTop w:val="0"/>
              <w:marBottom w:val="0"/>
              <w:divBdr>
                <w:top w:val="none" w:sz="0" w:space="0" w:color="auto"/>
                <w:left w:val="none" w:sz="0" w:space="0" w:color="auto"/>
                <w:bottom w:val="none" w:sz="0" w:space="0" w:color="auto"/>
                <w:right w:val="none" w:sz="0" w:space="0" w:color="auto"/>
              </w:divBdr>
            </w:div>
            <w:div w:id="275991051">
              <w:marLeft w:val="0"/>
              <w:marRight w:val="0"/>
              <w:marTop w:val="0"/>
              <w:marBottom w:val="0"/>
              <w:divBdr>
                <w:top w:val="none" w:sz="0" w:space="0" w:color="auto"/>
                <w:left w:val="none" w:sz="0" w:space="0" w:color="auto"/>
                <w:bottom w:val="none" w:sz="0" w:space="0" w:color="auto"/>
                <w:right w:val="none" w:sz="0" w:space="0" w:color="auto"/>
              </w:divBdr>
            </w:div>
            <w:div w:id="620233104">
              <w:marLeft w:val="0"/>
              <w:marRight w:val="0"/>
              <w:marTop w:val="0"/>
              <w:marBottom w:val="0"/>
              <w:divBdr>
                <w:top w:val="none" w:sz="0" w:space="0" w:color="auto"/>
                <w:left w:val="none" w:sz="0" w:space="0" w:color="auto"/>
                <w:bottom w:val="none" w:sz="0" w:space="0" w:color="auto"/>
                <w:right w:val="none" w:sz="0" w:space="0" w:color="auto"/>
              </w:divBdr>
            </w:div>
          </w:divsChild>
        </w:div>
        <w:div w:id="651836015">
          <w:marLeft w:val="0"/>
          <w:marRight w:val="0"/>
          <w:marTop w:val="0"/>
          <w:marBottom w:val="0"/>
          <w:divBdr>
            <w:top w:val="none" w:sz="0" w:space="0" w:color="auto"/>
            <w:left w:val="none" w:sz="0" w:space="0" w:color="auto"/>
            <w:bottom w:val="none" w:sz="0" w:space="0" w:color="auto"/>
            <w:right w:val="none" w:sz="0" w:space="0" w:color="auto"/>
          </w:divBdr>
          <w:divsChild>
            <w:div w:id="1579362801">
              <w:marLeft w:val="0"/>
              <w:marRight w:val="0"/>
              <w:marTop w:val="0"/>
              <w:marBottom w:val="0"/>
              <w:divBdr>
                <w:top w:val="none" w:sz="0" w:space="0" w:color="auto"/>
                <w:left w:val="none" w:sz="0" w:space="0" w:color="auto"/>
                <w:bottom w:val="none" w:sz="0" w:space="0" w:color="auto"/>
                <w:right w:val="none" w:sz="0" w:space="0" w:color="auto"/>
              </w:divBdr>
            </w:div>
            <w:div w:id="151608935">
              <w:marLeft w:val="0"/>
              <w:marRight w:val="0"/>
              <w:marTop w:val="0"/>
              <w:marBottom w:val="0"/>
              <w:divBdr>
                <w:top w:val="none" w:sz="0" w:space="0" w:color="auto"/>
                <w:left w:val="none" w:sz="0" w:space="0" w:color="auto"/>
                <w:bottom w:val="none" w:sz="0" w:space="0" w:color="auto"/>
                <w:right w:val="none" w:sz="0" w:space="0" w:color="auto"/>
              </w:divBdr>
            </w:div>
            <w:div w:id="771241275">
              <w:marLeft w:val="0"/>
              <w:marRight w:val="0"/>
              <w:marTop w:val="0"/>
              <w:marBottom w:val="0"/>
              <w:divBdr>
                <w:top w:val="none" w:sz="0" w:space="0" w:color="auto"/>
                <w:left w:val="none" w:sz="0" w:space="0" w:color="auto"/>
                <w:bottom w:val="none" w:sz="0" w:space="0" w:color="auto"/>
                <w:right w:val="none" w:sz="0" w:space="0" w:color="auto"/>
              </w:divBdr>
            </w:div>
            <w:div w:id="597450893">
              <w:marLeft w:val="0"/>
              <w:marRight w:val="0"/>
              <w:marTop w:val="0"/>
              <w:marBottom w:val="0"/>
              <w:divBdr>
                <w:top w:val="none" w:sz="0" w:space="0" w:color="auto"/>
                <w:left w:val="none" w:sz="0" w:space="0" w:color="auto"/>
                <w:bottom w:val="none" w:sz="0" w:space="0" w:color="auto"/>
                <w:right w:val="none" w:sz="0" w:space="0" w:color="auto"/>
              </w:divBdr>
            </w:div>
            <w:div w:id="552228527">
              <w:marLeft w:val="0"/>
              <w:marRight w:val="0"/>
              <w:marTop w:val="0"/>
              <w:marBottom w:val="0"/>
              <w:divBdr>
                <w:top w:val="none" w:sz="0" w:space="0" w:color="auto"/>
                <w:left w:val="none" w:sz="0" w:space="0" w:color="auto"/>
                <w:bottom w:val="none" w:sz="0" w:space="0" w:color="auto"/>
                <w:right w:val="none" w:sz="0" w:space="0" w:color="auto"/>
              </w:divBdr>
            </w:div>
          </w:divsChild>
        </w:div>
        <w:div w:id="1576283971">
          <w:marLeft w:val="0"/>
          <w:marRight w:val="0"/>
          <w:marTop w:val="0"/>
          <w:marBottom w:val="0"/>
          <w:divBdr>
            <w:top w:val="none" w:sz="0" w:space="0" w:color="auto"/>
            <w:left w:val="none" w:sz="0" w:space="0" w:color="auto"/>
            <w:bottom w:val="none" w:sz="0" w:space="0" w:color="auto"/>
            <w:right w:val="none" w:sz="0" w:space="0" w:color="auto"/>
          </w:divBdr>
          <w:divsChild>
            <w:div w:id="1535001825">
              <w:marLeft w:val="0"/>
              <w:marRight w:val="0"/>
              <w:marTop w:val="0"/>
              <w:marBottom w:val="0"/>
              <w:divBdr>
                <w:top w:val="none" w:sz="0" w:space="0" w:color="auto"/>
                <w:left w:val="none" w:sz="0" w:space="0" w:color="auto"/>
                <w:bottom w:val="none" w:sz="0" w:space="0" w:color="auto"/>
                <w:right w:val="none" w:sz="0" w:space="0" w:color="auto"/>
              </w:divBdr>
            </w:div>
            <w:div w:id="360667598">
              <w:marLeft w:val="0"/>
              <w:marRight w:val="0"/>
              <w:marTop w:val="0"/>
              <w:marBottom w:val="0"/>
              <w:divBdr>
                <w:top w:val="none" w:sz="0" w:space="0" w:color="auto"/>
                <w:left w:val="none" w:sz="0" w:space="0" w:color="auto"/>
                <w:bottom w:val="none" w:sz="0" w:space="0" w:color="auto"/>
                <w:right w:val="none" w:sz="0" w:space="0" w:color="auto"/>
              </w:divBdr>
            </w:div>
          </w:divsChild>
        </w:div>
        <w:div w:id="948049195">
          <w:marLeft w:val="0"/>
          <w:marRight w:val="0"/>
          <w:marTop w:val="0"/>
          <w:marBottom w:val="0"/>
          <w:divBdr>
            <w:top w:val="none" w:sz="0" w:space="0" w:color="auto"/>
            <w:left w:val="none" w:sz="0" w:space="0" w:color="auto"/>
            <w:bottom w:val="none" w:sz="0" w:space="0" w:color="auto"/>
            <w:right w:val="none" w:sz="0" w:space="0" w:color="auto"/>
          </w:divBdr>
          <w:divsChild>
            <w:div w:id="745803595">
              <w:marLeft w:val="0"/>
              <w:marRight w:val="0"/>
              <w:marTop w:val="0"/>
              <w:marBottom w:val="0"/>
              <w:divBdr>
                <w:top w:val="none" w:sz="0" w:space="0" w:color="auto"/>
                <w:left w:val="none" w:sz="0" w:space="0" w:color="auto"/>
                <w:bottom w:val="none" w:sz="0" w:space="0" w:color="auto"/>
                <w:right w:val="none" w:sz="0" w:space="0" w:color="auto"/>
              </w:divBdr>
            </w:div>
            <w:div w:id="1189369246">
              <w:marLeft w:val="0"/>
              <w:marRight w:val="0"/>
              <w:marTop w:val="0"/>
              <w:marBottom w:val="0"/>
              <w:divBdr>
                <w:top w:val="none" w:sz="0" w:space="0" w:color="auto"/>
                <w:left w:val="none" w:sz="0" w:space="0" w:color="auto"/>
                <w:bottom w:val="none" w:sz="0" w:space="0" w:color="auto"/>
                <w:right w:val="none" w:sz="0" w:space="0" w:color="auto"/>
              </w:divBdr>
            </w:div>
          </w:divsChild>
        </w:div>
        <w:div w:id="178157372">
          <w:marLeft w:val="0"/>
          <w:marRight w:val="0"/>
          <w:marTop w:val="0"/>
          <w:marBottom w:val="0"/>
          <w:divBdr>
            <w:top w:val="none" w:sz="0" w:space="0" w:color="auto"/>
            <w:left w:val="none" w:sz="0" w:space="0" w:color="auto"/>
            <w:bottom w:val="none" w:sz="0" w:space="0" w:color="auto"/>
            <w:right w:val="none" w:sz="0" w:space="0" w:color="auto"/>
          </w:divBdr>
          <w:divsChild>
            <w:div w:id="300431009">
              <w:marLeft w:val="0"/>
              <w:marRight w:val="0"/>
              <w:marTop w:val="0"/>
              <w:marBottom w:val="0"/>
              <w:divBdr>
                <w:top w:val="none" w:sz="0" w:space="0" w:color="auto"/>
                <w:left w:val="none" w:sz="0" w:space="0" w:color="auto"/>
                <w:bottom w:val="none" w:sz="0" w:space="0" w:color="auto"/>
                <w:right w:val="none" w:sz="0" w:space="0" w:color="auto"/>
              </w:divBdr>
            </w:div>
            <w:div w:id="1476146990">
              <w:marLeft w:val="0"/>
              <w:marRight w:val="0"/>
              <w:marTop w:val="0"/>
              <w:marBottom w:val="0"/>
              <w:divBdr>
                <w:top w:val="none" w:sz="0" w:space="0" w:color="auto"/>
                <w:left w:val="none" w:sz="0" w:space="0" w:color="auto"/>
                <w:bottom w:val="none" w:sz="0" w:space="0" w:color="auto"/>
                <w:right w:val="none" w:sz="0" w:space="0" w:color="auto"/>
              </w:divBdr>
            </w:div>
          </w:divsChild>
        </w:div>
        <w:div w:id="1530533276">
          <w:marLeft w:val="0"/>
          <w:marRight w:val="0"/>
          <w:marTop w:val="0"/>
          <w:marBottom w:val="0"/>
          <w:divBdr>
            <w:top w:val="none" w:sz="0" w:space="0" w:color="auto"/>
            <w:left w:val="none" w:sz="0" w:space="0" w:color="auto"/>
            <w:bottom w:val="none" w:sz="0" w:space="0" w:color="auto"/>
            <w:right w:val="none" w:sz="0" w:space="0" w:color="auto"/>
          </w:divBdr>
          <w:divsChild>
            <w:div w:id="1791313177">
              <w:marLeft w:val="0"/>
              <w:marRight w:val="0"/>
              <w:marTop w:val="0"/>
              <w:marBottom w:val="0"/>
              <w:divBdr>
                <w:top w:val="none" w:sz="0" w:space="0" w:color="auto"/>
                <w:left w:val="none" w:sz="0" w:space="0" w:color="auto"/>
                <w:bottom w:val="none" w:sz="0" w:space="0" w:color="auto"/>
                <w:right w:val="none" w:sz="0" w:space="0" w:color="auto"/>
              </w:divBdr>
            </w:div>
            <w:div w:id="1827355490">
              <w:marLeft w:val="0"/>
              <w:marRight w:val="0"/>
              <w:marTop w:val="0"/>
              <w:marBottom w:val="0"/>
              <w:divBdr>
                <w:top w:val="none" w:sz="0" w:space="0" w:color="auto"/>
                <w:left w:val="none" w:sz="0" w:space="0" w:color="auto"/>
                <w:bottom w:val="none" w:sz="0" w:space="0" w:color="auto"/>
                <w:right w:val="none" w:sz="0" w:space="0" w:color="auto"/>
              </w:divBdr>
            </w:div>
            <w:div w:id="1166822697">
              <w:marLeft w:val="0"/>
              <w:marRight w:val="0"/>
              <w:marTop w:val="0"/>
              <w:marBottom w:val="0"/>
              <w:divBdr>
                <w:top w:val="none" w:sz="0" w:space="0" w:color="auto"/>
                <w:left w:val="none" w:sz="0" w:space="0" w:color="auto"/>
                <w:bottom w:val="none" w:sz="0" w:space="0" w:color="auto"/>
                <w:right w:val="none" w:sz="0" w:space="0" w:color="auto"/>
              </w:divBdr>
            </w:div>
            <w:div w:id="1107385684">
              <w:marLeft w:val="0"/>
              <w:marRight w:val="0"/>
              <w:marTop w:val="0"/>
              <w:marBottom w:val="0"/>
              <w:divBdr>
                <w:top w:val="none" w:sz="0" w:space="0" w:color="auto"/>
                <w:left w:val="none" w:sz="0" w:space="0" w:color="auto"/>
                <w:bottom w:val="none" w:sz="0" w:space="0" w:color="auto"/>
                <w:right w:val="none" w:sz="0" w:space="0" w:color="auto"/>
              </w:divBdr>
            </w:div>
            <w:div w:id="72241400">
              <w:marLeft w:val="0"/>
              <w:marRight w:val="0"/>
              <w:marTop w:val="0"/>
              <w:marBottom w:val="0"/>
              <w:divBdr>
                <w:top w:val="none" w:sz="0" w:space="0" w:color="auto"/>
                <w:left w:val="none" w:sz="0" w:space="0" w:color="auto"/>
                <w:bottom w:val="none" w:sz="0" w:space="0" w:color="auto"/>
                <w:right w:val="none" w:sz="0" w:space="0" w:color="auto"/>
              </w:divBdr>
            </w:div>
            <w:div w:id="1695841740">
              <w:marLeft w:val="0"/>
              <w:marRight w:val="0"/>
              <w:marTop w:val="0"/>
              <w:marBottom w:val="0"/>
              <w:divBdr>
                <w:top w:val="none" w:sz="0" w:space="0" w:color="auto"/>
                <w:left w:val="none" w:sz="0" w:space="0" w:color="auto"/>
                <w:bottom w:val="none" w:sz="0" w:space="0" w:color="auto"/>
                <w:right w:val="none" w:sz="0" w:space="0" w:color="auto"/>
              </w:divBdr>
            </w:div>
            <w:div w:id="537013867">
              <w:marLeft w:val="0"/>
              <w:marRight w:val="0"/>
              <w:marTop w:val="0"/>
              <w:marBottom w:val="0"/>
              <w:divBdr>
                <w:top w:val="none" w:sz="0" w:space="0" w:color="auto"/>
                <w:left w:val="none" w:sz="0" w:space="0" w:color="auto"/>
                <w:bottom w:val="none" w:sz="0" w:space="0" w:color="auto"/>
                <w:right w:val="none" w:sz="0" w:space="0" w:color="auto"/>
              </w:divBdr>
            </w:div>
            <w:div w:id="1277253273">
              <w:marLeft w:val="0"/>
              <w:marRight w:val="0"/>
              <w:marTop w:val="0"/>
              <w:marBottom w:val="0"/>
              <w:divBdr>
                <w:top w:val="none" w:sz="0" w:space="0" w:color="auto"/>
                <w:left w:val="none" w:sz="0" w:space="0" w:color="auto"/>
                <w:bottom w:val="none" w:sz="0" w:space="0" w:color="auto"/>
                <w:right w:val="none" w:sz="0" w:space="0" w:color="auto"/>
              </w:divBdr>
            </w:div>
            <w:div w:id="1299264496">
              <w:marLeft w:val="0"/>
              <w:marRight w:val="0"/>
              <w:marTop w:val="0"/>
              <w:marBottom w:val="0"/>
              <w:divBdr>
                <w:top w:val="none" w:sz="0" w:space="0" w:color="auto"/>
                <w:left w:val="none" w:sz="0" w:space="0" w:color="auto"/>
                <w:bottom w:val="none" w:sz="0" w:space="0" w:color="auto"/>
                <w:right w:val="none" w:sz="0" w:space="0" w:color="auto"/>
              </w:divBdr>
            </w:div>
            <w:div w:id="346754938">
              <w:marLeft w:val="0"/>
              <w:marRight w:val="0"/>
              <w:marTop w:val="0"/>
              <w:marBottom w:val="0"/>
              <w:divBdr>
                <w:top w:val="none" w:sz="0" w:space="0" w:color="auto"/>
                <w:left w:val="none" w:sz="0" w:space="0" w:color="auto"/>
                <w:bottom w:val="none" w:sz="0" w:space="0" w:color="auto"/>
                <w:right w:val="none" w:sz="0" w:space="0" w:color="auto"/>
              </w:divBdr>
            </w:div>
            <w:div w:id="1396780452">
              <w:marLeft w:val="0"/>
              <w:marRight w:val="0"/>
              <w:marTop w:val="0"/>
              <w:marBottom w:val="0"/>
              <w:divBdr>
                <w:top w:val="none" w:sz="0" w:space="0" w:color="auto"/>
                <w:left w:val="none" w:sz="0" w:space="0" w:color="auto"/>
                <w:bottom w:val="none" w:sz="0" w:space="0" w:color="auto"/>
                <w:right w:val="none" w:sz="0" w:space="0" w:color="auto"/>
              </w:divBdr>
            </w:div>
            <w:div w:id="297612621">
              <w:marLeft w:val="0"/>
              <w:marRight w:val="0"/>
              <w:marTop w:val="0"/>
              <w:marBottom w:val="0"/>
              <w:divBdr>
                <w:top w:val="none" w:sz="0" w:space="0" w:color="auto"/>
                <w:left w:val="none" w:sz="0" w:space="0" w:color="auto"/>
                <w:bottom w:val="none" w:sz="0" w:space="0" w:color="auto"/>
                <w:right w:val="none" w:sz="0" w:space="0" w:color="auto"/>
              </w:divBdr>
            </w:div>
            <w:div w:id="14964600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5.png"/><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4.png"/><Relationship Id="rId17" Type="http://schemas.openxmlformats.org/officeDocument/2006/relationships/image" Target="media/image9.png"/><Relationship Id="rId2" Type="http://schemas.openxmlformats.org/officeDocument/2006/relationships/styles" Target="styles.xml"/><Relationship Id="rId16" Type="http://schemas.openxmlformats.org/officeDocument/2006/relationships/image" Target="media/image8.png"/><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png"/><Relationship Id="rId5" Type="http://schemas.openxmlformats.org/officeDocument/2006/relationships/footnotes" Target="footnotes.xml"/><Relationship Id="rId15" Type="http://schemas.openxmlformats.org/officeDocument/2006/relationships/image" Target="media/image7.png"/><Relationship Id="Rc85bb5d7bfcd4a33" Type="http://schemas.microsoft.com/office/2020/10/relationships/intelligence" Target="intelligence2.xml"/><Relationship Id="rId10" Type="http://schemas.openxmlformats.org/officeDocument/2006/relationships/image" Target="media/image2.png"/><Relationship Id="rId19" Type="http://schemas.openxmlformats.org/officeDocument/2006/relationships/glossaryDocument" Target="glossary/document.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image" Target="media/image6.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DefaultPlaceholder_-1854013440"/>
        <w:category>
          <w:name w:val="General"/>
          <w:gallery w:val="placeholder"/>
        </w:category>
        <w:types>
          <w:type w:val="bbPlcHdr"/>
        </w:types>
        <w:behaviors>
          <w:behavior w:val="content"/>
        </w:behaviors>
        <w:guid w:val="{4528F55F-61BC-400A-ACAD-4C4C630DB4A4}"/>
      </w:docPartPr>
      <w:docPartBody>
        <w:p w:rsidR="19B7C7CF" w:rsidRDefault="00D44C70">
          <w:r w:rsidRPr="19B7C7CF">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Arial"/>
    <w:charset w:val="00"/>
    <w:family w:val="swiss"/>
    <w:pitch w:val="variable"/>
    <w:sig w:usb0="00000001" w:usb1="00000003" w:usb2="00000000" w:usb3="00000000" w:csb0="0000019F" w:csb1="00000000"/>
  </w:font>
  <w:font w:name="Aptos Display">
    <w:altName w:val="Arial"/>
    <w:charset w:val="00"/>
    <w:family w:val="swiss"/>
    <w:pitch w:val="variable"/>
    <w:sig w:usb0="00000001"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ystem-ui">
    <w:altName w:val="Times New Roman"/>
    <w:panose1 w:val="00000000000000000000"/>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defaultTabStop w:val="708"/>
  <w:hyphenationZone w:val="425"/>
  <w:characterSpacingControl w:val="doNotCompress"/>
  <w:compat>
    <w:useFELayout/>
    <w:compatSetting w:name="compatibilityMode" w:uri="http://schemas.microsoft.com/office/word" w:val="12"/>
  </w:compat>
  <w:rsids>
    <w:rsidRoot w:val="00D44C70"/>
    <w:rsid w:val="00231D6F"/>
    <w:rsid w:val="00D44C70"/>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s-CO" w:eastAsia="es-CO"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1">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1b8de9fc-1ca6-4237-ba8e-b0fff43d0071">
  <we:reference id="f78a3046-9e99-4300-aa2b-5814002b01a2" version="1.55.1.0" store="excatalog" storeType="excatalog"/>
  <we:alternateReferences>
    <we:reference id="WA104382081" version="1.55.1.0" store="es-CO" storeType="omex"/>
  </we:alternateReferences>
  <we:properties>
    <we:property name="MENDELEY_CITATIONS" value="[{&quot;citationID&quot;:&quot;MENDELEY_CITATION_0ae2e436-1184-4c52-9a4d-5de8537202de&quot;,&quot;properties&quot;:{&quot;noteIndex&quot;:0},&quot;isEdited&quot;:false,&quot;manualOverride&quot;:{&quot;isManuallyOverridden&quot;:false,&quot;citeprocText&quot;:&quot;(Hui et al., 2015)&quot;,&quot;manualOverrideText&quot;:&quot;&quot;},&quot;citationTag&quot;:&quot;MENDELEY_CITATION_v3_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&quot;,&quot;citationItems&quot;:[{&quot;id&quot;:&quot;0a6a668c-5ee9-30b2-9f85-04bb34bd2172&quot;,&quot;itemData&quot;:{&quot;type&quot;:&quot;article-journal&quot;,&quot;id&quot;:&quot;0a6a668c-5ee9-30b2-9f85-04bb34bd2172&quot;,&quot;title&quot;:&quot;Bedside clinical signs associated with impending death in patients with advanced cancer: Preliminary findings of a prospective, longitudinal cohort study&quot;,&quot;author&quot;:[{&quot;family&quot;:&quot;Hui&quot;,&quot;given&quot;:&quot;David&quot;,&quot;parse-names&quot;:false,&quot;dropping-particle&quot;:&quot;&quot;,&quot;non-dropping-particle&quot;:&quot;&quot;},{&quot;family&quot;:&quot;Santos&quot;,&quot;given&quot;:&quot;Renata&quot;,&quot;parse-names&quot;:false,&quot;dropping-particle&quot;:&quot;&quot;,&quot;non-dropping-particle&quot;:&quot;Dos&quot;},{&quot;family&quot;:&quot;Chisholm&quot;,&quot;given&quot;:&quot;Gary&quot;,&quot;parse-names&quot;:false,&quot;dropping-particle&quot;:&quot;&quot;,&quot;non-dropping-particle&quot;:&quot;&quot;},{&quot;family&quot;:&quot;Bansal&quot;,&quot;given&quot;:&quot;Swati&quot;,&quot;parse-names&quot;:false,&quot;dropping-particle&quot;:&quot;&quot;,&quot;non-dropping-particle&quot;:&quot;&quot;},{&quot;family&quot;:&quot;Crovador&quot;,&quot;given&quot;:&quot;Camila Souza&quot;,&quot;parse-names&quot;:false,&quot;dropping-particle&quot;:&quot;&quot;,&quot;non-dropping-particle&quot;:&quot;&quot;},{&quot;family&quot;:&quot;Bruera&quot;,&quot;given&quot;:&quot;Eduardo&quot;,&quot;parse-names&quot;:false,&quot;dropping-particle&quot;:&quot;&quot;,&quot;non-dropping-particle&quot;:&quot;&quot;}],&quot;container-title&quot;:&quot;Cancer&quot;,&quot;container-title-short&quot;:&quot;Cancer&quot;,&quot;DOI&quot;:&quot;10.1002/cncr.29048&quot;,&quot;ISSN&quot;:&quot;10970142&quot;,&quot;PMID&quot;:&quot;25676895&quot;,&quot;issued&quot;:{&quot;date-parts&quot;:[[2015,3,1]]},&quot;page&quot;:&quot;960-967&quot;,&quot;abstract&quot;:&quot;BACKGROUND: Five highly specific physical signs associated with death within 3 days among cancer patients were recently reported that may aid in the diagnosis of impending death. In this study, the frequency and onset of another 52 bedside physical signs and their diagnostic performance for impending death were examined. METHODS: Three hundred fifty-seven consecutive patients with advanced cancer who had been admitted to acute palliative care units at 2 tertiary care cancer centers were enrolled. Fifty-two physical signs were systematically documented every 12 hours from admission to death or discharge. The frequency and median time of onset of each sign from death backwards were examined, and the likelihood ratios (LRs) associated with death within 3 days were calculated. RESULTS: Two hundred three of the 357 patients (57%) died at the end of the admission. Eight physical signs that were highly diagnostic of impending death were identified. These signs occurred in 5% to 78% of the patients within the last 3 days of life, had a late onset, and had a high specificity (&gt;95%) and a high positive LR for death within 3 days. They included nonreactive pupils (positive LR, 16.7; 95% confidence interval [CI], 14.9-18.6), a decreased response to verbal stimuli (positive LR, 8.3; 95% CI, 7.7-9), a decreased response to visual stimuli (positive LR, 6.7; 95% CI, 6.3-7.1), an inability to close eyelids (positive LR, 13.6; 95% CI, 11.7-15.5), drooping of the nasolabial fold (positive LR, 8.3; 95% CI, 7.7-8.9), hyperextension of the neck (positive LR, 7.3; 95% CI, 6.7-8), grunting of vocal cords (positive LR, 11.8; 95% CI, 10.3-13.4), and upper gastrointestinal bleeding (positive LR, 10.3; 95% CI, 9.5-11.1). CONCLUSIONS: Eight highly specific physical signs associated with death within 3 days among cancer patients were identified. These signs may inform the diagnosis of impending death.&quot;,&quot;publisher&quot;:&quot;John Wiley and Sons Inc&quot;,&quot;issue&quot;:&quot;6&quot;,&quot;volume&quot;:&quot;121&quot;},&quot;isTemporary&quot;:false}]},{&quot;citationID&quot;:&quot;MENDELEY_CITATION_60bf93aa-8ac5-47c0-870a-656fe85d7887&quot;,&quot;properties&quot;:{&quot;noteIndex&quot;:0},&quot;isEdited&quot;:false,&quot;manualOverride&quot;:{&quot;isManuallyOverridden&quot;:false,&quot;citeprocText&quot;:&quot;(Hui et al., 2015)&quot;,&quot;manualOverrideText&quot;:&quot;&quot;},&quot;citationTag&quot;:&quot;MENDELEY_CITATION_v3_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&quot;,&quot;citationItems&quot;:[{&quot;id&quot;:&quot;0a6a668c-5ee9-30b2-9f85-04bb34bd2172&quot;,&quot;itemData&quot;:{&quot;type&quot;:&quot;article-journal&quot;,&quot;id&quot;:&quot;0a6a668c-5ee9-30b2-9f85-04bb34bd2172&quot;,&quot;title&quot;:&quot;Bedside clinical signs associated with impending death in patients with advanced cancer: Preliminary findings of a prospective, longitudinal cohort study&quot;,&quot;author&quot;:[{&quot;family&quot;:&quot;Hui&quot;,&quot;given&quot;:&quot;David&quot;,&quot;parse-names&quot;:false,&quot;dropping-particle&quot;:&quot;&quot;,&quot;non-dropping-particle&quot;:&quot;&quot;},{&quot;family&quot;:&quot;Santos&quot;,&quot;given&quot;:&quot;Renata&quot;,&quot;parse-names&quot;:false,&quot;dropping-particle&quot;:&quot;&quot;,&quot;non-dropping-particle&quot;:&quot;Dos&quot;},{&quot;family&quot;:&quot;Chisholm&quot;,&quot;given&quot;:&quot;Gary&quot;,&quot;parse-names&quot;:false,&quot;dropping-particle&quot;:&quot;&quot;,&quot;non-dropping-particle&quot;:&quot;&quot;},{&quot;family&quot;:&quot;Bansal&quot;,&quot;given&quot;:&quot;Swati&quot;,&quot;parse-names&quot;:false,&quot;dropping-particle&quot;:&quot;&quot;,&quot;non-dropping-particle&quot;:&quot;&quot;},{&quot;family&quot;:&quot;Crovador&quot;,&quot;given&quot;:&quot;Camila Souza&quot;,&quot;parse-names&quot;:false,&quot;dropping-particle&quot;:&quot;&quot;,&quot;non-dropping-particle&quot;:&quot;&quot;},{&quot;family&quot;:&quot;Bruera&quot;,&quot;given&quot;:&quot;Eduardo&quot;,&quot;parse-names&quot;:false,&quot;dropping-particle&quot;:&quot;&quot;,&quot;non-dropping-particle&quot;:&quot;&quot;}],&quot;container-title&quot;:&quot;Cancer&quot;,&quot;container-title-short&quot;:&quot;Cancer&quot;,&quot;DOI&quot;:&quot;10.1002/cncr.29048&quot;,&quot;ISSN&quot;:&quot;10970142&quot;,&quot;PMID&quot;:&quot;25676895&quot;,&quot;issued&quot;:{&quot;date-parts&quot;:[[2015,3,1]]},&quot;page&quot;:&quot;960-967&quot;,&quot;abstract&quot;:&quot;BACKGROUND: Five highly specific physical signs associated with death within 3 days among cancer patients were recently reported that may aid in the diagnosis of impending death. In this study, the frequency and onset of another 52 bedside physical signs and their diagnostic performance for impending death were examined. METHODS: Three hundred fifty-seven consecutive patients with advanced cancer who had been admitted to acute palliative care units at 2 tertiary care cancer centers were enrolled. Fifty-two physical signs were systematically documented every 12 hours from admission to death or discharge. The frequency and median time of onset of each sign from death backwards were examined, and the likelihood ratios (LRs) associated with death within 3 days were calculated. RESULTS: Two hundred three of the 357 patients (57%) died at the end of the admission. Eight physical signs that were highly diagnostic of impending death were identified. These signs occurred in 5% to 78% of the patients within the last 3 days of life, had a late onset, and had a high specificity (&gt;95%) and a high positive LR for death within 3 days. They included nonreactive pupils (positive LR, 16.7; 95% confidence interval [CI], 14.9-18.6), a decreased response to verbal stimuli (positive LR, 8.3; 95% CI, 7.7-9), a decreased response to visual stimuli (positive LR, 6.7; 95% CI, 6.3-7.1), an inability to close eyelids (positive LR, 13.6; 95% CI, 11.7-15.5), drooping of the nasolabial fold (positive LR, 8.3; 95% CI, 7.7-8.9), hyperextension of the neck (positive LR, 7.3; 95% CI, 6.7-8), grunting of vocal cords (positive LR, 11.8; 95% CI, 10.3-13.4), and upper gastrointestinal bleeding (positive LR, 10.3; 95% CI, 9.5-11.1). CONCLUSIONS: Eight highly specific physical signs associated with death within 3 days among cancer patients were identified. These signs may inform the diagnosis of impending death.&quot;,&quot;publisher&quot;:&quot;John Wiley and Sons Inc&quot;,&quot;issue&quot;:&quot;6&quot;,&quot;volume&quot;:&quot;121&quot;},&quot;isTemporary&quot;:false}]},{&quot;citationID&quot;:&quot;MENDELEY_CITATION_8fe2e497-deff-45a3-8832-448d70a0eb2e&quot;,&quot;properties&quot;:{&quot;noteIndex&quot;:0},&quot;isEdited&quot;:false,&quot;manualOverride&quot;:{&quot;isManuallyOverridden&quot;:false,&quot;citeprocText&quot;:&quot;(Mori et al., 2022)&quot;,&quot;manualOverrideText&quot;:&quot;&quot;},&quot;citationTag&quot;:&quot;MENDELEY_CITATION_v3_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&quot;,&quot;citationItems&quot;:[{&quot;id&quot;:&quot;c596e35e-db97-3d8a-bd00-d66233461244&quot;,&quot;itemData&quot;:{&quot;type&quot;:&quot;article-journal&quot;,&quot;id&quot;:&quot;c596e35e-db97-3d8a-bd00-d66233461244&quot;,&quot;title&quot;:&quot;Prognostication of the Last Days of Life&quot;,&quot;author&quot;:[{&quot;family&quot;:&quot;Mori&quot;,&quot;given&quot;:&quot;Masanori&quot;,&quot;parse-names&quot;:false,&quot;dropping-particle&quot;:&quot;&quot;,&quot;non-dropping-particle&quot;:&quot;&quot;},{&quot;family&quot;:&quot;Morita&quot;,&quot;given&quot;:&quot;Tatsuya&quot;,&quot;parse-names&quot;:false,&quot;dropping-particle&quot;:&quot;&quot;,&quot;non-dropping-particle&quot;:&quot;&quot;},{&quot;family&quot;:&quot;Bruera&quot;,&quot;given&quot;:&quot;Eduardo&quot;,&quot;parse-names&quot;:false,&quot;dropping-particle&quot;:&quot;&quot;,&quot;non-dropping-particle&quot;:&quot;&quot;},{&quot;family&quot;:&quot;Hui&quot;,&quot;given&quot;:&quot;David&quot;,&quot;parse-names&quot;:false,&quot;dropping-particle&quot;:&quot;&quot;,&quot;non-dropping-particle&quot;:&quot;&quot;}],&quot;container-title&quot;:&quot;Cancer Research and Treatment&quot;,&quot;container-title-short&quot;:&quot;Cancer Res Treat&quot;,&quot;DOI&quot;:&quot;10.4143/CRT.2021.1573&quot;,&quot;ISSN&quot;:&quot;20059256&quot;,&quot;PMID&quot;:&quot;35381165&quot;,&quot;issued&quot;:{&quot;date-parts&quot;:[[2022,7,1]]},&quot;page&quot;:&quot;631-643&quot;,&quot;abstract&quot;:&quot;Accurate prediction of impending death (i.e., last few days of life) is essential for terminally-ill cancer patients and their families. International guidelines state that clinicians should identify patients with impending death, communicate the prognosis with patients and families, help them with their end-of-life decision-making, and provide sufficient symptom palliation. Over the past decade, several national and international studies have been conducted that systematically investigated signs and symptoms of impending death as well as how to communicate such a prognosis effectively with patients and families. In this article, we summarize the current evidence on prognostication and communication regarding the last days of life of patients with cancer, and future directions of clinical research.&quot;,&quot;publisher&quot;:&quot;Korean Cancer Association&quot;,&quot;issue&quot;:&quot;3&quot;,&quot;volume&quot;:&quot;54&quot;},&quot;isTemporary&quot;:false}]},{&quot;citationID&quot;:&quot;MENDELEY_CITATION_3678ceb6-47f4-4735-bc7e-b6837d97b7f8&quot;,&quot;properties&quot;:{&quot;noteIndex&quot;:0},&quot;isEdited&quot;:false,&quot;manualOverride&quot;:{&quot;isManuallyOverridden&quot;:false,&quot;citeprocText&quot;:&quot;(Page et al., 2021)&quot;,&quot;manualOverrideText&quot;:&quot;&quot;},&quot;citationTag&quot;:&quot;MENDELEY_CITATION_v3_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&quot;,&quot;citationItems&quot;:[{&quot;id&quot;:&quot;908328a1-e329-3436-a866-92ecc1919f68&quot;,&quot;itemData&quot;:{&quot;type&quot;:&quot;article&quot;,&quot;id&quot;:&quot;908328a1-e329-3436-a866-92ecc1919f68&quot;,&quot;title&quot;:&quot;The PRISMA 2020 statement: An updated guideline for reporting systematic reviews&quot;,&quot;author&quot;:[{&quot;family&quot;:&quot;Page&quot;,&quot;given&quot;:&quot;Matthew J.&quot;,&quot;parse-names&quot;:false,&quot;dropping-particle&quot;:&quot;&quot;,&quot;non-dropping-particle&quot;:&quot;&quot;},{&quot;family&quot;:&quot;McKenzie&quot;,&quot;given&quot;:&quot;Joanne E.&quot;,&quot;parse-names&quot;:false,&quot;dropping-particle&quot;:&quot;&quot;,&quot;non-dropping-particle&quot;:&quot;&quot;},{&quot;family&quot;:&quot;Bossuyt&quot;,&quot;given&quot;:&quot;Patrick M.&quot;,&quot;parse-names&quot;:false,&quot;dropping-particle&quot;:&quot;&quot;,&quot;non-dropping-particle&quot;:&quot;&quot;},{&quot;family&quot;:&quot;Boutron&quot;,&quot;given&quot;:&quot;Isabelle&quot;,&quot;parse-names&quot;:false,&quot;dropping-particle&quot;:&quot;&quot;,&quot;non-dropping-particle&quot;:&quot;&quot;},{&quot;family&quot;:&quot;Hoffmann&quot;,&quot;given&quot;:&quot;Tammy C.&quot;,&quot;parse-names&quot;:false,&quot;dropping-particle&quot;:&quot;&quot;,&quot;non-dropping-particle&quot;:&quot;&quot;},{&quot;family&quot;:&quot;Mulrow&quot;,&quot;given&quot;:&quot;Cynthia D.&quot;,&quot;parse-names&quot;:false,&quot;dropping-particle&quot;:&quot;&quot;,&quot;non-dropping-particle&quot;:&quot;&quot;},{&quot;family&quot;:&quot;Shamseer&quot;,&quot;given&quot;:&quot;Larissa&quot;,&quot;parse-names&quot;:false,&quot;dropping-particle&quot;:&quot;&quot;,&quot;non-dropping-particle&quot;:&quot;&quot;},{&quot;family&quot;:&quot;Tetzlaff&quot;,&quot;given&quot;:&quot;Jennifer M.&quot;,&quot;parse-names&quot;:false,&quot;dropping-particle&quot;:&quot;&quot;,&quot;non-dropping-particle&quot;:&quot;&quot;},{&quot;family&quot;:&quot;Akl&quot;,&quot;given&quot;:&quot;Elie A.&quot;,&quot;parse-names&quot;:false,&quot;dropping-particle&quot;:&quot;&quot;,&quot;non-dropping-particle&quot;:&quot;&quot;},{&quot;family&quot;:&quot;Brennan&quot;,&quot;given&quot;:&quot;Sue E.&quot;,&quot;parse-names&quot;:false,&quot;dropping-particle&quot;:&quot;&quot;,&quot;non-dropping-particle&quot;:&quot;&quot;},{&quot;family&quot;:&quot;Chou&quot;,&quot;given&quot;:&quot;Roger&quot;,&quot;parse-names&quot;:false,&quot;dropping-particle&quot;:&quot;&quot;,&quot;non-dropping-particle&quot;:&quot;&quot;},{&quot;family&quot;:&quot;Glanville&quot;,&quot;given&quot;:&quot;Julie&quot;,&quot;parse-names&quot;:false,&quot;dropping-particle&quot;:&quot;&quot;,&quot;non-dropping-particle&quot;:&quot;&quot;},{&quot;family&quot;:&quot;Grimshaw&quot;,&quot;given&quot;:&quot;Jeremy M.&quot;,&quot;parse-names&quot;:false,&quot;dropping-particle&quot;:&quot;&quot;,&quot;non-dropping-particle&quot;:&quot;&quot;},{&quot;family&quot;:&quot;Hróbjartsson&quot;,&quot;given&quot;:&quot;Asbjørn&quot;,&quot;parse-names&quot;:false,&quot;dropping-particle&quot;:&quot;&quot;,&quot;non-dropping-particle&quot;:&quot;&quot;},{&quot;family&quot;:&quot;Lalu&quot;,&quot;given&quot;:&quot;Manoj M.&quot;,&quot;parse-names&quot;:false,&quot;dropping-particle&quot;:&quot;&quot;,&quot;non-dropping-particle&quot;:&quot;&quot;},{&quot;family&quot;:&quot;Li&quot;,&quot;given&quot;:&quot;Tianjing&quot;,&quot;parse-names&quot;:false,&quot;dropping-particle&quot;:&quot;&quot;,&quot;non-dropping-particle&quot;:&quot;&quot;},{&quot;family&quot;:&quot;Loder&quot;,&quot;given&quot;:&quot;Elizabeth W.&quot;,&quot;parse-names&quot;:false,&quot;dropping-particle&quot;:&quot;&quot;,&quot;non-dropping-particle&quot;:&quot;&quot;},{&quot;family&quot;:&quot;Mayo-Wilson&quot;,&quot;given&quot;:&quot;Evan&quot;,&quot;parse-names&quot;:false,&quot;dropping-particle&quot;:&quot;&quot;,&quot;non-dropping-particle&quot;:&quot;&quot;},{&quot;family&quot;:&quot;McDonald&quot;,&quot;given&quot;:&quot;Steve&quot;,&quot;parse-names&quot;:false,&quot;dropping-particle&quot;:&quot;&quot;,&quot;non-dropping-particle&quot;:&quot;&quot;},{&quot;family&quot;:&quot;McGuinness&quot;,&quot;given&quot;:&quot;Luke A.&quot;,&quot;parse-names&quot;:false,&quot;dropping-particle&quot;:&quot;&quot;,&quot;non-dropping-particle&quot;:&quot;&quot;},{&quot;family&quot;:&quot;Stewart&quot;,&quot;given&quot;:&quot;Lesley A.&quot;,&quot;parse-names&quot;:false,&quot;dropping-particle&quot;:&quot;&quot;,&quot;non-dropping-particle&quot;:&quot;&quot;},{&quot;family&quot;:&quot;Thomas&quot;,&quot;given&quot;:&quot;James&quot;,&quot;parse-names&quot;:false,&quot;dropping-particle&quot;:&quot;&quot;,&quot;non-dropping-particle&quot;:&quot;&quot;},{&quot;family&quot;:&quot;Tricco&quot;,&quot;given&quot;:&quot;Andrea C.&quot;,&quot;parse-names&quot;:false,&quot;dropping-particle&quot;:&quot;&quot;,&quot;non-dropping-particle&quot;:&quot;&quot;},{&quot;family&quot;:&quot;Welch&quot;,&quot;given&quot;:&quot;Vivian A.&quot;,&quot;parse-names&quot;:false,&quot;dropping-particle&quot;:&quot;&quot;,&quot;non-dropping-particle&quot;:&quot;&quot;},{&quot;family&quot;:&quot;Whiting&quot;,&quot;given&quot;:&quot;Penny&quot;,&quot;parse-names&quot;:false,&quot;dropping-particle&quot;:&quot;&quot;,&quot;non-dropping-particle&quot;:&quot;&quot;},{&quot;family&quot;:&quot;Moher&quot;,&quot;given&quot;:&quot;David&quot;,&quot;parse-names&quot;:false,&quot;dropping-particle&quot;:&quot;&quot;,&quot;non-dropping-particle&quot;:&quot;&quot;}],&quot;container-title&quot;:&quot;The BMJ&quot;,&quot;DOI&quot;:&quot;10.1136/bmj.n71&quot;,&quot;ISSN&quot;:&quot;17561833&quot;,&quot;PMID&quot;:&quot;33782057&quot;,&quot;issued&quot;:{&quot;date-parts&quot;:[[2021,3,29]]},&quot;abstract&quot;:&quot;The Preferred Reporting Items for Systematic reviews and Meta-Analyses (PRISMA) statement, published in 2009, was designed to help systematic reviewers transparently report why the review was done, what the authors did, and what they found. Over the past decade, advances in systematic review methodology and terminology have necessitated an update to the guideline. The PRISMA 2020 statement replaces the 2009 statement and includes new reporting guidance that reflects advances in methods to identify, select, appraise, and synthesise studies. The structure and presentation of the items have been modified to facilitate implementation. In this article, we present the PRISMA 2020 27-item checklist, an expanded checklist that details reporting recommendations for each item, the PRISMA 2020 abstract checklist, and the revised flow diagrams for original and updated reviews.&quot;,&quot;publisher&quot;:&quot;BMJ Publishing Group&quot;,&quot;volume&quot;:&quot;372&quot;,&quot;container-title-short&quot;:&quot;&quot;},&quot;isTemporary&quot;:false,&quot;suppress-author&quot;:false,&quot;composite&quot;:false,&quot;author-only&quot;:false}]},{&quot;citationID&quot;:&quot;MENDELEY_CITATION_9aa17e06-769c-4543-9322-e561c7706053&quot;,&quot;properties&quot;:{&quot;noteIndex&quot;:0},&quot;isEdited&quot;:false,&quot;manualOverride&quot;:{&quot;isManuallyOverridden&quot;:false,&quot;citeprocText&quot;:&quot;(Johnston et al., 2019)&quot;,&quot;manualOverrideText&quot;:&quot;&quot;},&quot;citationTag&quot;:&quot;MENDELEY_CITATION_v3_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&quot;,&quot;citationItems&quot;:[{&quot;id&quot;:&quot;4e671021-dcd1-31b5-a8a2-c880a15f7e45&quot;,&quot;itemData&quot;:{&quot;type&quot;:&quot;article-journal&quot;,&quot;id&quot;:&quot;4e671021-dcd1-31b5-a8a2-c880a15f7e45&quot;,&quot;title&quot;:&quot;Systematic reviews of clinical practice guidelines: a methodological guide&quot;,&quot;author&quot;:[{&quot;family&quot;:&quot;Johnston&quot;,&quot;given&quot;:&quot;Amy&quot;,&quot;parse-names&quot;:false,&quot;dropping-particle&quot;:&quot;&quot;,&quot;non-dropping-particle&quot;:&quot;&quot;},{&quot;family&quot;:&quot;Kelly&quot;,&quot;given&quot;:&quot;Shannon E.&quot;,&quot;parse-names&quot;:false,&quot;dropping-particle&quot;:&quot;&quot;,&quot;non-dropping-particle&quot;:&quot;&quot;},{&quot;family&quot;:&quot;Hsieh&quot;,&quot;given&quot;:&quot;Shu Ching&quot;,&quot;parse-names&quot;:false,&quot;dropping-particle&quot;:&quot;&quot;,&quot;non-dropping-particle&quot;:&quot;&quot;},{&quot;family&quot;:&quot;Skidmore&quot;,&quot;given&quot;:&quot;Becky&quot;,&quot;parse-names&quot;:false,&quot;dropping-particle&quot;:&quot;&quot;,&quot;non-dropping-particle&quot;:&quot;&quot;},{&quot;family&quot;:&quot;Wells&quot;,&quot;given&quot;:&quot;George A.&quot;,&quot;parse-names&quot;:false,&quot;dropping-particle&quot;:&quot;&quot;,&quot;non-dropping-particle&quot;:&quot;&quot;}],&quot;container-title&quot;:&quot;Journal of Clinical Epidemiology&quot;,&quot;container-title-short&quot;:&quot;J Clin Epidemiol&quot;,&quot;DOI&quot;:&quot;10.1016/j.jclinepi.2018.11.030&quot;,&quot;ISSN&quot;:&quot;18785921&quot;,&quot;PMID&quot;:&quot;30529647&quot;,&quot;issued&quot;:{&quot;date-parts&quot;:[[2019,4,1]]},&quot;page&quot;:&quot;64-76&quot;,&quot;abstract&quot;:&quot;Objectives: Systematic reviews (SRs) of clinical practice guidelines (CPGs) are unique knowledge syntheses that require tailored approaches to, and greater subjectivity in, design and execution compared with other SRs in clinical epidemiology. We provide review authors structured direction on how to design and conduct methodologically rigorous SRs of CPGs. Study Design and Setting: A guidance paper outlining suggested methodology for conducting all stages of an SR of CPGs. We present concrete examples of approaches used by published reviews, including a case exemplar demonstrating how this methodology was applied to our own SR of CPGs. Results: Review context and the unique characteristics of CPGs as research syntheses or clinical guidance statements must be considered in all aspects of review design and conduct. Researchers should develop a “PICAR” statement to help form and focus on the research question(s) and eligibility criteria, assess CPG quality using a validated appraisal tool, and extract, analyze, and summarize data in a way that is cogent and transparent. Conclusion: SRs of CPGs can be used to systematically identify, assess, and summarize the current state of guidance on a clinical topic. These types of reviews often require methodological tailoring to ensure that their objectives and timelines are effectively and efficiently addressed; however, they should all meet the criteria for an SR, follow a rigorous methodological approach, and adhere to transparent reporting practices.&quot;,&quot;publisher&quot;:&quot;Elsevier USA&quot;,&quot;volume&quot;:&quot;108&quot;},&quot;isTemporary&quot;:false,&quot;suppress-author&quot;:false,&quot;composite&quot;:false,&quot;author-only&quot;:false}]},{&quot;citationID&quot;:&quot;MENDELEY_CITATION_42cf5d92-cd58-482f-b46d-93be54d08f1c&quot;,&quot;properties&quot;:{&quot;noteIndex&quot;:0},&quot;isEdited&quot;:false,&quot;manualOverride&quot;:{&quot;isManuallyOverridden&quot;:false,&quot;citeprocText&quot;:&quot;(Para et al., 2009)&quot;,&quot;manualOverrideText&quot;:&quot;&quot;},&quot;citationTag&quot;:&quot;MENDELEY_CITATION_v3_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&quot;,&quot;citationItems&quot;:[{&quot;id&quot;:&quot;4bb3615f-17da-3451-bdc9-f3abf2eaadad&quot;,&quot;itemData&quot;:{&quot;type&quot;:&quot;report&quot;,&quot;id&quot;:&quot;4bb3615f-17da-3451-bdc9-f3abf2eaadad&quot;,&quot;title&quot;:&quot;INSTRUMENTO AGREE II&quot;,&quot;author&quot;:[{&quot;family&quot;:&quot;Para&quot;,&quot;given&quot;:&quot;Instrumento&quot;,&quot;parse-names&quot;:false,&quot;dropping-particle&quot;:&quot;&quot;,&quot;non-dropping-particle&quot;:&quot;&quot;},{&quot;family&quot;:&quot;De&quot;,&quot;given&quot;:&quot;La Evaluación&quot;,&quot;parse-names&quot;:false,&quot;dropping-particle&quot;:&quot;&quot;,&quot;non-dropping-particle&quot;:&quot;&quot;},{&quot;family&quot;:&quot;De&quot;,&quot;given&quot;:&quot;Guías&quot;,&quot;parse-names&quot;:false,&quot;dropping-particle&quot;:&quot;&quot;,&quot;non-dropping-particle&quot;:&quot;&quot;},{&quot;family&quot;:&quot;Clínica&quot;,&quot;given&quot;:&quot;Práctica&quot;,&quot;parse-names&quot;:false,&quot;dropping-particle&quot;:&quot;&quot;,&quot;non-dropping-particle&quot;:&quot;&quot;}],&quot;URL&quot;:&quot;http://www.guiasalud.es.&quot;,&quot;issued&quot;:{&quot;date-parts&quot;:[[2009]]},&quot;container-title-short&quot;:&quot;&quot;},&quot;isTemporary&quot;:false,&quot;suppress-author&quot;:false,&quot;composite&quot;:false,&quot;author-only&quot;:false}]},{&quot;citationID&quot;:&quot;MENDELEY_CITATION_75e6a042-d590-4476-83f1-38cb6b40a351&quot;,&quot;properties&quot;:{&quot;noteIndex&quot;:0},&quot;isEdited&quot;:false,&quot;manualOverride&quot;:{&quot;isManuallyOverridden&quot;:false,&quot;citeprocText&quot;:&quot;(Care of Dying Adults in the Last Days of Life NICE Guideline, 2015; End-of-Life Care During the Last Days and Hours Clinical Best Practice Guidelines, 2011)&quot;,&quot;manualOverrideText&quot;:&quot;&quot;},&quot;citationTag&quot;:&quot;MENDELEY_CITATION_v3_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&quot;,&quot;citationItems&quot;:[{&quot;id&quot;:&quot;4c63f665-b7fe-3e1b-b7a8-44f8c2fbfe12&quot;,&quot;itemData&quot;:{&quot;type&quot;:&quot;report&quot;,&quot;id&quot;:&quot;4c63f665-b7fe-3e1b-b7a8-44f8c2fbfe12&quot;,&quot;title&quot;:&quot;Care of dying adults in the last days of life NICE guideline&quot;,&quot;groupId&quot;:&quot;000a41ec-1804-361f-97c5-27e7ca74250d&quot;,&quot;URL&quot;:&quot;www.nice.org.uk/guidance/ng31&quot;,&quot;issued&quot;:{&quot;date-parts&quot;:[[2015]]},&quot;container-title-short&quot;:&quot;&quot;},&quot;isTemporary&quot;:false},{&quot;id&quot;:&quot;96d13120-d784-39d0-8772-34c415e96060&quot;,&quot;itemData&quot;:{&quot;type&quot;:&quot;report&quot;,&quot;id&quot;:&quot;96d13120-d784-39d0-8772-34c415e96060&quot;,&quot;title&quot;:&quot;End-of-life Care During the Last Days and Hours Clinical Best Practice Guidelines&quot;,&quot;groupId&quot;:&quot;000a41ec-1804-361f-97c5-27e7ca74250d&quot;,&quot;URL&quot;:&quot;www.rnao.org/bestpractices&quot;,&quot;issued&quot;:{&quot;date-parts&quot;:[[2011]]},&quot;container-title-short&quot;:&quot;&quot;},&quot;isTemporary&quot;:false}]},{&quot;citationID&quot;:&quot;MENDELEY_CITATION_2d65823d-09be-4ae0-8b92-26b685cc553b&quot;,&quot;properties&quot;:{&quot;noteIndex&quot;:0},&quot;isEdited&quot;:false,&quot;manualOverride&quot;:{&quot;isManuallyOverridden&quot;:false,&quot;citeprocText&quot;:&quot;(Crawford et al., 2021)&quot;,&quot;manualOverrideText&quot;:&quot;&quot;},&quot;citationTag&quot;:&quot;MENDELEY_CITATION_v3_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&quot;,&quot;citationItems&quot;:[{&quot;id&quot;:&quot;9c441b4e-f697-3583-a81c-5e2f518ce371&quot;,&quot;itemData&quot;:{&quot;type&quot;:&quot;article-journal&quot;,&quot;id&quot;:&quot;9c441b4e-f697-3583-a81c-5e2f518ce371&quot;,&quot;title&quot;:&quot;Care of the adult cancer patient at the end of life: ESMO Clinical Practice Guidelines ☆&quot;,&quot;groupId&quot;:&quot;000a41ec-1804-361f-97c5-27e7ca74250d&quot;,&quot;author&quot;:[{&quot;family&quot;:&quot;Crawford&quot;,&quot;given&quot;:&quot;G. B.&quot;,&quot;parse-names&quot;:false,&quot;dropping-particle&quot;:&quot;&quot;,&quot;non-dropping-particle&quot;:&quot;&quot;},{&quot;family&quot;:&quot;Dzierżanowski&quot;,&quot;given&quot;:&quot;T.&quot;,&quot;parse-names&quot;:false,&quot;dropping-particle&quot;:&quot;&quot;,&quot;non-dropping-particle&quot;:&quot;&quot;},{&quot;family&quot;:&quot;Hauser&quot;,&quot;given&quot;:&quot;K.&quot;,&quot;parse-names&quot;:false,&quot;dropping-particle&quot;:&quot;&quot;,&quot;non-dropping-particle&quot;:&quot;&quot;},{&quot;family&quot;:&quot;Larkin&quot;,&quot;given&quot;:&quot;P.&quot;,&quot;parse-names&quot;:false,&quot;dropping-particle&quot;:&quot;&quot;,&quot;non-dropping-particle&quot;:&quot;&quot;},{&quot;family&quot;:&quot;Luque-Blanco&quot;,&quot;given&quot;:&quot;A. I.&quot;,&quot;parse-names&quot;:false,&quot;dropping-particle&quot;:&quot;&quot;,&quot;non-dropping-particle&quot;:&quot;&quot;},{&quot;family&quot;:&quot;Murphy&quot;,&quot;given&quot;:&quot;I.&quot;,&quot;parse-names&quot;:false,&quot;dropping-particle&quot;:&quot;&quot;,&quot;non-dropping-particle&quot;:&quot;&quot;},{&quot;family&quot;:&quot;Puchalski&quot;,&quot;given&quot;:&quot;C. M.&quot;,&quot;parse-names&quot;:false,&quot;dropping-particle&quot;:&quot;&quot;,&quot;non-dropping-particle&quot;:&quot;&quot;},{&quot;family&quot;:&quot;Ripamonti&quot;,&quot;given&quot;:&quot;C. I.&quot;,&quot;parse-names&quot;:false,&quot;dropping-particle&quot;:&quot;&quot;,&quot;non-dropping-particle&quot;:&quot;&quot;}],&quot;container-title&quot;:&quot;ESMO Open&quot;,&quot;DOI&quot;:&quot;10.1016/j.esmoop.2021.100225&quot;,&quot;ISSN&quot;:&quot;20597029&quot;,&quot;PMID&quot;:&quot;34474810&quot;,&quot;issued&quot;:{&quot;date-parts&quot;:[[2021,8,1]]},&quot;publisher&quot;:&quot;Elsevier B.V.&quot;,&quot;issue&quot;:&quot;4&quot;,&quot;volume&quot;:&quot;6&quot;,&quot;container-title-short&quot;:&quot;ESMO Open&quot;},&quot;isTemporary&quot;:false,&quot;suppress-author&quot;:false,&quot;composite&quot;:false,&quot;author-only&quot;:false}]},{&quot;citationID&quot;:&quot;MENDELEY_CITATION_83c95c81-5d5d-40ea-8ac4-817c1d87684b&quot;,&quot;properties&quot;:{&quot;noteIndex&quot;:0},&quot;isEdited&quot;:false,&quot;manualOverride&quot;:{&quot;isManuallyOverridden&quot;:false,&quot;citeprocText&quot;:&quot;(Crawford et al., 2021)&quot;,&quot;manualOverrideText&quot;:&quot;&quot;},&quot;citationTag&quot;:&quot;MENDELEY_CITATION_v3_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&quot;,&quot;citationItems&quot;:[{&quot;id&quot;:&quot;9c441b4e-f697-3583-a81c-5e2f518ce371&quot;,&quot;itemData&quot;:{&quot;type&quot;:&quot;article-journal&quot;,&quot;id&quot;:&quot;9c441b4e-f697-3583-a81c-5e2f518ce371&quot;,&quot;title&quot;:&quot;Care of the adult cancer patient at the end of life: ESMO Clinical Practice Guidelines ☆&quot;,&quot;groupId&quot;:&quot;000a41ec-1804-361f-97c5-27e7ca74250d&quot;,&quot;author&quot;:[{&quot;family&quot;:&quot;Crawford&quot;,&quot;given&quot;:&quot;G. B.&quot;,&quot;parse-names&quot;:false,&quot;dropping-particle&quot;:&quot;&quot;,&quot;non-dropping-particle&quot;:&quot;&quot;},{&quot;family&quot;:&quot;Dzierżanowski&quot;,&quot;given&quot;:&quot;T.&quot;,&quot;parse-names&quot;:false,&quot;dropping-particle&quot;:&quot;&quot;,&quot;non-dropping-particle&quot;:&quot;&quot;},{&quot;family&quot;:&quot;Hauser&quot;,&quot;given&quot;:&quot;K.&quot;,&quot;parse-names&quot;:false,&quot;dropping-particle&quot;:&quot;&quot;,&quot;non-dropping-particle&quot;:&quot;&quot;},{&quot;family&quot;:&quot;Larkin&quot;,&quot;given&quot;:&quot;P.&quot;,&quot;parse-names&quot;:false,&quot;dropping-particle&quot;:&quot;&quot;,&quot;non-dropping-particle&quot;:&quot;&quot;},{&quot;family&quot;:&quot;Luque-Blanco&quot;,&quot;given&quot;:&quot;A. I.&quot;,&quot;parse-names&quot;:false,&quot;dropping-particle&quot;:&quot;&quot;,&quot;non-dropping-particle&quot;:&quot;&quot;},{&quot;family&quot;:&quot;Murphy&quot;,&quot;given&quot;:&quot;I.&quot;,&quot;parse-names&quot;:false,&quot;dropping-particle&quot;:&quot;&quot;,&quot;non-dropping-particle&quot;:&quot;&quot;},{&quot;family&quot;:&quot;Puchalski&quot;,&quot;given&quot;:&quot;C. M.&quot;,&quot;parse-names&quot;:false,&quot;dropping-particle&quot;:&quot;&quot;,&quot;non-dropping-particle&quot;:&quot;&quot;},{&quot;family&quot;:&quot;Ripamonti&quot;,&quot;given&quot;:&quot;C. I.&quot;,&quot;parse-names&quot;:false,&quot;dropping-particle&quot;:&quot;&quot;,&quot;non-dropping-particle&quot;:&quot;&quot;}],&quot;container-title&quot;:&quot;ESMO Open&quot;,&quot;DOI&quot;:&quot;10.1016/j.esmoop.2021.100225&quot;,&quot;ISSN&quot;:&quot;20597029&quot;,&quot;PMID&quot;:&quot;34474810&quot;,&quot;issued&quot;:{&quot;date-parts&quot;:[[2021,8,1]]},&quot;publisher&quot;:&quot;Elsevier B.V.&quot;,&quot;issue&quot;:&quot;4&quot;,&quot;volume&quot;:&quot;6&quot;,&quot;container-title-short&quot;:&quot;ESMO Open&quot;},&quot;isTemporary&quot;:false,&quot;suppress-author&quot;:false,&quot;composite&quot;:false,&quot;author-only&quot;:false}]},{&quot;citationID&quot;:&quot;MENDELEY_CITATION_9aa60119-f732-415b-b997-bc11a71f3568&quot;,&quot;properties&quot;:{&quot;noteIndex&quot;:0},&quot;isEdited&quot;:false,&quot;manualOverride&quot;:{&quot;isManuallyOverridden&quot;:false,&quot;citeprocText&quot;:&quot;(Lunney et al., n.d.)&quot;,&quot;manualOverrideText&quot;:&quot;&quot;},&quot;citationTag&quot;:&quot;MENDELEY_CITATION_v3_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&quot;,&quot;citationItems&quot;:[{&quot;id&quot;:&quot;87a369e5-289c-397c-aa9a-9a49b5148699&quot;,&quot;itemData&quot;:{&quot;type&quot;:&quot;report&quot;,&quot;id&quot;:&quot;87a369e5-289c-397c-aa9a-9a49b5148699&quot;,&quot;title&quot;:&quot;Patterns of Functional Decline at the End of Life&quot;,&quot;author&quot;:[{&quot;family&quot;:&quot;Lunney&quot;,&quot;given&quot;:&quot;June R&quot;,&quot;parse-names&quot;:false,&quot;dropping-particle&quot;:&quot;&quot;,&quot;non-dropping-particle&quot;:&quot;&quot;},{&quot;family&quot;:&quot;Lynn&quot;,&quot;given&quot;:&quot;Joanne&quot;,&quot;parse-names&quot;:false,&quot;dropping-particle&quot;:&quot;&quot;,&quot;non-dropping-particle&quot;:&quot;&quot;},{&quot;family&quot;:&quot;Foley&quot;,&quot;given&quot;:&quot;Daniel J&quot;,&quot;parse-names&quot;:false,&quot;dropping-particle&quot;:&quot;&quot;,&quot;non-dropping-particle&quot;:&quot;&quot;},{&quot;family&quot;:&quot;Lipson&quot;,&quot;given&quot;:&quot;Steven&quot;,&quot;parse-names&quot;:false,&quot;dropping-particle&quot;:&quot;&quot;,&quot;non-dropping-particle&quot;:&quot;&quot;},{&quot;family&quot;:&quot;Guralnik&quot;,&quot;given&quot;:&quot;Jack M&quot;,&quot;parse-names&quot;:false,&quot;dropping-particle&quot;:&quot;&quot;,&quot;non-dropping-particle&quot;:&quot;&quot;}],&quot;URL&quot;:&quot;www.jama.com&quot;,&quot;container-title-short&quot;:&quot;&quot;},&quot;isTemporary&quot;:false,&quot;suppress-author&quot;:false,&quot;composite&quot;:false,&quot;author-only&quot;:false}]},{&quot;citationID&quot;:&quot;MENDELEY_CITATION_075948cb-e5b1-4e7d-8d3a-7af6da7438b3&quot;,&quot;properties&quot;:{&quot;noteIndex&quot;:0},&quot;isEdited&quot;:false,&quot;manualOverride&quot;:{&quot;isManuallyOverridden&quot;:false,&quot;citeprocText&quot;:&quot;(Simões et al., 2025)&quot;,&quot;manualOverrideText&quot;:&quot;&quot;},&quot;citationTag&quot;:&quot;MENDELEY_CITATION_v3_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&quot;,&quot;citationItems&quot;:[{&quot;id&quot;:&quot;fff7bb23-cbed-3a60-8644-81cb40e39827&quot;,&quot;itemData&quot;:{&quot;type&quot;:&quot;article-journal&quot;,&quot;id&quot;:&quot;fff7bb23-cbed-3a60-8644-81cb40e39827&quot;,&quot;title&quot;:&quot;High specificity clinical signs of impending death: A scoping review&quot;,&quot;author&quot;:[{&quot;family&quot;:&quot;Simões&quot;,&quot;given&quot;:&quot;Catarina&quot;,&quot;parse-names&quot;:false,&quot;dropping-particle&quot;:&quot;&quot;,&quot;non-dropping-particle&quot;:&quot;&quot;},{&quot;family&quot;:&quot;Carneiro&quot;,&quot;given&quot;:&quot;Rui&quot;,&quot;parse-names&quot;:false,&quot;dropping-particle&quot;:&quot;&quot;,&quot;non-dropping-particle&quot;:&quot;&quot;},{&quot;family&quot;:&quot;CardosoTeixeira&quot;,&quot;given&quot;:&quot;Abílio&quot;,&quot;parse-names&quot;:false,&quot;dropping-particle&quot;:&quot;&quot;,&quot;non-dropping-particle&quot;:&quot;&quot;}],&quot;container-title&quot;:&quot;International Journal of Nursing Studies&quot;,&quot;container-title-short&quot;:&quot;Int J Nurs Stud&quot;,&quot;DOI&quot;:&quot;10.1016/j.ijnurstu.2025.105015&quot;,&quot;ISSN&quot;:&quot;00207489&quot;,&quot;URL&quot;:&quot;https://linkinghub.elsevier.com/retrieve/pii/S0020748925000240&quot;,&quot;issued&quot;:{&quot;date-parts&quot;:[[2025,4]]},&quot;page&quot;:&quot;105015&quot;,&quot;volume&quot;:&quot;164&quot;},&quot;isTemporary&quot;:false,&quot;suppress-author&quot;:false,&quot;composite&quot;:false,&quot;author-only&quot;:false}]},{&quot;citationID&quot;:&quot;MENDELEY_CITATION_6c035015-331a-4d2d-9f1b-65da9fe178f3&quot;,&quot;properties&quot;:{&quot;noteIndex&quot;:0},&quot;isEdited&quot;:false,&quot;manualOverride&quot;:{&quot;isManuallyOverridden&quot;:false,&quot;citeprocText&quot;:&quot;(Maltoni et al., 2012)&quot;,&quot;manualOverrideText&quot;:&quot;&quot;},&quot;citationTag&quot;:&quot;MENDELEY_CITATION_v3_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&quot;,&quot;citationItems&quot;:[{&quot;id&quot;:&quot;0d9c3b9e-b8cd-300d-860e-208dea46b5fb&quot;,&quot;itemData&quot;:{&quot;type&quot;:&quot;article-journal&quot;,&quot;id&quot;:&quot;0d9c3b9e-b8cd-300d-860e-208dea46b5fb&quot;,&quot;title&quot;:&quot;Prospective Comparison of Prognostic Scores in Palliative Care Cancer Populations&quot;,&quot;author&quot;:[{&quot;family&quot;:&quot;Maltoni&quot;,&quot;given&quot;:&quot;Marco&quot;,&quot;parse-names&quot;:false,&quot;dropping-particle&quot;:&quot;&quot;,&quot;non-dropping-particle&quot;:&quot;&quot;},{&quot;family&quot;:&quot;Scarpi&quot;,&quot;given&quot;:&quot;Emanuela&quot;,&quot;parse-names&quot;:false,&quot;dropping-particle&quot;:&quot;&quot;,&quot;non-dropping-particle&quot;:&quot;&quot;},{&quot;family&quot;:&quot;Pittureri&quot;,&quot;given&quot;:&quot;Cristina&quot;,&quot;parse-names&quot;:false,&quot;dropping-particle&quot;:&quot;&quot;,&quot;non-dropping-particle&quot;:&quot;&quot;},{&quot;family&quot;:&quot;Martini&quot;,&quot;given&quot;:&quot;Francesca&quot;,&quot;parse-names&quot;:false,&quot;dropping-particle&quot;:&quot;&quot;,&quot;non-dropping-particle&quot;:&quot;&quot;},{&quot;family&quot;:&quot;Montanari&quot;,&quot;given&quot;:&quot;Luigi&quot;,&quot;parse-names&quot;:false,&quot;dropping-particle&quot;:&quot;&quot;,&quot;non-dropping-particle&quot;:&quot;&quot;},{&quot;family&quot;:&quot;Amaducci&quot;,&quot;given&quot;:&quot;Elena&quot;,&quot;parse-names&quot;:false,&quot;dropping-particle&quot;:&quot;&quot;,&quot;non-dropping-particle&quot;:&quot;&quot;},{&quot;family&quot;:&quot;Derni&quot;,&quot;given&quot;:&quot;Stefania&quot;,&quot;parse-names&quot;:false,&quot;dropping-particle&quot;:&quot;&quot;,&quot;non-dropping-particle&quot;:&quot;&quot;},{&quot;family&quot;:&quot;Fabbri&quot;,&quot;given&quot;:&quot;Laura&quot;,&quot;parse-names&quot;:false,&quot;dropping-particle&quot;:&quot;&quot;,&quot;non-dropping-particle&quot;:&quot;&quot;},{&quot;family&quot;:&quot;Rosati&quot;,&quot;given&quot;:&quot;Marta&quot;,&quot;parse-names&quot;:false,&quot;dropping-particle&quot;:&quot;&quot;,&quot;non-dropping-particle&quot;:&quot;&quot;},{&quot;family&quot;:&quot;Amadori&quot;,&quot;given&quot;:&quot;Dino&quot;,&quot;parse-names&quot;:false,&quot;dropping-particle&quot;:&quot;&quot;,&quot;non-dropping-particle&quot;:&quot;&quot;},{&quot;family&quot;:&quot;Nanni&quot;,&quot;given&quot;:&quot;Oriana&quot;,&quot;parse-names&quot;:false,&quot;dropping-particle&quot;:&quot;&quot;,&quot;non-dropping-particle&quot;:&quot;&quot;}],&quot;container-title&quot;:&quot;The Oncologist&quot;,&quot;container-title-short&quot;:&quot;Oncologist&quot;,&quot;DOI&quot;:&quot;10.1634/theoncologist.2011-0397&quot;,&quot;ISSN&quot;:&quot;1083-7159&quot;,&quot;PMID&quot;:&quot;22379068&quot;,&quot;issued&quot;:{&quot;date-parts&quot;:[[2012,3,1]]},&quot;page&quot;:&quot;446-454&quot;,&quot;abstract&quot;:&quot;PURPOSE: Predicting prognosis in advanced cancer aids physicians in clinical decision making and can help patients and their families to prepare for the time ahead.\\n\\nMATERIALS AND METHODS: This multicenter, observational, prospective, nonrandomized population-based study evaluated life span prediction of four prognostic scores used in palliative care: the original palliative prognostic score (PaP Score), a variant of PaP Score including delirium (D-PaP Score), the Palliative Performance Scale, and the Palliative Prognostic Index.\\n\\nRESULTS: A total of 549 patients were enrolled onto the study. Median survival of the entire group was 22 days (95% confidence intervals [95% CI] = 19-24). All four prognostic models discriminated well between groups of patients with different survival probabilities. Log-rank tests were all highly significant (p &lt; .0001). The PaP and D-PaP scores were the most accurate, with a C index of 0.72 (95% CI = 0.70-0.73) and 0.73 (95% CI = 0.71-0.74), respectively.\\n\\nCONCLUSION: It can be confirmed that all four prognostic scores used in palliative care studies accurately identify classes of patients with different survival probabilities. The PaP Score has been extensively validated and shows high accuracy and reproducibility in different settings.&quot;,&quot;publisher&quot;:&quot;Oxford University Press (OUP)&quot;,&quot;issue&quot;:&quot;3&quot;,&quot;volume&quot;:&quot;17&quot;},&quot;isTemporary&quot;:false,&quot;suppress-author&quot;:false,&quot;composite&quot;:false,&quot;author-only&quot;:false}]}]"/>
    <we:property name="MENDELEY_CITATIONS_STYLE" value="{&quot;id&quot;:&quot;https://www.zotero.org/styles/apa&quot;,&quot;title&quot;:&quot;American Psychological Association 7th edition&quot;,&quot;format&quot;:&quot;author-date&quot;,&quot;defaultLocale&quot;:null,&quot;isLocaleCodeValid&quot;:true}"/>
  </we:properties>
  <we:bindings/>
  <we:snapshot xmlns:r="http://schemas.openxmlformats.org/officeDocument/2006/relationships"/>
</we:webextension>
</file>

<file path=docProps/app.xml><?xml version="1.0" encoding="utf-8"?>
<Properties xmlns="http://schemas.openxmlformats.org/officeDocument/2006/extended-properties" xmlns:vt="http://schemas.openxmlformats.org/officeDocument/2006/docPropsVTypes">
  <Template>Normal</Template>
  <TotalTime>35</TotalTime>
  <Pages>34</Pages>
  <Words>8465</Words>
  <Characters>46562</Characters>
  <Application>Microsoft Office Word</Application>
  <DocSecurity>0</DocSecurity>
  <Lines>388</Lines>
  <Paragraphs>109</Paragraphs>
  <ScaleCrop>false</ScaleCrop>
  <Company/>
  <LinksUpToDate>false</LinksUpToDate>
  <CharactersWithSpaces>54918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Santiago Guadarrama Vega</dc:creator>
  <cp:keywords/>
  <dc:description/>
  <cp:lastModifiedBy>Cuenta Microsoft</cp:lastModifiedBy>
  <cp:revision>4</cp:revision>
  <dcterms:created xsi:type="dcterms:W3CDTF">2024-11-02T14:46:00Z</dcterms:created>
  <dcterms:modified xsi:type="dcterms:W3CDTF">2025-06-24T22:37:00Z</dcterms:modified>
</cp:coreProperties>
</file>