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87796D" w14:textId="77777777" w:rsidR="00047D47" w:rsidRDefault="00C91753">
      <w:pPr>
        <w:rPr>
          <w:b/>
          <w:sz w:val="24"/>
          <w:szCs w:val="24"/>
        </w:rPr>
      </w:pPr>
      <w:r>
        <w:rPr>
          <w:noProof/>
        </w:rPr>
        <w:drawing>
          <wp:anchor distT="114300" distB="114300" distL="114300" distR="114300" simplePos="0" relativeHeight="251658240" behindDoc="0" locked="0" layoutInCell="1" hidden="0" allowOverlap="1" wp14:anchorId="535CAABA" wp14:editId="250E91E4">
            <wp:simplePos x="0" y="0"/>
            <wp:positionH relativeFrom="column">
              <wp:posOffset>1</wp:posOffset>
            </wp:positionH>
            <wp:positionV relativeFrom="paragraph">
              <wp:posOffset>164939</wp:posOffset>
            </wp:positionV>
            <wp:extent cx="1649250" cy="1797060"/>
            <wp:effectExtent l="0" t="0" r="0" b="0"/>
            <wp:wrapSquare wrapText="bothSides" distT="114300" distB="114300" distL="114300" distR="11430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1649250" cy="1797060"/>
                    </a:xfrm>
                    <a:prstGeom prst="rect">
                      <a:avLst/>
                    </a:prstGeom>
                    <a:ln/>
                  </pic:spPr>
                </pic:pic>
              </a:graphicData>
            </a:graphic>
          </wp:anchor>
        </w:drawing>
      </w:r>
    </w:p>
    <w:p w14:paraId="434A1899" w14:textId="77777777" w:rsidR="00047D47" w:rsidRDefault="00047D47">
      <w:pPr>
        <w:jc w:val="center"/>
        <w:rPr>
          <w:b/>
          <w:sz w:val="24"/>
          <w:szCs w:val="24"/>
        </w:rPr>
      </w:pPr>
    </w:p>
    <w:p w14:paraId="0C9E82CC" w14:textId="2D49B52D" w:rsidR="00047D47" w:rsidRDefault="00047D47">
      <w:pPr>
        <w:spacing w:line="240" w:lineRule="auto"/>
        <w:jc w:val="center"/>
        <w:rPr>
          <w:b/>
          <w:sz w:val="24"/>
          <w:szCs w:val="24"/>
        </w:rPr>
      </w:pPr>
    </w:p>
    <w:p w14:paraId="380C7E16" w14:textId="77777777" w:rsidR="00047D47" w:rsidRDefault="00047D47">
      <w:pPr>
        <w:spacing w:line="240" w:lineRule="auto"/>
        <w:jc w:val="center"/>
        <w:rPr>
          <w:b/>
          <w:i/>
          <w:sz w:val="28"/>
          <w:szCs w:val="28"/>
        </w:rPr>
      </w:pPr>
    </w:p>
    <w:p w14:paraId="524DF1C0" w14:textId="77777777" w:rsidR="00047D47" w:rsidRDefault="00047D47">
      <w:pPr>
        <w:spacing w:line="240" w:lineRule="auto"/>
        <w:jc w:val="center"/>
        <w:rPr>
          <w:b/>
          <w:i/>
          <w:sz w:val="28"/>
          <w:szCs w:val="28"/>
        </w:rPr>
      </w:pPr>
    </w:p>
    <w:p w14:paraId="134031D6" w14:textId="77777777" w:rsidR="00047D47" w:rsidRDefault="00047D47">
      <w:pPr>
        <w:spacing w:line="240" w:lineRule="auto"/>
        <w:jc w:val="center"/>
        <w:rPr>
          <w:b/>
          <w:i/>
          <w:sz w:val="28"/>
          <w:szCs w:val="28"/>
        </w:rPr>
      </w:pPr>
    </w:p>
    <w:p w14:paraId="20C4A57A" w14:textId="77777777" w:rsidR="00047D47" w:rsidRDefault="00047D47">
      <w:pPr>
        <w:spacing w:line="240" w:lineRule="auto"/>
        <w:jc w:val="center"/>
        <w:rPr>
          <w:b/>
          <w:i/>
          <w:sz w:val="28"/>
          <w:szCs w:val="28"/>
        </w:rPr>
      </w:pPr>
    </w:p>
    <w:p w14:paraId="330CFEC8" w14:textId="77777777" w:rsidR="00047D47" w:rsidRDefault="00047D47">
      <w:pPr>
        <w:spacing w:line="240" w:lineRule="auto"/>
        <w:jc w:val="center"/>
        <w:rPr>
          <w:b/>
          <w:i/>
          <w:sz w:val="28"/>
          <w:szCs w:val="28"/>
        </w:rPr>
      </w:pPr>
    </w:p>
    <w:p w14:paraId="149700BF" w14:textId="77777777" w:rsidR="00047D47" w:rsidRDefault="00047D47">
      <w:pPr>
        <w:spacing w:line="240" w:lineRule="auto"/>
        <w:jc w:val="center"/>
        <w:rPr>
          <w:b/>
          <w:i/>
          <w:sz w:val="28"/>
          <w:szCs w:val="28"/>
        </w:rPr>
      </w:pPr>
    </w:p>
    <w:p w14:paraId="00045ACF" w14:textId="77777777" w:rsidR="00047D47" w:rsidRDefault="00047D47">
      <w:pPr>
        <w:spacing w:line="240" w:lineRule="auto"/>
        <w:jc w:val="center"/>
        <w:rPr>
          <w:b/>
          <w:i/>
          <w:sz w:val="28"/>
          <w:szCs w:val="28"/>
        </w:rPr>
      </w:pPr>
    </w:p>
    <w:p w14:paraId="421C6C40" w14:textId="77777777" w:rsidR="00047D47" w:rsidRDefault="00047D47">
      <w:pPr>
        <w:spacing w:line="240" w:lineRule="auto"/>
        <w:rPr>
          <w:b/>
          <w:i/>
          <w:sz w:val="28"/>
          <w:szCs w:val="28"/>
        </w:rPr>
      </w:pPr>
    </w:p>
    <w:p w14:paraId="57719DCE" w14:textId="77777777" w:rsidR="00047D47" w:rsidRDefault="00047D47">
      <w:pPr>
        <w:spacing w:line="240" w:lineRule="auto"/>
        <w:rPr>
          <w:b/>
          <w:i/>
          <w:sz w:val="28"/>
          <w:szCs w:val="28"/>
        </w:rPr>
      </w:pPr>
    </w:p>
    <w:p w14:paraId="3CBFC546" w14:textId="77777777" w:rsidR="00047D47" w:rsidRDefault="00047D47">
      <w:pPr>
        <w:spacing w:line="240" w:lineRule="auto"/>
        <w:rPr>
          <w:b/>
          <w:i/>
          <w:sz w:val="28"/>
          <w:szCs w:val="28"/>
        </w:rPr>
      </w:pPr>
    </w:p>
    <w:p w14:paraId="23FFD550" w14:textId="4EE43114" w:rsidR="00047D47" w:rsidRDefault="004D3A6F">
      <w:pPr>
        <w:spacing w:line="240" w:lineRule="auto"/>
        <w:jc w:val="center"/>
        <w:rPr>
          <w:b/>
          <w:i/>
          <w:sz w:val="28"/>
          <w:szCs w:val="28"/>
        </w:rPr>
      </w:pPr>
      <w:r w:rsidRPr="004D3A6F">
        <w:rPr>
          <w:b/>
          <w:i/>
          <w:sz w:val="28"/>
          <w:szCs w:val="28"/>
        </w:rPr>
        <w:t xml:space="preserve">Muertes en inducción y mortalidad relacionadas a tratamiento en niños y adolescentes con leucemia </w:t>
      </w:r>
      <w:proofErr w:type="spellStart"/>
      <w:r w:rsidRPr="004D3A6F">
        <w:rPr>
          <w:b/>
          <w:i/>
          <w:sz w:val="28"/>
          <w:szCs w:val="28"/>
        </w:rPr>
        <w:t>linfoblástica</w:t>
      </w:r>
      <w:proofErr w:type="spellEnd"/>
      <w:r w:rsidRPr="004D3A6F">
        <w:rPr>
          <w:b/>
          <w:i/>
          <w:sz w:val="28"/>
          <w:szCs w:val="28"/>
        </w:rPr>
        <w:t xml:space="preserve"> aguda en primera remisión atendidos en el Instituto Nacional de Cancerología entre 1 enero de 2017 a 31 de diciembre del 2022.</w:t>
      </w:r>
    </w:p>
    <w:p w14:paraId="28A73176" w14:textId="77777777" w:rsidR="00047D47" w:rsidRDefault="00047D47">
      <w:pPr>
        <w:spacing w:line="240" w:lineRule="auto"/>
        <w:jc w:val="center"/>
        <w:rPr>
          <w:b/>
          <w:sz w:val="24"/>
          <w:szCs w:val="24"/>
        </w:rPr>
      </w:pPr>
    </w:p>
    <w:p w14:paraId="312135B7" w14:textId="77777777" w:rsidR="00047D47" w:rsidRDefault="00047D47">
      <w:pPr>
        <w:spacing w:line="240" w:lineRule="auto"/>
        <w:jc w:val="center"/>
        <w:rPr>
          <w:b/>
          <w:sz w:val="24"/>
          <w:szCs w:val="24"/>
        </w:rPr>
      </w:pPr>
    </w:p>
    <w:p w14:paraId="621669A5" w14:textId="77777777" w:rsidR="00047D47" w:rsidRDefault="00047D47">
      <w:pPr>
        <w:spacing w:line="240" w:lineRule="auto"/>
        <w:jc w:val="center"/>
        <w:rPr>
          <w:b/>
          <w:sz w:val="24"/>
          <w:szCs w:val="24"/>
        </w:rPr>
      </w:pPr>
    </w:p>
    <w:p w14:paraId="479DA085" w14:textId="77777777" w:rsidR="00047D47" w:rsidRDefault="00047D47">
      <w:pPr>
        <w:spacing w:line="240" w:lineRule="auto"/>
        <w:jc w:val="center"/>
        <w:rPr>
          <w:b/>
          <w:sz w:val="24"/>
          <w:szCs w:val="24"/>
        </w:rPr>
      </w:pPr>
    </w:p>
    <w:p w14:paraId="0523F4F9" w14:textId="77777777" w:rsidR="00047D47" w:rsidRDefault="00047D47">
      <w:pPr>
        <w:spacing w:line="240" w:lineRule="auto"/>
        <w:jc w:val="center"/>
        <w:rPr>
          <w:b/>
          <w:sz w:val="24"/>
          <w:szCs w:val="24"/>
        </w:rPr>
      </w:pPr>
    </w:p>
    <w:p w14:paraId="4F79A216" w14:textId="77777777" w:rsidR="00047D47" w:rsidRPr="008949D1" w:rsidRDefault="00047D47">
      <w:pPr>
        <w:spacing w:line="240" w:lineRule="auto"/>
        <w:jc w:val="center"/>
        <w:rPr>
          <w:b/>
          <w:sz w:val="24"/>
          <w:szCs w:val="24"/>
        </w:rPr>
      </w:pPr>
    </w:p>
    <w:p w14:paraId="084C1796" w14:textId="77777777" w:rsidR="00047D47" w:rsidRPr="008949D1" w:rsidRDefault="00047D47">
      <w:pPr>
        <w:spacing w:line="240" w:lineRule="auto"/>
        <w:jc w:val="center"/>
        <w:rPr>
          <w:b/>
          <w:sz w:val="24"/>
          <w:szCs w:val="24"/>
        </w:rPr>
      </w:pPr>
    </w:p>
    <w:p w14:paraId="6A31970D" w14:textId="77777777" w:rsidR="00047D47" w:rsidRPr="008949D1" w:rsidRDefault="00047D47">
      <w:pPr>
        <w:spacing w:line="240" w:lineRule="auto"/>
        <w:rPr>
          <w:b/>
          <w:sz w:val="24"/>
          <w:szCs w:val="24"/>
        </w:rPr>
      </w:pPr>
    </w:p>
    <w:p w14:paraId="0B7CCB75" w14:textId="77777777" w:rsidR="00047D47" w:rsidRPr="008949D1" w:rsidRDefault="00047D47">
      <w:pPr>
        <w:spacing w:line="240" w:lineRule="auto"/>
        <w:jc w:val="center"/>
        <w:rPr>
          <w:b/>
          <w:sz w:val="24"/>
          <w:szCs w:val="24"/>
        </w:rPr>
      </w:pPr>
    </w:p>
    <w:p w14:paraId="4D95F309" w14:textId="1E2EBC2E" w:rsidR="00047D47" w:rsidRDefault="004D3A6F">
      <w:pPr>
        <w:spacing w:line="240" w:lineRule="auto"/>
        <w:jc w:val="center"/>
        <w:rPr>
          <w:b/>
          <w:sz w:val="24"/>
          <w:szCs w:val="24"/>
        </w:rPr>
      </w:pPr>
      <w:r>
        <w:rPr>
          <w:b/>
          <w:sz w:val="24"/>
          <w:szCs w:val="24"/>
        </w:rPr>
        <w:t>María Alejandra Ágredo Lucio</w:t>
      </w:r>
    </w:p>
    <w:p w14:paraId="01F5E8E9" w14:textId="77777777" w:rsidR="004D3A6F" w:rsidRPr="008949D1" w:rsidRDefault="004D3A6F">
      <w:pPr>
        <w:spacing w:line="240" w:lineRule="auto"/>
        <w:jc w:val="center"/>
        <w:rPr>
          <w:b/>
          <w:sz w:val="24"/>
          <w:szCs w:val="24"/>
        </w:rPr>
      </w:pPr>
    </w:p>
    <w:p w14:paraId="0C998E91" w14:textId="6E5F3159" w:rsidR="00047D47" w:rsidRPr="008949D1" w:rsidRDefault="004D3A6F">
      <w:pPr>
        <w:spacing w:line="240" w:lineRule="auto"/>
        <w:jc w:val="center"/>
        <w:rPr>
          <w:b/>
          <w:sz w:val="24"/>
          <w:szCs w:val="24"/>
        </w:rPr>
      </w:pPr>
      <w:r>
        <w:rPr>
          <w:b/>
          <w:sz w:val="24"/>
          <w:szCs w:val="24"/>
        </w:rPr>
        <w:t xml:space="preserve">Alejandra </w:t>
      </w:r>
      <w:proofErr w:type="spellStart"/>
      <w:r>
        <w:rPr>
          <w:b/>
          <w:sz w:val="24"/>
          <w:szCs w:val="24"/>
        </w:rPr>
        <w:t>Beatríz</w:t>
      </w:r>
      <w:proofErr w:type="spellEnd"/>
      <w:r>
        <w:rPr>
          <w:b/>
          <w:sz w:val="24"/>
          <w:szCs w:val="24"/>
        </w:rPr>
        <w:t xml:space="preserve"> </w:t>
      </w:r>
      <w:proofErr w:type="spellStart"/>
      <w:r>
        <w:rPr>
          <w:b/>
          <w:sz w:val="24"/>
          <w:szCs w:val="24"/>
        </w:rPr>
        <w:t>Tijo</w:t>
      </w:r>
      <w:proofErr w:type="spellEnd"/>
      <w:r>
        <w:rPr>
          <w:b/>
          <w:sz w:val="24"/>
          <w:szCs w:val="24"/>
        </w:rPr>
        <w:t xml:space="preserve"> López</w:t>
      </w:r>
    </w:p>
    <w:p w14:paraId="79FF1289" w14:textId="77777777" w:rsidR="00047D47" w:rsidRPr="008949D1" w:rsidRDefault="00047D47">
      <w:pPr>
        <w:spacing w:line="240" w:lineRule="auto"/>
        <w:jc w:val="center"/>
        <w:rPr>
          <w:b/>
          <w:sz w:val="24"/>
          <w:szCs w:val="24"/>
        </w:rPr>
      </w:pPr>
    </w:p>
    <w:p w14:paraId="49770502" w14:textId="77777777" w:rsidR="00047D47" w:rsidRPr="008949D1" w:rsidRDefault="00047D47">
      <w:pPr>
        <w:spacing w:line="240" w:lineRule="auto"/>
        <w:jc w:val="center"/>
        <w:rPr>
          <w:b/>
          <w:sz w:val="24"/>
          <w:szCs w:val="24"/>
        </w:rPr>
      </w:pPr>
    </w:p>
    <w:p w14:paraId="76080580" w14:textId="77777777" w:rsidR="00047D47" w:rsidRPr="008949D1" w:rsidRDefault="00047D47">
      <w:pPr>
        <w:spacing w:line="240" w:lineRule="auto"/>
        <w:jc w:val="center"/>
        <w:rPr>
          <w:b/>
          <w:sz w:val="24"/>
          <w:szCs w:val="24"/>
        </w:rPr>
      </w:pPr>
    </w:p>
    <w:p w14:paraId="2CC7EF4B" w14:textId="77777777" w:rsidR="00047D47" w:rsidRPr="008949D1" w:rsidRDefault="00047D47">
      <w:pPr>
        <w:spacing w:line="240" w:lineRule="auto"/>
        <w:jc w:val="center"/>
        <w:rPr>
          <w:b/>
          <w:sz w:val="24"/>
          <w:szCs w:val="24"/>
        </w:rPr>
      </w:pPr>
    </w:p>
    <w:p w14:paraId="0D33EA63" w14:textId="77777777" w:rsidR="00047D47" w:rsidRPr="008949D1" w:rsidRDefault="00047D47">
      <w:pPr>
        <w:spacing w:line="240" w:lineRule="auto"/>
        <w:jc w:val="center"/>
        <w:rPr>
          <w:b/>
          <w:sz w:val="24"/>
          <w:szCs w:val="24"/>
        </w:rPr>
      </w:pPr>
    </w:p>
    <w:p w14:paraId="1BB39F26" w14:textId="77777777" w:rsidR="00047D47" w:rsidRPr="008949D1" w:rsidRDefault="00047D47">
      <w:pPr>
        <w:spacing w:line="240" w:lineRule="auto"/>
        <w:jc w:val="center"/>
        <w:rPr>
          <w:b/>
          <w:sz w:val="24"/>
          <w:szCs w:val="24"/>
        </w:rPr>
      </w:pPr>
    </w:p>
    <w:p w14:paraId="54ED3DB5" w14:textId="77777777" w:rsidR="00047D47" w:rsidRPr="008949D1" w:rsidRDefault="00047D47">
      <w:pPr>
        <w:spacing w:line="240" w:lineRule="auto"/>
        <w:jc w:val="center"/>
        <w:rPr>
          <w:b/>
          <w:sz w:val="24"/>
          <w:szCs w:val="24"/>
        </w:rPr>
      </w:pPr>
    </w:p>
    <w:p w14:paraId="2C653ED8" w14:textId="77777777" w:rsidR="00047D47" w:rsidRDefault="00047D47">
      <w:pPr>
        <w:spacing w:line="240" w:lineRule="auto"/>
        <w:jc w:val="center"/>
        <w:rPr>
          <w:b/>
          <w:sz w:val="24"/>
          <w:szCs w:val="24"/>
        </w:rPr>
      </w:pPr>
    </w:p>
    <w:p w14:paraId="3D97FC67" w14:textId="77777777" w:rsidR="002377B5" w:rsidRPr="008949D1" w:rsidRDefault="002377B5">
      <w:pPr>
        <w:spacing w:line="240" w:lineRule="auto"/>
        <w:jc w:val="center"/>
        <w:rPr>
          <w:b/>
          <w:sz w:val="24"/>
          <w:szCs w:val="24"/>
        </w:rPr>
      </w:pPr>
    </w:p>
    <w:p w14:paraId="4328A223" w14:textId="77777777" w:rsidR="00047D47" w:rsidRPr="008949D1" w:rsidRDefault="00047D47">
      <w:pPr>
        <w:spacing w:line="240" w:lineRule="auto"/>
        <w:rPr>
          <w:b/>
          <w:sz w:val="24"/>
          <w:szCs w:val="24"/>
        </w:rPr>
      </w:pPr>
    </w:p>
    <w:p w14:paraId="08E0DF00" w14:textId="77777777" w:rsidR="00047D47" w:rsidRPr="008949D1" w:rsidRDefault="00047D47">
      <w:pPr>
        <w:spacing w:line="240" w:lineRule="auto"/>
        <w:rPr>
          <w:b/>
          <w:sz w:val="24"/>
          <w:szCs w:val="24"/>
        </w:rPr>
      </w:pPr>
    </w:p>
    <w:p w14:paraId="35D7C503" w14:textId="77777777" w:rsidR="00047D47" w:rsidRPr="008949D1" w:rsidRDefault="00047D47">
      <w:pPr>
        <w:spacing w:line="240" w:lineRule="auto"/>
        <w:jc w:val="center"/>
        <w:rPr>
          <w:b/>
          <w:sz w:val="24"/>
          <w:szCs w:val="24"/>
        </w:rPr>
      </w:pPr>
    </w:p>
    <w:p w14:paraId="31ADDEE7" w14:textId="77777777" w:rsidR="00047D47" w:rsidRPr="008949D1" w:rsidRDefault="00C91753">
      <w:pPr>
        <w:spacing w:line="240" w:lineRule="auto"/>
        <w:jc w:val="center"/>
        <w:rPr>
          <w:b/>
          <w:sz w:val="24"/>
          <w:szCs w:val="24"/>
        </w:rPr>
      </w:pPr>
      <w:r w:rsidRPr="008949D1">
        <w:rPr>
          <w:b/>
          <w:sz w:val="24"/>
          <w:szCs w:val="24"/>
        </w:rPr>
        <w:t>Universidad Militar Nueva Granada</w:t>
      </w:r>
    </w:p>
    <w:p w14:paraId="764D2373" w14:textId="77777777" w:rsidR="00047D47" w:rsidRPr="008949D1" w:rsidRDefault="00C91753">
      <w:pPr>
        <w:spacing w:line="240" w:lineRule="auto"/>
        <w:jc w:val="center"/>
        <w:rPr>
          <w:b/>
          <w:sz w:val="24"/>
          <w:szCs w:val="24"/>
        </w:rPr>
      </w:pPr>
      <w:r w:rsidRPr="008949D1">
        <w:rPr>
          <w:b/>
          <w:sz w:val="24"/>
          <w:szCs w:val="24"/>
        </w:rPr>
        <w:t>Facultad de Medicina y Ciencias de la Salud</w:t>
      </w:r>
    </w:p>
    <w:p w14:paraId="0855E353" w14:textId="77777777" w:rsidR="00047D47" w:rsidRPr="008949D1" w:rsidRDefault="00C91753">
      <w:pPr>
        <w:spacing w:line="240" w:lineRule="auto"/>
        <w:jc w:val="center"/>
        <w:rPr>
          <w:b/>
          <w:sz w:val="24"/>
          <w:szCs w:val="24"/>
        </w:rPr>
      </w:pPr>
      <w:r w:rsidRPr="008949D1">
        <w:rPr>
          <w:b/>
          <w:sz w:val="24"/>
          <w:szCs w:val="24"/>
        </w:rPr>
        <w:t>Dirección de posgrados</w:t>
      </w:r>
    </w:p>
    <w:p w14:paraId="61FE93E2" w14:textId="207B87EE" w:rsidR="00047D47" w:rsidRPr="008949D1" w:rsidRDefault="00C91753">
      <w:pPr>
        <w:spacing w:line="240" w:lineRule="auto"/>
        <w:jc w:val="center"/>
        <w:rPr>
          <w:b/>
          <w:sz w:val="24"/>
          <w:szCs w:val="24"/>
        </w:rPr>
      </w:pPr>
      <w:r w:rsidRPr="008949D1">
        <w:rPr>
          <w:b/>
          <w:sz w:val="24"/>
          <w:szCs w:val="24"/>
        </w:rPr>
        <w:t xml:space="preserve">Programa </w:t>
      </w:r>
      <w:r w:rsidR="004D3A6F">
        <w:rPr>
          <w:b/>
          <w:sz w:val="24"/>
          <w:szCs w:val="24"/>
        </w:rPr>
        <w:t>Hematooncología pediátrica</w:t>
      </w:r>
    </w:p>
    <w:p w14:paraId="7E7C2FCC" w14:textId="77777777" w:rsidR="00047D47" w:rsidRPr="008949D1" w:rsidRDefault="00047D47">
      <w:pPr>
        <w:spacing w:line="240" w:lineRule="auto"/>
        <w:jc w:val="center"/>
        <w:rPr>
          <w:b/>
          <w:sz w:val="24"/>
          <w:szCs w:val="24"/>
        </w:rPr>
      </w:pPr>
    </w:p>
    <w:p w14:paraId="374191BE" w14:textId="6368C94F" w:rsidR="002377B5" w:rsidRDefault="00C91753" w:rsidP="002377B5">
      <w:pPr>
        <w:spacing w:line="240" w:lineRule="auto"/>
        <w:jc w:val="center"/>
        <w:rPr>
          <w:b/>
          <w:sz w:val="24"/>
          <w:szCs w:val="24"/>
        </w:rPr>
      </w:pPr>
      <w:r w:rsidRPr="008949D1">
        <w:rPr>
          <w:b/>
          <w:sz w:val="24"/>
          <w:szCs w:val="24"/>
        </w:rPr>
        <w:t>Bogotá, 2025</w:t>
      </w:r>
    </w:p>
    <w:p w14:paraId="45FFB623" w14:textId="7DFB3FC4" w:rsidR="00EA6771" w:rsidRDefault="00EA6771" w:rsidP="002377B5">
      <w:pPr>
        <w:spacing w:line="240" w:lineRule="auto"/>
        <w:jc w:val="center"/>
        <w:rPr>
          <w:b/>
          <w:sz w:val="24"/>
          <w:szCs w:val="24"/>
        </w:rPr>
      </w:pPr>
    </w:p>
    <w:p w14:paraId="2ACA475A" w14:textId="77777777" w:rsidR="00EA6771" w:rsidRDefault="00EA6771" w:rsidP="002377B5">
      <w:pPr>
        <w:spacing w:line="240" w:lineRule="auto"/>
        <w:jc w:val="center"/>
        <w:rPr>
          <w:b/>
          <w:sz w:val="24"/>
          <w:szCs w:val="24"/>
        </w:rPr>
      </w:pPr>
    </w:p>
    <w:p w14:paraId="1C9C95A2" w14:textId="77777777" w:rsidR="004D3A6F" w:rsidRDefault="004D3A6F" w:rsidP="004D3A6F">
      <w:pPr>
        <w:spacing w:line="240" w:lineRule="auto"/>
        <w:jc w:val="center"/>
        <w:rPr>
          <w:b/>
          <w:i/>
          <w:sz w:val="28"/>
          <w:szCs w:val="28"/>
        </w:rPr>
      </w:pPr>
      <w:r w:rsidRPr="004D3A6F">
        <w:rPr>
          <w:b/>
          <w:i/>
          <w:sz w:val="28"/>
          <w:szCs w:val="28"/>
        </w:rPr>
        <w:t xml:space="preserve">Muertes en inducción y mortalidad relacionadas a tratamiento en niños y adolescentes con leucemia </w:t>
      </w:r>
      <w:proofErr w:type="spellStart"/>
      <w:r w:rsidRPr="004D3A6F">
        <w:rPr>
          <w:b/>
          <w:i/>
          <w:sz w:val="28"/>
          <w:szCs w:val="28"/>
        </w:rPr>
        <w:t>linfoblástica</w:t>
      </w:r>
      <w:proofErr w:type="spellEnd"/>
      <w:r w:rsidRPr="004D3A6F">
        <w:rPr>
          <w:b/>
          <w:i/>
          <w:sz w:val="28"/>
          <w:szCs w:val="28"/>
        </w:rPr>
        <w:t xml:space="preserve"> aguda en primera remisión atendidos en el Instituto Nacional de Cancerología entre 1 enero de 2017 a 31 de diciembre del 2022.</w:t>
      </w:r>
    </w:p>
    <w:p w14:paraId="797E7BDF" w14:textId="77777777" w:rsidR="00047D47" w:rsidRPr="008949D1" w:rsidRDefault="00047D47" w:rsidP="004D3A6F">
      <w:pPr>
        <w:spacing w:line="240" w:lineRule="auto"/>
        <w:rPr>
          <w:b/>
          <w:sz w:val="24"/>
          <w:szCs w:val="24"/>
        </w:rPr>
      </w:pPr>
    </w:p>
    <w:p w14:paraId="23BE31DE" w14:textId="77777777" w:rsidR="00047D47" w:rsidRPr="008949D1" w:rsidRDefault="00047D47" w:rsidP="004D3A6F">
      <w:pPr>
        <w:spacing w:line="240" w:lineRule="auto"/>
        <w:rPr>
          <w:b/>
          <w:sz w:val="24"/>
          <w:szCs w:val="24"/>
        </w:rPr>
      </w:pPr>
    </w:p>
    <w:p w14:paraId="500B8ED9" w14:textId="77777777" w:rsidR="00047D47" w:rsidRPr="008949D1" w:rsidRDefault="00047D47" w:rsidP="004D3A6F">
      <w:pPr>
        <w:spacing w:line="240" w:lineRule="auto"/>
        <w:rPr>
          <w:b/>
          <w:sz w:val="24"/>
          <w:szCs w:val="24"/>
        </w:rPr>
      </w:pPr>
    </w:p>
    <w:p w14:paraId="6673F6EB" w14:textId="77777777" w:rsidR="00047D47" w:rsidRPr="008949D1" w:rsidRDefault="00047D47">
      <w:pPr>
        <w:spacing w:line="240" w:lineRule="auto"/>
        <w:jc w:val="center"/>
        <w:rPr>
          <w:b/>
          <w:sz w:val="24"/>
          <w:szCs w:val="24"/>
        </w:rPr>
      </w:pPr>
    </w:p>
    <w:p w14:paraId="09D47848" w14:textId="77777777" w:rsidR="00047D47" w:rsidRPr="008949D1" w:rsidRDefault="00047D47">
      <w:pPr>
        <w:spacing w:line="240" w:lineRule="auto"/>
        <w:jc w:val="center"/>
        <w:rPr>
          <w:b/>
          <w:sz w:val="24"/>
          <w:szCs w:val="24"/>
        </w:rPr>
      </w:pPr>
    </w:p>
    <w:p w14:paraId="37170CA4" w14:textId="77777777" w:rsidR="00047D47" w:rsidRPr="008949D1" w:rsidRDefault="00047D47">
      <w:pPr>
        <w:spacing w:line="240" w:lineRule="auto"/>
        <w:jc w:val="center"/>
        <w:rPr>
          <w:b/>
          <w:sz w:val="24"/>
          <w:szCs w:val="24"/>
        </w:rPr>
      </w:pPr>
    </w:p>
    <w:p w14:paraId="0A4CC90C" w14:textId="77777777" w:rsidR="00047D47" w:rsidRPr="008949D1" w:rsidRDefault="00047D47">
      <w:pPr>
        <w:spacing w:line="240" w:lineRule="auto"/>
        <w:jc w:val="center"/>
        <w:rPr>
          <w:b/>
          <w:sz w:val="24"/>
          <w:szCs w:val="24"/>
        </w:rPr>
      </w:pPr>
    </w:p>
    <w:p w14:paraId="3EC98031" w14:textId="77777777" w:rsidR="00047D47" w:rsidRPr="008949D1" w:rsidRDefault="00047D47">
      <w:pPr>
        <w:spacing w:line="240" w:lineRule="auto"/>
        <w:rPr>
          <w:b/>
          <w:sz w:val="24"/>
          <w:szCs w:val="24"/>
        </w:rPr>
      </w:pPr>
    </w:p>
    <w:p w14:paraId="53479F6E" w14:textId="77777777" w:rsidR="00047D47" w:rsidRPr="008949D1" w:rsidRDefault="00047D47">
      <w:pPr>
        <w:spacing w:line="240" w:lineRule="auto"/>
        <w:jc w:val="center"/>
        <w:rPr>
          <w:b/>
          <w:sz w:val="24"/>
          <w:szCs w:val="24"/>
        </w:rPr>
      </w:pPr>
    </w:p>
    <w:p w14:paraId="7DBC31AC" w14:textId="77777777" w:rsidR="00047D47" w:rsidRPr="008949D1" w:rsidRDefault="00C91753">
      <w:pPr>
        <w:spacing w:line="240" w:lineRule="auto"/>
        <w:jc w:val="center"/>
        <w:rPr>
          <w:b/>
          <w:sz w:val="24"/>
          <w:szCs w:val="24"/>
        </w:rPr>
      </w:pPr>
      <w:r w:rsidRPr="008949D1">
        <w:rPr>
          <w:b/>
          <w:sz w:val="24"/>
          <w:szCs w:val="24"/>
        </w:rPr>
        <w:t>Autores:</w:t>
      </w:r>
    </w:p>
    <w:p w14:paraId="45965791" w14:textId="77777777" w:rsidR="00047D47" w:rsidRPr="008949D1" w:rsidRDefault="00047D47">
      <w:pPr>
        <w:spacing w:line="240" w:lineRule="auto"/>
        <w:jc w:val="center"/>
        <w:rPr>
          <w:sz w:val="24"/>
          <w:szCs w:val="24"/>
        </w:rPr>
      </w:pPr>
    </w:p>
    <w:p w14:paraId="33AA3BBB" w14:textId="77777777" w:rsidR="00047D47" w:rsidRPr="008949D1" w:rsidRDefault="00047D47">
      <w:pPr>
        <w:spacing w:line="240" w:lineRule="auto"/>
        <w:jc w:val="center"/>
        <w:rPr>
          <w:sz w:val="24"/>
          <w:szCs w:val="24"/>
        </w:rPr>
      </w:pPr>
    </w:p>
    <w:p w14:paraId="47826F54" w14:textId="77777777" w:rsidR="004D3A6F" w:rsidRPr="004D3A6F" w:rsidRDefault="004D3A6F" w:rsidP="004D3A6F">
      <w:pPr>
        <w:spacing w:line="240" w:lineRule="auto"/>
        <w:jc w:val="center"/>
        <w:rPr>
          <w:sz w:val="24"/>
          <w:szCs w:val="24"/>
        </w:rPr>
      </w:pPr>
      <w:r w:rsidRPr="004D3A6F">
        <w:rPr>
          <w:sz w:val="24"/>
          <w:szCs w:val="24"/>
        </w:rPr>
        <w:t>María Alejandra Ágredo Lucio</w:t>
      </w:r>
    </w:p>
    <w:p w14:paraId="71F5B6D7" w14:textId="77777777" w:rsidR="004D3A6F" w:rsidRPr="004D3A6F" w:rsidRDefault="004D3A6F" w:rsidP="004D3A6F">
      <w:pPr>
        <w:spacing w:line="240" w:lineRule="auto"/>
        <w:jc w:val="center"/>
        <w:rPr>
          <w:sz w:val="24"/>
          <w:szCs w:val="24"/>
        </w:rPr>
      </w:pPr>
    </w:p>
    <w:p w14:paraId="24C2378C" w14:textId="19E71BDD" w:rsidR="00047D47" w:rsidRPr="004D3A6F" w:rsidRDefault="004D3A6F" w:rsidP="004D3A6F">
      <w:pPr>
        <w:spacing w:line="240" w:lineRule="auto"/>
        <w:jc w:val="center"/>
        <w:rPr>
          <w:sz w:val="24"/>
          <w:szCs w:val="24"/>
        </w:rPr>
      </w:pPr>
      <w:r w:rsidRPr="004D3A6F">
        <w:rPr>
          <w:sz w:val="24"/>
          <w:szCs w:val="24"/>
        </w:rPr>
        <w:t xml:space="preserve">Alejandra </w:t>
      </w:r>
      <w:proofErr w:type="spellStart"/>
      <w:r w:rsidRPr="004D3A6F">
        <w:rPr>
          <w:sz w:val="24"/>
          <w:szCs w:val="24"/>
        </w:rPr>
        <w:t>Beatríz</w:t>
      </w:r>
      <w:proofErr w:type="spellEnd"/>
      <w:r w:rsidRPr="004D3A6F">
        <w:rPr>
          <w:sz w:val="24"/>
          <w:szCs w:val="24"/>
        </w:rPr>
        <w:t xml:space="preserve"> </w:t>
      </w:r>
      <w:proofErr w:type="spellStart"/>
      <w:r w:rsidRPr="004D3A6F">
        <w:rPr>
          <w:sz w:val="24"/>
          <w:szCs w:val="24"/>
        </w:rPr>
        <w:t>Tijo</w:t>
      </w:r>
      <w:proofErr w:type="spellEnd"/>
      <w:r w:rsidRPr="004D3A6F">
        <w:rPr>
          <w:sz w:val="24"/>
          <w:szCs w:val="24"/>
        </w:rPr>
        <w:t xml:space="preserve"> López</w:t>
      </w:r>
    </w:p>
    <w:p w14:paraId="49D9BBB1" w14:textId="77777777" w:rsidR="00047D47" w:rsidRPr="008949D1" w:rsidRDefault="00047D47">
      <w:pPr>
        <w:spacing w:line="240" w:lineRule="auto"/>
        <w:jc w:val="center"/>
        <w:rPr>
          <w:sz w:val="24"/>
          <w:szCs w:val="24"/>
        </w:rPr>
      </w:pPr>
    </w:p>
    <w:p w14:paraId="41025A3B" w14:textId="77777777" w:rsidR="00047D47" w:rsidRPr="008949D1" w:rsidRDefault="00047D47" w:rsidP="004D3A6F">
      <w:pPr>
        <w:spacing w:line="240" w:lineRule="auto"/>
        <w:rPr>
          <w:sz w:val="24"/>
          <w:szCs w:val="24"/>
        </w:rPr>
      </w:pPr>
    </w:p>
    <w:p w14:paraId="15A37BF6" w14:textId="77777777" w:rsidR="00047D47" w:rsidRPr="008949D1" w:rsidRDefault="00047D47" w:rsidP="004D3A6F">
      <w:pPr>
        <w:spacing w:line="240" w:lineRule="auto"/>
        <w:rPr>
          <w:sz w:val="24"/>
          <w:szCs w:val="24"/>
        </w:rPr>
      </w:pPr>
    </w:p>
    <w:p w14:paraId="3BD74550" w14:textId="77777777" w:rsidR="00047D47" w:rsidRPr="008949D1" w:rsidRDefault="00047D47">
      <w:pPr>
        <w:spacing w:line="240" w:lineRule="auto"/>
        <w:jc w:val="center"/>
        <w:rPr>
          <w:sz w:val="24"/>
          <w:szCs w:val="24"/>
        </w:rPr>
      </w:pPr>
    </w:p>
    <w:p w14:paraId="4C8AE9B3" w14:textId="77777777" w:rsidR="00047D47" w:rsidRPr="008949D1" w:rsidRDefault="00047D47">
      <w:pPr>
        <w:spacing w:line="240" w:lineRule="auto"/>
        <w:jc w:val="center"/>
        <w:rPr>
          <w:sz w:val="24"/>
          <w:szCs w:val="24"/>
        </w:rPr>
      </w:pPr>
    </w:p>
    <w:p w14:paraId="0834577D" w14:textId="77777777" w:rsidR="00047D47" w:rsidRPr="008949D1" w:rsidRDefault="00047D47">
      <w:pPr>
        <w:spacing w:line="240" w:lineRule="auto"/>
        <w:jc w:val="center"/>
        <w:rPr>
          <w:sz w:val="24"/>
          <w:szCs w:val="24"/>
        </w:rPr>
      </w:pPr>
    </w:p>
    <w:p w14:paraId="5B0D199F" w14:textId="77777777" w:rsidR="00047D47" w:rsidRPr="008949D1" w:rsidRDefault="00047D47">
      <w:pPr>
        <w:spacing w:line="240" w:lineRule="auto"/>
        <w:jc w:val="center"/>
        <w:rPr>
          <w:sz w:val="24"/>
          <w:szCs w:val="24"/>
        </w:rPr>
      </w:pPr>
    </w:p>
    <w:p w14:paraId="209CBFFB" w14:textId="14E35F9B" w:rsidR="00047D47" w:rsidRPr="008949D1" w:rsidRDefault="00C91753">
      <w:pPr>
        <w:spacing w:line="240" w:lineRule="auto"/>
        <w:jc w:val="center"/>
        <w:rPr>
          <w:b/>
          <w:sz w:val="24"/>
          <w:szCs w:val="24"/>
        </w:rPr>
      </w:pPr>
      <w:r w:rsidRPr="008949D1">
        <w:rPr>
          <w:b/>
          <w:sz w:val="24"/>
          <w:szCs w:val="24"/>
        </w:rPr>
        <w:t>Asesor</w:t>
      </w:r>
      <w:r w:rsidR="00EA6771">
        <w:rPr>
          <w:b/>
          <w:sz w:val="24"/>
          <w:szCs w:val="24"/>
        </w:rPr>
        <w:t>es</w:t>
      </w:r>
      <w:r w:rsidRPr="008949D1">
        <w:rPr>
          <w:b/>
          <w:sz w:val="24"/>
          <w:szCs w:val="24"/>
        </w:rPr>
        <w:t xml:space="preserve">: </w:t>
      </w:r>
    </w:p>
    <w:p w14:paraId="4BDA8F9D" w14:textId="77777777" w:rsidR="00047D47" w:rsidRPr="008949D1" w:rsidRDefault="00047D47">
      <w:pPr>
        <w:spacing w:line="240" w:lineRule="auto"/>
        <w:jc w:val="center"/>
        <w:rPr>
          <w:sz w:val="24"/>
          <w:szCs w:val="24"/>
        </w:rPr>
      </w:pPr>
    </w:p>
    <w:p w14:paraId="1AC46184" w14:textId="77777777" w:rsidR="00047D47" w:rsidRPr="008949D1" w:rsidRDefault="00047D47">
      <w:pPr>
        <w:spacing w:line="240" w:lineRule="auto"/>
        <w:jc w:val="center"/>
        <w:rPr>
          <w:sz w:val="24"/>
          <w:szCs w:val="24"/>
        </w:rPr>
      </w:pPr>
    </w:p>
    <w:p w14:paraId="26160FDA" w14:textId="0D3B7EE4" w:rsidR="00047D47" w:rsidRPr="008949D1" w:rsidRDefault="004D3A6F" w:rsidP="004D3A6F">
      <w:pPr>
        <w:spacing w:line="240" w:lineRule="auto"/>
        <w:jc w:val="center"/>
        <w:rPr>
          <w:sz w:val="24"/>
          <w:szCs w:val="24"/>
        </w:rPr>
      </w:pPr>
      <w:r w:rsidRPr="004D3A6F">
        <w:rPr>
          <w:sz w:val="24"/>
          <w:szCs w:val="24"/>
        </w:rPr>
        <w:t>Amaranto Suarez Mattos</w:t>
      </w:r>
    </w:p>
    <w:p w14:paraId="376AE3F4" w14:textId="77777777" w:rsidR="00047D47" w:rsidRPr="008949D1" w:rsidRDefault="00047D47">
      <w:pPr>
        <w:spacing w:line="240" w:lineRule="auto"/>
        <w:jc w:val="center"/>
        <w:rPr>
          <w:sz w:val="24"/>
          <w:szCs w:val="24"/>
        </w:rPr>
      </w:pPr>
    </w:p>
    <w:p w14:paraId="1AB7E59A" w14:textId="77777777" w:rsidR="00047D47" w:rsidRPr="008949D1" w:rsidRDefault="00047D47">
      <w:pPr>
        <w:spacing w:line="240" w:lineRule="auto"/>
        <w:jc w:val="center"/>
        <w:rPr>
          <w:sz w:val="24"/>
          <w:szCs w:val="24"/>
        </w:rPr>
      </w:pPr>
    </w:p>
    <w:p w14:paraId="1BF0163F" w14:textId="77777777" w:rsidR="00047D47" w:rsidRPr="008949D1" w:rsidRDefault="00047D47">
      <w:pPr>
        <w:spacing w:line="240" w:lineRule="auto"/>
        <w:jc w:val="center"/>
        <w:rPr>
          <w:sz w:val="24"/>
          <w:szCs w:val="24"/>
        </w:rPr>
      </w:pPr>
    </w:p>
    <w:p w14:paraId="6492256F" w14:textId="77777777" w:rsidR="00047D47" w:rsidRPr="008949D1" w:rsidRDefault="00047D47">
      <w:pPr>
        <w:spacing w:line="240" w:lineRule="auto"/>
        <w:rPr>
          <w:sz w:val="24"/>
          <w:szCs w:val="24"/>
        </w:rPr>
      </w:pPr>
    </w:p>
    <w:p w14:paraId="55B2F627" w14:textId="77777777" w:rsidR="00047D47" w:rsidRPr="008949D1" w:rsidRDefault="00047D47">
      <w:pPr>
        <w:spacing w:line="240" w:lineRule="auto"/>
        <w:rPr>
          <w:sz w:val="24"/>
          <w:szCs w:val="24"/>
        </w:rPr>
      </w:pPr>
    </w:p>
    <w:p w14:paraId="4D9A2669" w14:textId="77777777" w:rsidR="00047D47" w:rsidRPr="008949D1" w:rsidRDefault="00047D47">
      <w:pPr>
        <w:spacing w:line="240" w:lineRule="auto"/>
        <w:jc w:val="center"/>
        <w:rPr>
          <w:sz w:val="24"/>
          <w:szCs w:val="24"/>
        </w:rPr>
      </w:pPr>
    </w:p>
    <w:p w14:paraId="707C0749" w14:textId="61306757" w:rsidR="00EA6771" w:rsidRDefault="00EA6771">
      <w:pPr>
        <w:spacing w:line="240" w:lineRule="auto"/>
        <w:rPr>
          <w:sz w:val="24"/>
          <w:szCs w:val="24"/>
        </w:rPr>
      </w:pPr>
    </w:p>
    <w:p w14:paraId="18F95D22" w14:textId="3176A3BD" w:rsidR="00EA6771" w:rsidRDefault="00EA6771">
      <w:pPr>
        <w:spacing w:line="240" w:lineRule="auto"/>
        <w:rPr>
          <w:sz w:val="24"/>
          <w:szCs w:val="24"/>
        </w:rPr>
      </w:pPr>
    </w:p>
    <w:p w14:paraId="2F7460F4" w14:textId="1EB83B92" w:rsidR="00EA6771" w:rsidRDefault="00EA6771">
      <w:pPr>
        <w:spacing w:line="240" w:lineRule="auto"/>
        <w:rPr>
          <w:sz w:val="24"/>
          <w:szCs w:val="24"/>
        </w:rPr>
      </w:pPr>
    </w:p>
    <w:p w14:paraId="1CD21C18" w14:textId="438C8635" w:rsidR="00EA6771" w:rsidRDefault="00EA6771">
      <w:pPr>
        <w:spacing w:line="240" w:lineRule="auto"/>
        <w:rPr>
          <w:sz w:val="24"/>
          <w:szCs w:val="24"/>
        </w:rPr>
      </w:pPr>
    </w:p>
    <w:p w14:paraId="01056FA8" w14:textId="77777777" w:rsidR="00EA6771" w:rsidRPr="008949D1" w:rsidRDefault="00EA6771">
      <w:pPr>
        <w:spacing w:line="240" w:lineRule="auto"/>
        <w:rPr>
          <w:sz w:val="24"/>
          <w:szCs w:val="24"/>
        </w:rPr>
      </w:pPr>
    </w:p>
    <w:p w14:paraId="495845C1" w14:textId="77777777" w:rsidR="00047D47" w:rsidRPr="008949D1" w:rsidRDefault="00047D47">
      <w:pPr>
        <w:spacing w:line="240" w:lineRule="auto"/>
        <w:rPr>
          <w:sz w:val="24"/>
          <w:szCs w:val="24"/>
        </w:rPr>
      </w:pPr>
    </w:p>
    <w:p w14:paraId="64B7F34D" w14:textId="77777777" w:rsidR="00EA6771" w:rsidRPr="008949D1" w:rsidRDefault="00EA6771" w:rsidP="00EA6771">
      <w:pPr>
        <w:spacing w:line="240" w:lineRule="auto"/>
        <w:jc w:val="center"/>
        <w:rPr>
          <w:b/>
          <w:sz w:val="24"/>
          <w:szCs w:val="24"/>
        </w:rPr>
      </w:pPr>
      <w:r w:rsidRPr="008949D1">
        <w:rPr>
          <w:b/>
          <w:sz w:val="24"/>
          <w:szCs w:val="24"/>
        </w:rPr>
        <w:t>Universidad Militar Nueva Granada</w:t>
      </w:r>
    </w:p>
    <w:p w14:paraId="7FFDBA95" w14:textId="77777777" w:rsidR="00EA6771" w:rsidRPr="008949D1" w:rsidRDefault="00EA6771" w:rsidP="00EA6771">
      <w:pPr>
        <w:spacing w:line="240" w:lineRule="auto"/>
        <w:jc w:val="center"/>
        <w:rPr>
          <w:b/>
          <w:sz w:val="24"/>
          <w:szCs w:val="24"/>
        </w:rPr>
      </w:pPr>
      <w:r w:rsidRPr="008949D1">
        <w:rPr>
          <w:b/>
          <w:sz w:val="24"/>
          <w:szCs w:val="24"/>
        </w:rPr>
        <w:t>Facultad de Medicina y Ciencias de la Salud</w:t>
      </w:r>
    </w:p>
    <w:p w14:paraId="43EBD3F9" w14:textId="77777777" w:rsidR="00EA6771" w:rsidRPr="008949D1" w:rsidRDefault="00EA6771" w:rsidP="00EA6771">
      <w:pPr>
        <w:spacing w:line="240" w:lineRule="auto"/>
        <w:jc w:val="center"/>
        <w:rPr>
          <w:b/>
          <w:sz w:val="24"/>
          <w:szCs w:val="24"/>
        </w:rPr>
      </w:pPr>
      <w:r w:rsidRPr="008949D1">
        <w:rPr>
          <w:b/>
          <w:sz w:val="24"/>
          <w:szCs w:val="24"/>
        </w:rPr>
        <w:t>Dirección de posgrados</w:t>
      </w:r>
    </w:p>
    <w:p w14:paraId="492FDC63" w14:textId="27B5D8AE" w:rsidR="00EA6771" w:rsidRDefault="00EA6771" w:rsidP="00EA6771">
      <w:pPr>
        <w:spacing w:line="240" w:lineRule="auto"/>
        <w:jc w:val="center"/>
        <w:rPr>
          <w:b/>
          <w:sz w:val="24"/>
          <w:szCs w:val="24"/>
        </w:rPr>
      </w:pPr>
      <w:r w:rsidRPr="008949D1">
        <w:rPr>
          <w:b/>
          <w:sz w:val="24"/>
          <w:szCs w:val="24"/>
        </w:rPr>
        <w:t xml:space="preserve">Programa </w:t>
      </w:r>
      <w:r w:rsidR="001628CF">
        <w:rPr>
          <w:b/>
          <w:sz w:val="24"/>
          <w:szCs w:val="24"/>
        </w:rPr>
        <w:t>Hematooncología pediátrica</w:t>
      </w:r>
    </w:p>
    <w:p w14:paraId="7E4E355C" w14:textId="20074F88" w:rsidR="00EA6771" w:rsidRPr="008949D1" w:rsidRDefault="00EA6771" w:rsidP="00EA6771">
      <w:pPr>
        <w:spacing w:line="240" w:lineRule="auto"/>
        <w:jc w:val="center"/>
        <w:rPr>
          <w:b/>
          <w:sz w:val="24"/>
          <w:szCs w:val="24"/>
        </w:rPr>
      </w:pPr>
      <w:r>
        <w:rPr>
          <w:b/>
          <w:sz w:val="24"/>
          <w:szCs w:val="24"/>
        </w:rPr>
        <w:t>2025</w:t>
      </w:r>
    </w:p>
    <w:p w14:paraId="7E59830F" w14:textId="77777777" w:rsidR="00047D47" w:rsidRDefault="00047D47">
      <w:pPr>
        <w:spacing w:line="240" w:lineRule="auto"/>
        <w:rPr>
          <w:sz w:val="24"/>
          <w:szCs w:val="24"/>
        </w:rPr>
      </w:pPr>
    </w:p>
    <w:p w14:paraId="5A9949EE" w14:textId="77777777" w:rsidR="00962B03" w:rsidRDefault="00962B03" w:rsidP="000C0B9E">
      <w:pPr>
        <w:spacing w:line="240" w:lineRule="auto"/>
        <w:rPr>
          <w:b/>
          <w:sz w:val="24"/>
          <w:szCs w:val="24"/>
        </w:rPr>
      </w:pPr>
    </w:p>
    <w:p w14:paraId="37FA8E02" w14:textId="6DCC8864" w:rsidR="00047D47" w:rsidRPr="000C0B9E" w:rsidRDefault="00C91753" w:rsidP="000C0B9E">
      <w:pPr>
        <w:spacing w:line="240" w:lineRule="auto"/>
        <w:rPr>
          <w:b/>
          <w:sz w:val="24"/>
          <w:szCs w:val="24"/>
        </w:rPr>
      </w:pPr>
      <w:r w:rsidRPr="000C0B9E">
        <w:rPr>
          <w:b/>
          <w:sz w:val="24"/>
          <w:szCs w:val="24"/>
        </w:rPr>
        <w:t>Agradecimientos:</w:t>
      </w:r>
    </w:p>
    <w:p w14:paraId="2226AF01" w14:textId="77777777" w:rsidR="00047D47" w:rsidRPr="000C0B9E" w:rsidRDefault="00047D47" w:rsidP="000C0B9E">
      <w:pPr>
        <w:spacing w:line="240" w:lineRule="auto"/>
        <w:rPr>
          <w:b/>
          <w:sz w:val="24"/>
          <w:szCs w:val="24"/>
        </w:rPr>
      </w:pPr>
    </w:p>
    <w:p w14:paraId="7794C116" w14:textId="5382C542" w:rsidR="00047D47" w:rsidRDefault="00047D47" w:rsidP="000C0B9E">
      <w:pPr>
        <w:spacing w:line="240" w:lineRule="auto"/>
        <w:rPr>
          <w:sz w:val="24"/>
          <w:szCs w:val="24"/>
        </w:rPr>
      </w:pPr>
    </w:p>
    <w:p w14:paraId="48A28298" w14:textId="33A18772" w:rsidR="00E05B71" w:rsidRDefault="00E05B71" w:rsidP="00E05B71">
      <w:pPr>
        <w:spacing w:line="240" w:lineRule="auto"/>
        <w:jc w:val="both"/>
        <w:rPr>
          <w:sz w:val="24"/>
          <w:szCs w:val="24"/>
        </w:rPr>
      </w:pPr>
      <w:r>
        <w:rPr>
          <w:sz w:val="24"/>
          <w:szCs w:val="24"/>
        </w:rPr>
        <w:t xml:space="preserve">Al Dr. Amaranto Suárez por su invaluable apoyo durante nuestro proceso de formación; así como por su dedicación durante la creación, desarrollo y elaboración del presente estudio. </w:t>
      </w:r>
    </w:p>
    <w:p w14:paraId="3DE65DBD" w14:textId="77777777" w:rsidR="00E05B71" w:rsidRDefault="00E05B71" w:rsidP="00E05B71">
      <w:pPr>
        <w:spacing w:line="240" w:lineRule="auto"/>
        <w:jc w:val="both"/>
        <w:rPr>
          <w:sz w:val="24"/>
          <w:szCs w:val="24"/>
        </w:rPr>
      </w:pPr>
    </w:p>
    <w:p w14:paraId="5AD65F4C" w14:textId="4856D3C8" w:rsidR="00EA6771" w:rsidRDefault="00E05B71" w:rsidP="00E05B71">
      <w:pPr>
        <w:spacing w:line="240" w:lineRule="auto"/>
        <w:jc w:val="both"/>
        <w:rPr>
          <w:sz w:val="24"/>
          <w:szCs w:val="24"/>
        </w:rPr>
      </w:pPr>
      <w:r>
        <w:rPr>
          <w:sz w:val="24"/>
          <w:szCs w:val="24"/>
        </w:rPr>
        <w:t>A todos los integrantes del servicio de Oncología Pediátrica del Instituto Nacional de Cancerología por su trabajo diario y a nuestros pacientes quienes son la principal motivación del conocimiento y la investigación.</w:t>
      </w:r>
    </w:p>
    <w:p w14:paraId="07BABBEC" w14:textId="21C7FA5E" w:rsidR="00EA6771" w:rsidRDefault="00EA6771" w:rsidP="000C0B9E">
      <w:pPr>
        <w:spacing w:line="240" w:lineRule="auto"/>
        <w:rPr>
          <w:sz w:val="24"/>
          <w:szCs w:val="24"/>
        </w:rPr>
      </w:pPr>
    </w:p>
    <w:p w14:paraId="0FDCB361" w14:textId="20DA51CE" w:rsidR="00EA6771" w:rsidRDefault="00EA6771" w:rsidP="000C0B9E">
      <w:pPr>
        <w:spacing w:line="240" w:lineRule="auto"/>
        <w:rPr>
          <w:sz w:val="24"/>
          <w:szCs w:val="24"/>
        </w:rPr>
      </w:pPr>
    </w:p>
    <w:p w14:paraId="7280FCD6" w14:textId="59709600" w:rsidR="00EA6771" w:rsidRDefault="00EA6771" w:rsidP="000C0B9E">
      <w:pPr>
        <w:spacing w:line="240" w:lineRule="auto"/>
        <w:rPr>
          <w:sz w:val="24"/>
          <w:szCs w:val="24"/>
        </w:rPr>
      </w:pPr>
    </w:p>
    <w:p w14:paraId="4F376C5E" w14:textId="1C454158" w:rsidR="00EA6771" w:rsidRDefault="00EA6771" w:rsidP="000C0B9E">
      <w:pPr>
        <w:spacing w:line="240" w:lineRule="auto"/>
        <w:rPr>
          <w:sz w:val="24"/>
          <w:szCs w:val="24"/>
        </w:rPr>
      </w:pPr>
    </w:p>
    <w:p w14:paraId="27E895BA" w14:textId="20C4C25C" w:rsidR="00EA6771" w:rsidRDefault="00EA6771" w:rsidP="000C0B9E">
      <w:pPr>
        <w:spacing w:line="240" w:lineRule="auto"/>
        <w:rPr>
          <w:sz w:val="24"/>
          <w:szCs w:val="24"/>
        </w:rPr>
      </w:pPr>
    </w:p>
    <w:p w14:paraId="37610955" w14:textId="77777777" w:rsidR="00EA6771" w:rsidRPr="000C0B9E" w:rsidRDefault="00EA6771" w:rsidP="000C0B9E">
      <w:pPr>
        <w:spacing w:line="240" w:lineRule="auto"/>
        <w:rPr>
          <w:sz w:val="24"/>
          <w:szCs w:val="24"/>
        </w:rPr>
      </w:pPr>
    </w:p>
    <w:p w14:paraId="20C05916" w14:textId="77777777" w:rsidR="00047D47" w:rsidRPr="000C0B9E" w:rsidRDefault="00047D47" w:rsidP="000C0B9E">
      <w:pPr>
        <w:spacing w:line="240" w:lineRule="auto"/>
        <w:rPr>
          <w:sz w:val="24"/>
          <w:szCs w:val="24"/>
        </w:rPr>
      </w:pPr>
    </w:p>
    <w:p w14:paraId="0E2670A5" w14:textId="77777777" w:rsidR="00047D47" w:rsidRPr="000C0B9E" w:rsidRDefault="00047D47" w:rsidP="000C0B9E">
      <w:pPr>
        <w:spacing w:line="240" w:lineRule="auto"/>
        <w:rPr>
          <w:sz w:val="24"/>
          <w:szCs w:val="24"/>
        </w:rPr>
      </w:pPr>
    </w:p>
    <w:p w14:paraId="73BC20A3" w14:textId="77777777" w:rsidR="00047D47" w:rsidRPr="000C0B9E" w:rsidRDefault="00047D47" w:rsidP="000C0B9E">
      <w:pPr>
        <w:spacing w:line="240" w:lineRule="auto"/>
        <w:rPr>
          <w:sz w:val="24"/>
          <w:szCs w:val="24"/>
        </w:rPr>
      </w:pPr>
    </w:p>
    <w:p w14:paraId="133CFDFC" w14:textId="77777777" w:rsidR="00047D47" w:rsidRPr="000C0B9E" w:rsidRDefault="00047D47" w:rsidP="000C0B9E">
      <w:pPr>
        <w:spacing w:line="240" w:lineRule="auto"/>
        <w:rPr>
          <w:sz w:val="24"/>
          <w:szCs w:val="24"/>
        </w:rPr>
      </w:pPr>
    </w:p>
    <w:p w14:paraId="25E86E43" w14:textId="77777777" w:rsidR="00047D47" w:rsidRPr="000C0B9E" w:rsidRDefault="00047D47" w:rsidP="000C0B9E">
      <w:pPr>
        <w:spacing w:line="240" w:lineRule="auto"/>
        <w:rPr>
          <w:sz w:val="24"/>
          <w:szCs w:val="24"/>
        </w:rPr>
      </w:pPr>
    </w:p>
    <w:p w14:paraId="60DABF47" w14:textId="77777777" w:rsidR="00047D47" w:rsidRPr="000C0B9E" w:rsidRDefault="00047D47" w:rsidP="000C0B9E">
      <w:pPr>
        <w:spacing w:line="240" w:lineRule="auto"/>
        <w:rPr>
          <w:sz w:val="24"/>
          <w:szCs w:val="24"/>
        </w:rPr>
      </w:pPr>
    </w:p>
    <w:p w14:paraId="42E8F6D0" w14:textId="77777777" w:rsidR="00047D47" w:rsidRPr="000C0B9E" w:rsidRDefault="00047D47" w:rsidP="000C0B9E">
      <w:pPr>
        <w:spacing w:line="240" w:lineRule="auto"/>
        <w:rPr>
          <w:sz w:val="24"/>
          <w:szCs w:val="24"/>
        </w:rPr>
      </w:pPr>
    </w:p>
    <w:p w14:paraId="7E51523D" w14:textId="77777777" w:rsidR="00047D47" w:rsidRPr="000C0B9E" w:rsidRDefault="00047D47" w:rsidP="000C0B9E">
      <w:pPr>
        <w:spacing w:line="240" w:lineRule="auto"/>
        <w:rPr>
          <w:sz w:val="24"/>
          <w:szCs w:val="24"/>
        </w:rPr>
      </w:pPr>
    </w:p>
    <w:p w14:paraId="10CCF5B5" w14:textId="77777777" w:rsidR="00047D47" w:rsidRPr="000C0B9E" w:rsidRDefault="00047D47" w:rsidP="000C0B9E">
      <w:pPr>
        <w:spacing w:line="240" w:lineRule="auto"/>
        <w:rPr>
          <w:sz w:val="24"/>
          <w:szCs w:val="24"/>
        </w:rPr>
      </w:pPr>
    </w:p>
    <w:p w14:paraId="21FAEADC" w14:textId="77777777" w:rsidR="00047D47" w:rsidRPr="000C0B9E" w:rsidRDefault="00047D47" w:rsidP="000C0B9E">
      <w:pPr>
        <w:spacing w:line="240" w:lineRule="auto"/>
        <w:rPr>
          <w:sz w:val="24"/>
          <w:szCs w:val="24"/>
        </w:rPr>
      </w:pPr>
    </w:p>
    <w:p w14:paraId="3210C60D" w14:textId="77777777" w:rsidR="00047D47" w:rsidRPr="000C0B9E" w:rsidRDefault="00047D47" w:rsidP="000C0B9E">
      <w:pPr>
        <w:spacing w:line="240" w:lineRule="auto"/>
        <w:rPr>
          <w:sz w:val="24"/>
          <w:szCs w:val="24"/>
        </w:rPr>
      </w:pPr>
    </w:p>
    <w:p w14:paraId="488AA92E" w14:textId="77777777" w:rsidR="00047D47" w:rsidRPr="000C0B9E" w:rsidRDefault="00047D47" w:rsidP="000C0B9E">
      <w:pPr>
        <w:spacing w:line="240" w:lineRule="auto"/>
        <w:rPr>
          <w:sz w:val="24"/>
          <w:szCs w:val="24"/>
        </w:rPr>
      </w:pPr>
    </w:p>
    <w:p w14:paraId="0A8915FE" w14:textId="77777777" w:rsidR="00047D47" w:rsidRPr="000C0B9E" w:rsidRDefault="00047D47" w:rsidP="000C0B9E">
      <w:pPr>
        <w:spacing w:line="240" w:lineRule="auto"/>
        <w:rPr>
          <w:sz w:val="24"/>
          <w:szCs w:val="24"/>
        </w:rPr>
      </w:pPr>
    </w:p>
    <w:p w14:paraId="481D614D" w14:textId="77777777" w:rsidR="00047D47" w:rsidRPr="000C0B9E" w:rsidRDefault="00047D47" w:rsidP="000C0B9E">
      <w:pPr>
        <w:spacing w:line="240" w:lineRule="auto"/>
        <w:rPr>
          <w:sz w:val="24"/>
          <w:szCs w:val="24"/>
        </w:rPr>
      </w:pPr>
    </w:p>
    <w:p w14:paraId="2A2AB15F" w14:textId="77777777" w:rsidR="00047D47" w:rsidRPr="000C0B9E" w:rsidRDefault="00047D47" w:rsidP="000C0B9E">
      <w:pPr>
        <w:spacing w:line="240" w:lineRule="auto"/>
        <w:rPr>
          <w:sz w:val="24"/>
          <w:szCs w:val="24"/>
        </w:rPr>
      </w:pPr>
    </w:p>
    <w:p w14:paraId="42E360A7" w14:textId="77777777" w:rsidR="00047D47" w:rsidRPr="000C0B9E" w:rsidRDefault="00047D47" w:rsidP="000C0B9E">
      <w:pPr>
        <w:spacing w:line="240" w:lineRule="auto"/>
        <w:rPr>
          <w:sz w:val="24"/>
          <w:szCs w:val="24"/>
        </w:rPr>
      </w:pPr>
    </w:p>
    <w:p w14:paraId="27FFCA06" w14:textId="77777777" w:rsidR="00047D47" w:rsidRPr="000C0B9E" w:rsidRDefault="00047D47" w:rsidP="000C0B9E">
      <w:pPr>
        <w:spacing w:line="240" w:lineRule="auto"/>
        <w:rPr>
          <w:sz w:val="24"/>
          <w:szCs w:val="24"/>
        </w:rPr>
      </w:pPr>
    </w:p>
    <w:p w14:paraId="1AF61C7A" w14:textId="77777777" w:rsidR="00047D47" w:rsidRPr="000C0B9E" w:rsidRDefault="00047D47" w:rsidP="000C0B9E">
      <w:pPr>
        <w:spacing w:line="240" w:lineRule="auto"/>
        <w:rPr>
          <w:sz w:val="24"/>
          <w:szCs w:val="24"/>
        </w:rPr>
      </w:pPr>
    </w:p>
    <w:p w14:paraId="6EAF350E" w14:textId="77777777" w:rsidR="00047D47" w:rsidRPr="000C0B9E" w:rsidRDefault="00047D47" w:rsidP="000C0B9E">
      <w:pPr>
        <w:spacing w:line="240" w:lineRule="auto"/>
        <w:rPr>
          <w:sz w:val="24"/>
          <w:szCs w:val="24"/>
        </w:rPr>
      </w:pPr>
    </w:p>
    <w:p w14:paraId="529357E4" w14:textId="77777777" w:rsidR="00047D47" w:rsidRPr="000C0B9E" w:rsidRDefault="00047D47" w:rsidP="000C0B9E">
      <w:pPr>
        <w:spacing w:line="240" w:lineRule="auto"/>
        <w:rPr>
          <w:sz w:val="24"/>
          <w:szCs w:val="24"/>
        </w:rPr>
      </w:pPr>
    </w:p>
    <w:p w14:paraId="799F9EC4" w14:textId="77777777" w:rsidR="00047D47" w:rsidRPr="000C0B9E" w:rsidRDefault="00047D47" w:rsidP="000C0B9E">
      <w:pPr>
        <w:spacing w:line="240" w:lineRule="auto"/>
        <w:rPr>
          <w:sz w:val="24"/>
          <w:szCs w:val="24"/>
        </w:rPr>
      </w:pPr>
    </w:p>
    <w:p w14:paraId="7B9AB657" w14:textId="20AFC76A" w:rsidR="00047D47" w:rsidRDefault="00047D47" w:rsidP="000C0B9E">
      <w:pPr>
        <w:spacing w:line="240" w:lineRule="auto"/>
        <w:rPr>
          <w:sz w:val="24"/>
          <w:szCs w:val="24"/>
        </w:rPr>
      </w:pPr>
    </w:p>
    <w:p w14:paraId="1281F691" w14:textId="1EDCCFFA" w:rsidR="00EA6771" w:rsidRDefault="00EA6771" w:rsidP="000C0B9E">
      <w:pPr>
        <w:spacing w:line="240" w:lineRule="auto"/>
        <w:rPr>
          <w:sz w:val="24"/>
          <w:szCs w:val="24"/>
        </w:rPr>
      </w:pPr>
    </w:p>
    <w:p w14:paraId="18235F3F" w14:textId="2009BAEC" w:rsidR="00EA6771" w:rsidRDefault="00EA6771" w:rsidP="000C0B9E">
      <w:pPr>
        <w:spacing w:line="240" w:lineRule="auto"/>
        <w:rPr>
          <w:sz w:val="24"/>
          <w:szCs w:val="24"/>
        </w:rPr>
      </w:pPr>
    </w:p>
    <w:p w14:paraId="3054AAB4" w14:textId="3B25935B" w:rsidR="00EA6771" w:rsidRDefault="00EA6771" w:rsidP="000C0B9E">
      <w:pPr>
        <w:spacing w:line="240" w:lineRule="auto"/>
        <w:rPr>
          <w:sz w:val="24"/>
          <w:szCs w:val="24"/>
        </w:rPr>
      </w:pPr>
    </w:p>
    <w:p w14:paraId="2B92ED57" w14:textId="3EA7EFEF" w:rsidR="00EA6771" w:rsidRDefault="00EA6771" w:rsidP="000C0B9E">
      <w:pPr>
        <w:spacing w:line="240" w:lineRule="auto"/>
        <w:rPr>
          <w:sz w:val="24"/>
          <w:szCs w:val="24"/>
        </w:rPr>
      </w:pPr>
    </w:p>
    <w:p w14:paraId="4BAC68AF" w14:textId="3038D8A4" w:rsidR="00EA6771" w:rsidRDefault="00EA6771" w:rsidP="000C0B9E">
      <w:pPr>
        <w:spacing w:line="240" w:lineRule="auto"/>
        <w:rPr>
          <w:sz w:val="24"/>
          <w:szCs w:val="24"/>
        </w:rPr>
      </w:pPr>
    </w:p>
    <w:p w14:paraId="0FDBE7F8" w14:textId="025EC726" w:rsidR="00EA6771" w:rsidRDefault="00EA6771" w:rsidP="000C0B9E">
      <w:pPr>
        <w:spacing w:line="240" w:lineRule="auto"/>
        <w:rPr>
          <w:sz w:val="24"/>
          <w:szCs w:val="24"/>
        </w:rPr>
      </w:pPr>
    </w:p>
    <w:p w14:paraId="090ABD2C" w14:textId="7C07F595" w:rsidR="00EA6771" w:rsidRDefault="00EA6771" w:rsidP="000C0B9E">
      <w:pPr>
        <w:spacing w:line="240" w:lineRule="auto"/>
        <w:rPr>
          <w:sz w:val="24"/>
          <w:szCs w:val="24"/>
        </w:rPr>
      </w:pPr>
    </w:p>
    <w:p w14:paraId="58655997" w14:textId="432AEC51" w:rsidR="00EA6771" w:rsidRDefault="00EA6771" w:rsidP="000C0B9E">
      <w:pPr>
        <w:spacing w:line="240" w:lineRule="auto"/>
        <w:rPr>
          <w:sz w:val="24"/>
          <w:szCs w:val="24"/>
        </w:rPr>
      </w:pPr>
    </w:p>
    <w:p w14:paraId="60B8BFEF" w14:textId="2AA80BDE" w:rsidR="00EA6771" w:rsidRDefault="00EA6771" w:rsidP="000C0B9E">
      <w:pPr>
        <w:spacing w:line="240" w:lineRule="auto"/>
        <w:rPr>
          <w:sz w:val="24"/>
          <w:szCs w:val="24"/>
        </w:rPr>
      </w:pPr>
    </w:p>
    <w:p w14:paraId="61662F94" w14:textId="77777777" w:rsidR="00047D47" w:rsidRPr="000C0B9E" w:rsidRDefault="00047D47" w:rsidP="000C0B9E">
      <w:pPr>
        <w:spacing w:line="240" w:lineRule="auto"/>
        <w:rPr>
          <w:sz w:val="24"/>
          <w:szCs w:val="24"/>
        </w:rPr>
      </w:pPr>
    </w:p>
    <w:p w14:paraId="3BE2A0AA" w14:textId="77777777" w:rsidR="004F275F" w:rsidRDefault="004F275F" w:rsidP="000C0B9E">
      <w:pPr>
        <w:spacing w:line="240" w:lineRule="auto"/>
        <w:rPr>
          <w:sz w:val="24"/>
          <w:szCs w:val="24"/>
        </w:rPr>
      </w:pPr>
    </w:p>
    <w:p w14:paraId="53FF17ED" w14:textId="6F376F12" w:rsidR="00047D47" w:rsidRDefault="00C91753" w:rsidP="00641786">
      <w:pPr>
        <w:spacing w:line="240" w:lineRule="auto"/>
        <w:rPr>
          <w:b/>
          <w:sz w:val="24"/>
          <w:szCs w:val="24"/>
        </w:rPr>
      </w:pPr>
      <w:r w:rsidRPr="000C0B9E">
        <w:rPr>
          <w:b/>
          <w:sz w:val="24"/>
          <w:szCs w:val="24"/>
        </w:rPr>
        <w:t>Resumen:</w:t>
      </w:r>
    </w:p>
    <w:p w14:paraId="1E55267D" w14:textId="77777777" w:rsidR="00641786" w:rsidRDefault="00641786" w:rsidP="00641786">
      <w:pPr>
        <w:spacing w:line="240" w:lineRule="auto"/>
        <w:rPr>
          <w:b/>
          <w:sz w:val="24"/>
          <w:szCs w:val="24"/>
        </w:rPr>
      </w:pPr>
    </w:p>
    <w:p w14:paraId="08921884" w14:textId="5F46A2E5" w:rsidR="00641786" w:rsidRPr="00641786" w:rsidRDefault="00641786" w:rsidP="00641786">
      <w:pPr>
        <w:pStyle w:val="NormalWeb"/>
        <w:spacing w:before="0" w:beforeAutospacing="0" w:after="0" w:afterAutospacing="0"/>
        <w:jc w:val="both"/>
        <w:rPr>
          <w:rFonts w:ascii="Arial" w:hAnsi="Arial" w:cs="Arial"/>
          <w:color w:val="000000"/>
        </w:rPr>
      </w:pPr>
      <w:r w:rsidRPr="00641786">
        <w:rPr>
          <w:rStyle w:val="Textoennegrita"/>
          <w:rFonts w:ascii="Arial" w:hAnsi="Arial" w:cs="Arial"/>
          <w:color w:val="000000"/>
        </w:rPr>
        <w:t>Introducción:</w:t>
      </w:r>
      <w:r w:rsidRPr="00641786">
        <w:rPr>
          <w:rFonts w:ascii="Arial" w:hAnsi="Arial" w:cs="Arial"/>
          <w:color w:val="000000"/>
        </w:rPr>
        <w:br/>
      </w:r>
      <w:r w:rsidR="004D3A6F" w:rsidRPr="004D3A6F">
        <w:rPr>
          <w:rFonts w:ascii="Arial" w:hAnsi="Arial" w:cs="Arial"/>
          <w:color w:val="000000"/>
        </w:rPr>
        <w:t>La leucemia linfoblástica aguda (LLA) es la neoplasia maligna más frecuente en la edad pediátrica. Aunque las tasas de supervivencia en países de altos ingresos superan el 85%, en países de ingresos intermedios la mortalidad relacionada al tratamiento continúa siendo un desafío importante. En Colombia, donde la supervivencia no supera el 60%, es prioritario identificar las causas de muerte prevenible durante la inducción y en la primera remisión completa. Este estudio describe la mortalidad relacionada al tratamiento y sus factores asociados en pacientes pediátricos tratados con el protocolo BFM-ALLIC 2009 en el Instituto Nacional de Cancerología (INC)</w:t>
      </w:r>
    </w:p>
    <w:p w14:paraId="4712B540" w14:textId="77777777" w:rsidR="00641786" w:rsidRPr="00641786" w:rsidRDefault="00641786" w:rsidP="00641786">
      <w:pPr>
        <w:pStyle w:val="NormalWeb"/>
        <w:spacing w:before="0" w:beforeAutospacing="0" w:after="0" w:afterAutospacing="0"/>
        <w:jc w:val="both"/>
        <w:rPr>
          <w:rFonts w:ascii="Arial" w:hAnsi="Arial" w:cs="Arial"/>
          <w:color w:val="000000"/>
        </w:rPr>
      </w:pPr>
    </w:p>
    <w:p w14:paraId="67C33AC5" w14:textId="6FBC89E0" w:rsidR="00641786" w:rsidRPr="00641786" w:rsidRDefault="00641786" w:rsidP="00641786">
      <w:pPr>
        <w:pStyle w:val="NormalWeb"/>
        <w:spacing w:before="0" w:beforeAutospacing="0" w:after="0" w:afterAutospacing="0"/>
        <w:jc w:val="both"/>
        <w:rPr>
          <w:rFonts w:ascii="Arial" w:hAnsi="Arial" w:cs="Arial"/>
          <w:color w:val="000000"/>
        </w:rPr>
      </w:pPr>
      <w:r w:rsidRPr="00641786">
        <w:rPr>
          <w:rStyle w:val="Textoennegrita"/>
          <w:rFonts w:ascii="Arial" w:hAnsi="Arial" w:cs="Arial"/>
          <w:color w:val="000000"/>
        </w:rPr>
        <w:t>Métodos:</w:t>
      </w:r>
      <w:r w:rsidRPr="00641786">
        <w:rPr>
          <w:rFonts w:ascii="Arial" w:hAnsi="Arial" w:cs="Arial"/>
          <w:color w:val="000000"/>
        </w:rPr>
        <w:br/>
      </w:r>
      <w:r w:rsidR="004D3A6F" w:rsidRPr="004D3A6F">
        <w:rPr>
          <w:rFonts w:ascii="Arial" w:hAnsi="Arial" w:cs="Arial"/>
          <w:color w:val="000000"/>
        </w:rPr>
        <w:t>Estudio retrospectivo, observacional y descriptivo, que incluyó pacientes menores de 18 años con diagnóstico de LLA tratados con el protocolo BFM-ALLIC 2009 entre enero de 2017 y diciembre de 2022. Se analizaron características sociodemográficas, clínicas, respuesta temprana al tratamiento y desenlaces. Se calcularon tasas de mortalidad en inducción y en primera remisión completa, y se exploraron factores pronósticos mediante análisis univariado y multivariado.</w:t>
      </w:r>
    </w:p>
    <w:p w14:paraId="6F5FAD40" w14:textId="77777777" w:rsidR="00641786" w:rsidRPr="00641786" w:rsidRDefault="00641786" w:rsidP="00641786">
      <w:pPr>
        <w:pStyle w:val="NormalWeb"/>
        <w:spacing w:before="0" w:beforeAutospacing="0" w:after="0" w:afterAutospacing="0"/>
        <w:jc w:val="both"/>
        <w:rPr>
          <w:rFonts w:ascii="Arial" w:hAnsi="Arial" w:cs="Arial"/>
          <w:color w:val="000000"/>
        </w:rPr>
      </w:pPr>
    </w:p>
    <w:p w14:paraId="47B287F5" w14:textId="1942C028" w:rsidR="00641786" w:rsidRPr="00641786" w:rsidRDefault="00641786" w:rsidP="00641786">
      <w:pPr>
        <w:pStyle w:val="NormalWeb"/>
        <w:spacing w:before="0" w:beforeAutospacing="0" w:after="0" w:afterAutospacing="0"/>
        <w:jc w:val="both"/>
        <w:rPr>
          <w:rFonts w:ascii="Arial" w:hAnsi="Arial" w:cs="Arial"/>
          <w:color w:val="000000"/>
        </w:rPr>
      </w:pPr>
      <w:r w:rsidRPr="00641786">
        <w:rPr>
          <w:rStyle w:val="Textoennegrita"/>
          <w:rFonts w:ascii="Arial" w:hAnsi="Arial" w:cs="Arial"/>
          <w:color w:val="000000"/>
        </w:rPr>
        <w:t>Resultados:</w:t>
      </w:r>
      <w:r w:rsidRPr="00641786">
        <w:rPr>
          <w:rFonts w:ascii="Arial" w:hAnsi="Arial" w:cs="Arial"/>
          <w:color w:val="000000"/>
        </w:rPr>
        <w:br/>
      </w:r>
      <w:r w:rsidR="004D3A6F" w:rsidRPr="004D3A6F">
        <w:rPr>
          <w:rFonts w:ascii="Arial" w:hAnsi="Arial" w:cs="Arial"/>
          <w:color w:val="000000"/>
        </w:rPr>
        <w:t>Se evaluaron 176 pacientes; 35 (19.8%) fallecieron durante el seguimiento, y 21 muertes (12%) fueron clasificadas como mortalidad relacionada al tratamiento. La causa predominante fue sepsis asociada a neutropenia febril (85%). La mayoría de las muertes ocurrieron durante fases de mayor intensidad terapéutica: 47% en IA y 9.5% en IB. La</w:t>
      </w:r>
      <w:r w:rsidR="004D3A6F">
        <w:rPr>
          <w:rFonts w:ascii="Arial" w:hAnsi="Arial" w:cs="Arial"/>
          <w:color w:val="000000"/>
        </w:rPr>
        <w:t xml:space="preserve"> mala</w:t>
      </w:r>
      <w:r w:rsidR="004D3A6F" w:rsidRPr="004D3A6F">
        <w:rPr>
          <w:rFonts w:ascii="Arial" w:hAnsi="Arial" w:cs="Arial"/>
          <w:color w:val="000000"/>
        </w:rPr>
        <w:t xml:space="preserve"> respuesta al día 15 se identificó como el principal predictor independiente de mortalidad (HR 1.669; p = 0.002). El inmunofenotipo T mostró asociación significativa únicamente en el análisis univariado (p = 0.049). La remisión completa se alcanzó en el 92% de todos los pacientes y en el 67% del grupo fallecido. Se documentaron además dos muertes de causa no determinada, incluido un caso durante mantenimiento.</w:t>
      </w:r>
    </w:p>
    <w:p w14:paraId="70CF0F57" w14:textId="77777777" w:rsidR="00641786" w:rsidRPr="00641786" w:rsidRDefault="00641786" w:rsidP="00641786">
      <w:pPr>
        <w:pStyle w:val="NormalWeb"/>
        <w:spacing w:before="0" w:beforeAutospacing="0" w:after="0" w:afterAutospacing="0"/>
        <w:jc w:val="both"/>
        <w:rPr>
          <w:rFonts w:ascii="Arial" w:hAnsi="Arial" w:cs="Arial"/>
          <w:color w:val="000000"/>
        </w:rPr>
      </w:pPr>
    </w:p>
    <w:p w14:paraId="7C45CBAA" w14:textId="7A77308F" w:rsidR="00047D47" w:rsidRPr="00641786" w:rsidRDefault="00641786" w:rsidP="00641786">
      <w:pPr>
        <w:pStyle w:val="NormalWeb"/>
        <w:spacing w:before="0" w:beforeAutospacing="0" w:after="0" w:afterAutospacing="0"/>
        <w:jc w:val="both"/>
        <w:rPr>
          <w:rFonts w:ascii="Arial" w:hAnsi="Arial" w:cs="Arial"/>
          <w:color w:val="000000"/>
        </w:rPr>
      </w:pPr>
      <w:r w:rsidRPr="00641786">
        <w:rPr>
          <w:rStyle w:val="Textoennegrita"/>
          <w:rFonts w:ascii="Arial" w:hAnsi="Arial" w:cs="Arial"/>
          <w:color w:val="000000"/>
        </w:rPr>
        <w:t>Conclusiones:</w:t>
      </w:r>
      <w:r w:rsidRPr="00641786">
        <w:rPr>
          <w:rFonts w:ascii="Arial" w:hAnsi="Arial" w:cs="Arial"/>
          <w:color w:val="000000"/>
        </w:rPr>
        <w:br/>
      </w:r>
      <w:r w:rsidR="004D3A6F" w:rsidRPr="004D3A6F">
        <w:rPr>
          <w:rFonts w:ascii="Arial" w:hAnsi="Arial" w:cs="Arial"/>
          <w:color w:val="000000"/>
        </w:rPr>
        <w:t>La mortalidad relacionada al tratamiento (12%) fue mayor que la reportada en países de altos ingresos, pero consistente con lo observado en Latinoamérica. La sepsis con neutropenia febril fue la principal causa de muerte, concentrándose en fases de intensa quimioterapia. La respuesta al día 15 emergió como el predictor más relevante de mortalidad, lo que resalta la importancia de un soporte intensificado en pacientes con respuesta temprana lenta. Estos hallazgos subrayan la necesidad de fortalecer las estrategias de manejo infeccioso, vigilancia estrecha y optimización del soporte crítico para reducir muertes prevenibles en entornos de recursos intermedios</w:t>
      </w:r>
    </w:p>
    <w:p w14:paraId="6E6133A0" w14:textId="77777777" w:rsidR="00641786" w:rsidRPr="00641786" w:rsidRDefault="00641786" w:rsidP="00641786">
      <w:pPr>
        <w:pStyle w:val="NormalWeb"/>
        <w:spacing w:before="0" w:beforeAutospacing="0" w:after="0" w:afterAutospacing="0"/>
        <w:rPr>
          <w:color w:val="000000"/>
        </w:rPr>
      </w:pPr>
    </w:p>
    <w:p w14:paraId="1CA34088" w14:textId="119B5792" w:rsidR="00047D47" w:rsidRPr="000C0B9E" w:rsidRDefault="00C91753" w:rsidP="00641786">
      <w:pPr>
        <w:spacing w:line="240" w:lineRule="auto"/>
        <w:rPr>
          <w:sz w:val="24"/>
          <w:szCs w:val="24"/>
        </w:rPr>
      </w:pPr>
      <w:r w:rsidRPr="000C0B9E">
        <w:rPr>
          <w:b/>
          <w:sz w:val="24"/>
          <w:szCs w:val="24"/>
        </w:rPr>
        <w:t xml:space="preserve">Palabras clave: </w:t>
      </w:r>
    </w:p>
    <w:p w14:paraId="3DEF59FA" w14:textId="77777777" w:rsidR="00047D47" w:rsidRPr="000C0B9E" w:rsidRDefault="00047D47" w:rsidP="00641786">
      <w:pPr>
        <w:spacing w:line="240" w:lineRule="auto"/>
        <w:rPr>
          <w:sz w:val="24"/>
          <w:szCs w:val="24"/>
        </w:rPr>
      </w:pPr>
    </w:p>
    <w:p w14:paraId="225BAAFB" w14:textId="4298A7D9" w:rsidR="00047D47" w:rsidRPr="000C0B9E" w:rsidRDefault="004D3A6F" w:rsidP="00641786">
      <w:pPr>
        <w:spacing w:line="240" w:lineRule="auto"/>
        <w:rPr>
          <w:sz w:val="24"/>
          <w:szCs w:val="24"/>
        </w:rPr>
      </w:pPr>
      <w:r w:rsidRPr="004D3A6F">
        <w:rPr>
          <w:sz w:val="24"/>
          <w:szCs w:val="24"/>
        </w:rPr>
        <w:t xml:space="preserve">Leucemia </w:t>
      </w:r>
      <w:proofErr w:type="spellStart"/>
      <w:r w:rsidRPr="004D3A6F">
        <w:rPr>
          <w:sz w:val="24"/>
          <w:szCs w:val="24"/>
        </w:rPr>
        <w:t>linfoblástica</w:t>
      </w:r>
      <w:proofErr w:type="spellEnd"/>
      <w:r w:rsidRPr="004D3A6F">
        <w:rPr>
          <w:sz w:val="24"/>
          <w:szCs w:val="24"/>
        </w:rPr>
        <w:t xml:space="preserve"> aguda, mortalidad relacionada al tratamiento, muerte en inducción, pediatría, sepsis</w:t>
      </w:r>
      <w:r>
        <w:rPr>
          <w:sz w:val="24"/>
          <w:szCs w:val="24"/>
        </w:rPr>
        <w:t>.</w:t>
      </w:r>
    </w:p>
    <w:p w14:paraId="31BB2CE3" w14:textId="77777777" w:rsidR="00047D47" w:rsidRPr="000C0B9E" w:rsidRDefault="00047D47" w:rsidP="000C0B9E">
      <w:pPr>
        <w:spacing w:line="240" w:lineRule="auto"/>
        <w:rPr>
          <w:sz w:val="24"/>
          <w:szCs w:val="24"/>
        </w:rPr>
      </w:pPr>
    </w:p>
    <w:p w14:paraId="017F4536" w14:textId="77777777" w:rsidR="00047D47" w:rsidRPr="000C0B9E" w:rsidRDefault="00047D47" w:rsidP="000C0B9E">
      <w:pPr>
        <w:spacing w:line="240" w:lineRule="auto"/>
        <w:rPr>
          <w:sz w:val="24"/>
          <w:szCs w:val="24"/>
        </w:rPr>
      </w:pPr>
    </w:p>
    <w:p w14:paraId="0A8ECED6" w14:textId="77777777" w:rsidR="00047D47" w:rsidRPr="000C0B9E" w:rsidRDefault="00047D47" w:rsidP="000C0B9E">
      <w:pPr>
        <w:spacing w:line="240" w:lineRule="auto"/>
        <w:rPr>
          <w:sz w:val="24"/>
          <w:szCs w:val="24"/>
        </w:rPr>
      </w:pPr>
    </w:p>
    <w:p w14:paraId="049BAC93" w14:textId="77777777" w:rsidR="00E6428B" w:rsidRDefault="00E6428B" w:rsidP="000C0B9E">
      <w:pPr>
        <w:spacing w:line="240" w:lineRule="auto"/>
        <w:rPr>
          <w:sz w:val="24"/>
          <w:szCs w:val="24"/>
        </w:rPr>
      </w:pPr>
    </w:p>
    <w:p w14:paraId="75C85BCE" w14:textId="2783C14F" w:rsidR="00047D47" w:rsidRPr="00E6428B" w:rsidRDefault="00C91753" w:rsidP="00E6428B">
      <w:pPr>
        <w:spacing w:line="240" w:lineRule="auto"/>
        <w:jc w:val="both"/>
        <w:rPr>
          <w:b/>
          <w:sz w:val="24"/>
          <w:szCs w:val="24"/>
        </w:rPr>
      </w:pPr>
      <w:proofErr w:type="spellStart"/>
      <w:r w:rsidRPr="00E6428B">
        <w:rPr>
          <w:b/>
          <w:sz w:val="24"/>
          <w:szCs w:val="24"/>
        </w:rPr>
        <w:t>Abstract</w:t>
      </w:r>
      <w:proofErr w:type="spellEnd"/>
      <w:r w:rsidRPr="00E6428B">
        <w:rPr>
          <w:b/>
          <w:sz w:val="24"/>
          <w:szCs w:val="24"/>
        </w:rPr>
        <w:t>:</w:t>
      </w:r>
    </w:p>
    <w:p w14:paraId="2276E845" w14:textId="77777777" w:rsidR="00047D47" w:rsidRPr="00E6428B" w:rsidRDefault="00047D47" w:rsidP="00E6428B">
      <w:pPr>
        <w:spacing w:line="240" w:lineRule="auto"/>
        <w:jc w:val="both"/>
        <w:rPr>
          <w:b/>
          <w:sz w:val="24"/>
          <w:szCs w:val="24"/>
        </w:rPr>
      </w:pPr>
    </w:p>
    <w:p w14:paraId="04E22FE2" w14:textId="2BFC2944" w:rsidR="00E6428B" w:rsidRPr="004D3A6F" w:rsidRDefault="00E6428B" w:rsidP="00E6428B">
      <w:pPr>
        <w:pStyle w:val="NormalWeb"/>
        <w:spacing w:before="0" w:beforeAutospacing="0" w:after="0" w:afterAutospacing="0"/>
        <w:jc w:val="both"/>
        <w:rPr>
          <w:rFonts w:ascii="Arial" w:hAnsi="Arial" w:cs="Arial"/>
          <w:color w:val="000000"/>
          <w:lang w:val="en-US"/>
        </w:rPr>
      </w:pPr>
      <w:r w:rsidRPr="004D3A6F">
        <w:rPr>
          <w:rStyle w:val="Textoennegrita"/>
          <w:rFonts w:ascii="Arial" w:hAnsi="Arial" w:cs="Arial"/>
          <w:color w:val="000000"/>
          <w:lang w:val="en-US"/>
        </w:rPr>
        <w:t>Introduction:</w:t>
      </w:r>
      <w:r w:rsidRPr="004D3A6F">
        <w:rPr>
          <w:rFonts w:ascii="Arial" w:hAnsi="Arial" w:cs="Arial"/>
          <w:color w:val="000000"/>
          <w:lang w:val="en-US"/>
        </w:rPr>
        <w:br/>
      </w:r>
      <w:r w:rsidR="004D3A6F" w:rsidRPr="004D3A6F">
        <w:rPr>
          <w:rFonts w:ascii="Arial" w:hAnsi="Arial" w:cs="Arial"/>
          <w:color w:val="000000"/>
          <w:lang w:val="en-US"/>
        </w:rPr>
        <w:t>Acute lymphoblastic leukemia (ALL) is the most common malignancy in the pediatric population. While survival rates in high-income countries exceed 85%, treatment-related mortality (TRM) remains a major challenge in low- and middle-income settings. In Colombia, where survival rates do not surpass 60%, identifying preventable causes of early mortality—particularly during induction and first complete remission—is a critical priority. This study describes TRM and associated factors in pediatric patients treated with the BFM-ALLIC 2009 protocol at the National Cancer Institute (INC) of Colombia.</w:t>
      </w:r>
    </w:p>
    <w:p w14:paraId="3799320A" w14:textId="77777777" w:rsidR="00E6428B" w:rsidRPr="004D3A6F" w:rsidRDefault="00E6428B" w:rsidP="00E6428B">
      <w:pPr>
        <w:pStyle w:val="NormalWeb"/>
        <w:spacing w:before="0" w:beforeAutospacing="0" w:after="0" w:afterAutospacing="0"/>
        <w:jc w:val="both"/>
        <w:rPr>
          <w:rFonts w:ascii="Arial" w:hAnsi="Arial" w:cs="Arial"/>
          <w:color w:val="000000"/>
          <w:lang w:val="en-US"/>
        </w:rPr>
      </w:pPr>
    </w:p>
    <w:p w14:paraId="74539BBC" w14:textId="703ED3AB" w:rsidR="00E6428B" w:rsidRPr="004D3A6F" w:rsidRDefault="00E6428B" w:rsidP="00E6428B">
      <w:pPr>
        <w:pStyle w:val="NormalWeb"/>
        <w:spacing w:before="0" w:beforeAutospacing="0" w:after="0" w:afterAutospacing="0"/>
        <w:jc w:val="both"/>
        <w:rPr>
          <w:rFonts w:ascii="Arial" w:hAnsi="Arial" w:cs="Arial"/>
          <w:color w:val="000000"/>
          <w:lang w:val="en-US"/>
        </w:rPr>
      </w:pPr>
      <w:r w:rsidRPr="004D3A6F">
        <w:rPr>
          <w:rStyle w:val="Textoennegrita"/>
          <w:rFonts w:ascii="Arial" w:hAnsi="Arial" w:cs="Arial"/>
          <w:color w:val="000000"/>
          <w:lang w:val="en-US"/>
        </w:rPr>
        <w:t>Methods:</w:t>
      </w:r>
      <w:r w:rsidRPr="004D3A6F">
        <w:rPr>
          <w:rFonts w:ascii="Arial" w:hAnsi="Arial" w:cs="Arial"/>
          <w:color w:val="000000"/>
          <w:lang w:val="en-US"/>
        </w:rPr>
        <w:br/>
      </w:r>
      <w:r w:rsidR="004D3A6F" w:rsidRPr="004D3A6F">
        <w:rPr>
          <w:rFonts w:ascii="Arial" w:hAnsi="Arial" w:cs="Arial"/>
          <w:color w:val="000000"/>
          <w:lang w:val="en-US"/>
        </w:rPr>
        <w:t>A retrospective, observational, descriptive study was conducted including patients under 18 years of age diagnosed with ALL and treated with the BFM-ALLIC 2009 protocol between January 2017 and December 2022. Sociodemographic, clinical, and treatment response variables were analyzed. Incidence of induction deaths and TRM in first complete remission were calculated. Predictive factors were explored through univariate and multivariate analyses</w:t>
      </w:r>
      <w:r w:rsidR="004D3A6F">
        <w:rPr>
          <w:rFonts w:ascii="Arial" w:hAnsi="Arial" w:cs="Arial"/>
          <w:color w:val="000000"/>
          <w:lang w:val="en-US"/>
        </w:rPr>
        <w:t>.</w:t>
      </w:r>
    </w:p>
    <w:p w14:paraId="1FE00914" w14:textId="77777777" w:rsidR="00E6428B" w:rsidRPr="004D3A6F" w:rsidRDefault="00E6428B" w:rsidP="00E6428B">
      <w:pPr>
        <w:pStyle w:val="NormalWeb"/>
        <w:spacing w:before="0" w:beforeAutospacing="0" w:after="0" w:afterAutospacing="0"/>
        <w:jc w:val="both"/>
        <w:rPr>
          <w:rFonts w:ascii="Arial" w:hAnsi="Arial" w:cs="Arial"/>
          <w:color w:val="000000"/>
          <w:lang w:val="en-US"/>
        </w:rPr>
      </w:pPr>
    </w:p>
    <w:p w14:paraId="468A62B3" w14:textId="3CE1D0E5" w:rsidR="00E6428B" w:rsidRPr="004D3A6F" w:rsidRDefault="00E6428B" w:rsidP="00E6428B">
      <w:pPr>
        <w:pStyle w:val="NormalWeb"/>
        <w:spacing w:before="0" w:beforeAutospacing="0" w:after="0" w:afterAutospacing="0"/>
        <w:jc w:val="both"/>
        <w:rPr>
          <w:rFonts w:ascii="Arial" w:hAnsi="Arial" w:cs="Arial"/>
          <w:color w:val="000000"/>
          <w:lang w:val="en-US"/>
        </w:rPr>
      </w:pPr>
      <w:r w:rsidRPr="004D3A6F">
        <w:rPr>
          <w:rStyle w:val="Textoennegrita"/>
          <w:rFonts w:ascii="Arial" w:hAnsi="Arial" w:cs="Arial"/>
          <w:color w:val="000000"/>
          <w:lang w:val="en-US"/>
        </w:rPr>
        <w:t>Results:</w:t>
      </w:r>
      <w:r w:rsidRPr="004D3A6F">
        <w:rPr>
          <w:rFonts w:ascii="Arial" w:hAnsi="Arial" w:cs="Arial"/>
          <w:color w:val="000000"/>
          <w:lang w:val="en-US"/>
        </w:rPr>
        <w:br/>
      </w:r>
      <w:r w:rsidR="004D3A6F" w:rsidRPr="004D3A6F">
        <w:rPr>
          <w:rFonts w:ascii="Arial" w:hAnsi="Arial" w:cs="Arial"/>
          <w:color w:val="000000"/>
          <w:lang w:val="en-US"/>
        </w:rPr>
        <w:t xml:space="preserve">A total of 176 patients were included; 35 (19.8%) died during follow-up, and 21 deaths (12%) were classified as treatment-related. The leading cause of TRM was sepsis associated with febrile neutropenia (85%). Most deaths occurred during phases of highest treatment intensity: 47% in IA and 9.5% in IB. Slow response on day 15 was identified as the strongest independent predictor of mortality (HR 1.669; p = 0.002). T-cell </w:t>
      </w:r>
      <w:proofErr w:type="spellStart"/>
      <w:r w:rsidR="004D3A6F" w:rsidRPr="004D3A6F">
        <w:rPr>
          <w:rFonts w:ascii="Arial" w:hAnsi="Arial" w:cs="Arial"/>
          <w:color w:val="000000"/>
          <w:lang w:val="en-US"/>
        </w:rPr>
        <w:t>immunophenotype</w:t>
      </w:r>
      <w:proofErr w:type="spellEnd"/>
      <w:r w:rsidR="004D3A6F" w:rsidRPr="004D3A6F">
        <w:rPr>
          <w:rFonts w:ascii="Arial" w:hAnsi="Arial" w:cs="Arial"/>
          <w:color w:val="000000"/>
          <w:lang w:val="en-US"/>
        </w:rPr>
        <w:t xml:space="preserve"> showed significant association only in univariate analysis (p = 0.049). Complete remission was achieved in 92% of all patients but only in 67% of those who died. Two deaths of unknown cause were documented, including one during maintenance</w:t>
      </w:r>
    </w:p>
    <w:p w14:paraId="6CDA1765" w14:textId="77777777" w:rsidR="00E6428B" w:rsidRPr="004D3A6F" w:rsidRDefault="00E6428B" w:rsidP="00E6428B">
      <w:pPr>
        <w:pStyle w:val="NormalWeb"/>
        <w:spacing w:before="0" w:beforeAutospacing="0" w:after="0" w:afterAutospacing="0"/>
        <w:jc w:val="both"/>
        <w:rPr>
          <w:rFonts w:ascii="Arial" w:hAnsi="Arial" w:cs="Arial"/>
          <w:color w:val="000000"/>
          <w:lang w:val="en-US"/>
        </w:rPr>
      </w:pPr>
    </w:p>
    <w:p w14:paraId="45F939FB" w14:textId="17F2B02D" w:rsidR="00E6428B" w:rsidRPr="004D3A6F" w:rsidRDefault="00E6428B" w:rsidP="00E6428B">
      <w:pPr>
        <w:pStyle w:val="NormalWeb"/>
        <w:spacing w:before="0" w:beforeAutospacing="0" w:after="0" w:afterAutospacing="0"/>
        <w:jc w:val="both"/>
        <w:rPr>
          <w:rFonts w:ascii="Arial" w:hAnsi="Arial" w:cs="Arial"/>
          <w:color w:val="000000"/>
          <w:lang w:val="en-US"/>
        </w:rPr>
      </w:pPr>
      <w:r w:rsidRPr="004D3A6F">
        <w:rPr>
          <w:rStyle w:val="Textoennegrita"/>
          <w:rFonts w:ascii="Arial" w:hAnsi="Arial" w:cs="Arial"/>
          <w:color w:val="000000"/>
          <w:lang w:val="en-US"/>
        </w:rPr>
        <w:t>Conclusions:</w:t>
      </w:r>
      <w:r w:rsidRPr="004D3A6F">
        <w:rPr>
          <w:rFonts w:ascii="Arial" w:hAnsi="Arial" w:cs="Arial"/>
          <w:color w:val="000000"/>
          <w:lang w:val="en-US"/>
        </w:rPr>
        <w:br/>
      </w:r>
      <w:r w:rsidR="004D3A6F" w:rsidRPr="004D3A6F">
        <w:rPr>
          <w:rFonts w:ascii="Arial" w:hAnsi="Arial" w:cs="Arial"/>
          <w:color w:val="000000"/>
          <w:lang w:val="en-US"/>
        </w:rPr>
        <w:t>The TRM rate of 12% exceeded that reported in high-income countries but was consistent with data from other Latin American cohorts. Sepsis with febrile neutropenia was the predominant cause of death, particularly during high-intensity chemotherapy phases. Day-15 treatment response emerged as the key independent predictor of mortality, highlighting the need for intensified supportive care in patients with slow early response. These findings emphasize the urgency of strengthening infectious risk management, early warning systems, and access to critical care to reduce preventable mortality in resource-limited settings.</w:t>
      </w:r>
    </w:p>
    <w:p w14:paraId="533AFB25" w14:textId="77777777" w:rsidR="00047D47" w:rsidRPr="004D3A6F" w:rsidRDefault="00047D47" w:rsidP="00E6428B">
      <w:pPr>
        <w:spacing w:line="240" w:lineRule="auto"/>
        <w:jc w:val="both"/>
        <w:rPr>
          <w:b/>
          <w:sz w:val="24"/>
          <w:szCs w:val="24"/>
          <w:lang w:val="en-US"/>
        </w:rPr>
      </w:pPr>
    </w:p>
    <w:p w14:paraId="18C1922F" w14:textId="41756448" w:rsidR="00047D47" w:rsidRPr="004D3A6F" w:rsidRDefault="00C91753" w:rsidP="00E6428B">
      <w:pPr>
        <w:spacing w:line="240" w:lineRule="auto"/>
        <w:jc w:val="both"/>
        <w:rPr>
          <w:sz w:val="24"/>
          <w:szCs w:val="24"/>
          <w:lang w:val="en-US"/>
        </w:rPr>
      </w:pPr>
      <w:r w:rsidRPr="004D3A6F">
        <w:rPr>
          <w:b/>
          <w:sz w:val="24"/>
          <w:szCs w:val="24"/>
          <w:lang w:val="en-US"/>
        </w:rPr>
        <w:t>Key words:</w:t>
      </w:r>
      <w:r w:rsidRPr="004D3A6F">
        <w:rPr>
          <w:sz w:val="24"/>
          <w:szCs w:val="24"/>
          <w:lang w:val="en-US"/>
        </w:rPr>
        <w:t xml:space="preserve"> </w:t>
      </w:r>
    </w:p>
    <w:p w14:paraId="5511E373" w14:textId="77777777" w:rsidR="00047D47" w:rsidRPr="004D3A6F" w:rsidRDefault="00047D47" w:rsidP="00E6428B">
      <w:pPr>
        <w:spacing w:line="240" w:lineRule="auto"/>
        <w:jc w:val="both"/>
        <w:rPr>
          <w:sz w:val="24"/>
          <w:szCs w:val="24"/>
          <w:lang w:val="en-US"/>
        </w:rPr>
      </w:pPr>
    </w:p>
    <w:p w14:paraId="2A4F8C78" w14:textId="358B7873" w:rsidR="00047D47" w:rsidRPr="004D3A6F" w:rsidRDefault="004D3A6F" w:rsidP="00E6428B">
      <w:pPr>
        <w:spacing w:line="240" w:lineRule="auto"/>
        <w:jc w:val="both"/>
        <w:rPr>
          <w:sz w:val="24"/>
          <w:szCs w:val="24"/>
          <w:lang w:val="en-US"/>
        </w:rPr>
      </w:pPr>
      <w:r w:rsidRPr="004D3A6F">
        <w:rPr>
          <w:sz w:val="24"/>
          <w:szCs w:val="24"/>
          <w:lang w:val="en-US"/>
        </w:rPr>
        <w:t>Acute lymphoblastic leukemia; treatment-related mortality; induction death; pediatric oncology; sepsis</w:t>
      </w:r>
      <w:r>
        <w:rPr>
          <w:sz w:val="24"/>
          <w:szCs w:val="24"/>
          <w:lang w:val="en-US"/>
        </w:rPr>
        <w:t>.</w:t>
      </w:r>
    </w:p>
    <w:p w14:paraId="48CC9B54" w14:textId="77777777" w:rsidR="00047D47" w:rsidRPr="004D3A6F" w:rsidRDefault="00047D47" w:rsidP="000C0B9E">
      <w:pPr>
        <w:spacing w:line="240" w:lineRule="auto"/>
        <w:rPr>
          <w:sz w:val="24"/>
          <w:szCs w:val="24"/>
          <w:lang w:val="en-US"/>
        </w:rPr>
      </w:pPr>
    </w:p>
    <w:p w14:paraId="6C6FC725" w14:textId="77777777" w:rsidR="00047D47" w:rsidRPr="004D3A6F" w:rsidRDefault="00047D47" w:rsidP="000C0B9E">
      <w:pPr>
        <w:spacing w:line="240" w:lineRule="auto"/>
        <w:rPr>
          <w:sz w:val="24"/>
          <w:szCs w:val="24"/>
          <w:lang w:val="en-US"/>
        </w:rPr>
      </w:pPr>
    </w:p>
    <w:p w14:paraId="41F8AAFA" w14:textId="77777777" w:rsidR="00E6428B" w:rsidRPr="004D3A6F" w:rsidRDefault="00E6428B" w:rsidP="000C0B9E">
      <w:pPr>
        <w:spacing w:line="240" w:lineRule="auto"/>
        <w:rPr>
          <w:sz w:val="24"/>
          <w:szCs w:val="24"/>
          <w:lang w:val="en-US"/>
        </w:rPr>
      </w:pPr>
    </w:p>
    <w:sdt>
      <w:sdtPr>
        <w:rPr>
          <w:rFonts w:ascii="Arial" w:eastAsia="Arial" w:hAnsi="Arial" w:cs="Arial"/>
          <w:b w:val="0"/>
          <w:bCs w:val="0"/>
          <w:color w:val="auto"/>
          <w:sz w:val="24"/>
          <w:szCs w:val="24"/>
          <w:lang w:val="es-ES"/>
        </w:rPr>
        <w:id w:val="-1281106776"/>
        <w:docPartObj>
          <w:docPartGallery w:val="Table of Contents"/>
          <w:docPartUnique/>
        </w:docPartObj>
      </w:sdtPr>
      <w:sdtEndPr>
        <w:rPr>
          <w:noProof/>
          <w:lang w:val="es"/>
        </w:rPr>
      </w:sdtEndPr>
      <w:sdtContent>
        <w:p w14:paraId="7DB33CAE" w14:textId="6B23DC95" w:rsidR="0004759F" w:rsidRPr="0034149E" w:rsidRDefault="0004759F">
          <w:pPr>
            <w:pStyle w:val="TtuloTDC"/>
            <w:rPr>
              <w:rFonts w:ascii="Arial" w:hAnsi="Arial" w:cs="Arial"/>
              <w:color w:val="auto"/>
              <w:sz w:val="24"/>
              <w:szCs w:val="24"/>
            </w:rPr>
          </w:pPr>
          <w:r w:rsidRPr="0034149E">
            <w:rPr>
              <w:rFonts w:ascii="Arial" w:hAnsi="Arial" w:cs="Arial"/>
              <w:color w:val="auto"/>
              <w:sz w:val="24"/>
              <w:szCs w:val="24"/>
              <w:lang w:val="es-ES"/>
            </w:rPr>
            <w:t>Tabla de contenido</w:t>
          </w:r>
        </w:p>
        <w:p w14:paraId="5E4DF96E" w14:textId="294A4316" w:rsidR="00EA6771" w:rsidRDefault="0004759F">
          <w:pPr>
            <w:pStyle w:val="TDC1"/>
            <w:tabs>
              <w:tab w:val="right" w:leader="dot" w:pos="9019"/>
            </w:tabs>
            <w:rPr>
              <w:rFonts w:eastAsiaTheme="minorEastAsia" w:cstheme="minorBidi"/>
              <w:b w:val="0"/>
              <w:bCs w:val="0"/>
              <w:i w:val="0"/>
              <w:iCs w:val="0"/>
              <w:noProof/>
              <w:sz w:val="22"/>
              <w:szCs w:val="22"/>
              <w:lang w:val="es-CO" w:eastAsia="es-CO"/>
            </w:rPr>
          </w:pPr>
          <w:r w:rsidRPr="00807136">
            <w:rPr>
              <w:rFonts w:ascii="Arial" w:hAnsi="Arial"/>
              <w:b w:val="0"/>
              <w:bCs w:val="0"/>
            </w:rPr>
            <w:fldChar w:fldCharType="begin"/>
          </w:r>
          <w:r w:rsidRPr="00807136">
            <w:rPr>
              <w:rFonts w:ascii="Arial" w:hAnsi="Arial"/>
            </w:rPr>
            <w:instrText>TOC \o "1-3" \h \z \u</w:instrText>
          </w:r>
          <w:r w:rsidRPr="00807136">
            <w:rPr>
              <w:rFonts w:ascii="Arial" w:hAnsi="Arial"/>
              <w:b w:val="0"/>
              <w:bCs w:val="0"/>
            </w:rPr>
            <w:fldChar w:fldCharType="separate"/>
          </w:r>
          <w:hyperlink w:anchor="_Toc213145978" w:history="1">
            <w:r w:rsidR="00EA6771" w:rsidRPr="00B0699B">
              <w:rPr>
                <w:rStyle w:val="Hipervnculo"/>
                <w:noProof/>
              </w:rPr>
              <w:t>Introducción:</w:t>
            </w:r>
            <w:r w:rsidR="00EA6771">
              <w:rPr>
                <w:noProof/>
                <w:webHidden/>
              </w:rPr>
              <w:tab/>
            </w:r>
            <w:r w:rsidR="00EA6771">
              <w:rPr>
                <w:noProof/>
                <w:webHidden/>
              </w:rPr>
              <w:fldChar w:fldCharType="begin"/>
            </w:r>
            <w:r w:rsidR="00EA6771">
              <w:rPr>
                <w:noProof/>
                <w:webHidden/>
              </w:rPr>
              <w:instrText xml:space="preserve"> PAGEREF _Toc213145978 \h </w:instrText>
            </w:r>
            <w:r w:rsidR="00EA6771">
              <w:rPr>
                <w:noProof/>
                <w:webHidden/>
              </w:rPr>
            </w:r>
            <w:r w:rsidR="00EA6771">
              <w:rPr>
                <w:noProof/>
                <w:webHidden/>
              </w:rPr>
              <w:fldChar w:fldCharType="separate"/>
            </w:r>
            <w:r w:rsidR="00EA6771">
              <w:rPr>
                <w:noProof/>
                <w:webHidden/>
              </w:rPr>
              <w:t>6</w:t>
            </w:r>
            <w:r w:rsidR="00EA6771">
              <w:rPr>
                <w:noProof/>
                <w:webHidden/>
              </w:rPr>
              <w:fldChar w:fldCharType="end"/>
            </w:r>
          </w:hyperlink>
        </w:p>
        <w:p w14:paraId="7066E878" w14:textId="5245D32A" w:rsidR="00EA6771" w:rsidRDefault="00F2597A">
          <w:pPr>
            <w:pStyle w:val="TDC1"/>
            <w:tabs>
              <w:tab w:val="right" w:leader="dot" w:pos="9019"/>
            </w:tabs>
            <w:rPr>
              <w:rFonts w:eastAsiaTheme="minorEastAsia" w:cstheme="minorBidi"/>
              <w:b w:val="0"/>
              <w:bCs w:val="0"/>
              <w:i w:val="0"/>
              <w:iCs w:val="0"/>
              <w:noProof/>
              <w:sz w:val="22"/>
              <w:szCs w:val="22"/>
              <w:lang w:val="es-CO" w:eastAsia="es-CO"/>
            </w:rPr>
          </w:pPr>
          <w:hyperlink w:anchor="_Toc213145979" w:history="1">
            <w:r w:rsidR="00EA6771" w:rsidRPr="00B0699B">
              <w:rPr>
                <w:rStyle w:val="Hipervnculo"/>
                <w:noProof/>
              </w:rPr>
              <w:t>Objetivos:</w:t>
            </w:r>
            <w:r w:rsidR="00EA6771">
              <w:rPr>
                <w:noProof/>
                <w:webHidden/>
              </w:rPr>
              <w:tab/>
            </w:r>
            <w:r w:rsidR="00EA6771">
              <w:rPr>
                <w:noProof/>
                <w:webHidden/>
              </w:rPr>
              <w:fldChar w:fldCharType="begin"/>
            </w:r>
            <w:r w:rsidR="00EA6771">
              <w:rPr>
                <w:noProof/>
                <w:webHidden/>
              </w:rPr>
              <w:instrText xml:space="preserve"> PAGEREF _Toc213145979 \h </w:instrText>
            </w:r>
            <w:r w:rsidR="00EA6771">
              <w:rPr>
                <w:noProof/>
                <w:webHidden/>
              </w:rPr>
            </w:r>
            <w:r w:rsidR="00EA6771">
              <w:rPr>
                <w:noProof/>
                <w:webHidden/>
              </w:rPr>
              <w:fldChar w:fldCharType="separate"/>
            </w:r>
            <w:r w:rsidR="00EA6771">
              <w:rPr>
                <w:noProof/>
                <w:webHidden/>
              </w:rPr>
              <w:t>7</w:t>
            </w:r>
            <w:r w:rsidR="00EA6771">
              <w:rPr>
                <w:noProof/>
                <w:webHidden/>
              </w:rPr>
              <w:fldChar w:fldCharType="end"/>
            </w:r>
          </w:hyperlink>
        </w:p>
        <w:p w14:paraId="36F138EF" w14:textId="75C00257" w:rsidR="00EA6771" w:rsidRDefault="00F2597A">
          <w:pPr>
            <w:pStyle w:val="TDC2"/>
            <w:tabs>
              <w:tab w:val="right" w:leader="dot" w:pos="9019"/>
            </w:tabs>
            <w:rPr>
              <w:rFonts w:eastAsiaTheme="minorEastAsia" w:cstheme="minorBidi"/>
              <w:b w:val="0"/>
              <w:bCs w:val="0"/>
              <w:noProof/>
              <w:lang w:val="es-CO" w:eastAsia="es-CO"/>
            </w:rPr>
          </w:pPr>
          <w:hyperlink w:anchor="_Toc213145980" w:history="1">
            <w:r w:rsidR="00EA6771" w:rsidRPr="00B0699B">
              <w:rPr>
                <w:rStyle w:val="Hipervnculo"/>
                <w:noProof/>
              </w:rPr>
              <w:t>Objetivo general:</w:t>
            </w:r>
            <w:r w:rsidR="00EA6771">
              <w:rPr>
                <w:noProof/>
                <w:webHidden/>
              </w:rPr>
              <w:tab/>
            </w:r>
            <w:r w:rsidR="00EA6771">
              <w:rPr>
                <w:noProof/>
                <w:webHidden/>
              </w:rPr>
              <w:fldChar w:fldCharType="begin"/>
            </w:r>
            <w:r w:rsidR="00EA6771">
              <w:rPr>
                <w:noProof/>
                <w:webHidden/>
              </w:rPr>
              <w:instrText xml:space="preserve"> PAGEREF _Toc213145980 \h </w:instrText>
            </w:r>
            <w:r w:rsidR="00EA6771">
              <w:rPr>
                <w:noProof/>
                <w:webHidden/>
              </w:rPr>
            </w:r>
            <w:r w:rsidR="00EA6771">
              <w:rPr>
                <w:noProof/>
                <w:webHidden/>
              </w:rPr>
              <w:fldChar w:fldCharType="separate"/>
            </w:r>
            <w:r w:rsidR="00EA6771">
              <w:rPr>
                <w:noProof/>
                <w:webHidden/>
              </w:rPr>
              <w:t>7</w:t>
            </w:r>
            <w:r w:rsidR="00EA6771">
              <w:rPr>
                <w:noProof/>
                <w:webHidden/>
              </w:rPr>
              <w:fldChar w:fldCharType="end"/>
            </w:r>
          </w:hyperlink>
        </w:p>
        <w:p w14:paraId="5F21EDAF" w14:textId="3E9D9A48" w:rsidR="00EA6771" w:rsidRDefault="00F2597A">
          <w:pPr>
            <w:pStyle w:val="TDC2"/>
            <w:tabs>
              <w:tab w:val="right" w:leader="dot" w:pos="9019"/>
            </w:tabs>
            <w:rPr>
              <w:rFonts w:eastAsiaTheme="minorEastAsia" w:cstheme="minorBidi"/>
              <w:b w:val="0"/>
              <w:bCs w:val="0"/>
              <w:noProof/>
              <w:lang w:val="es-CO" w:eastAsia="es-CO"/>
            </w:rPr>
          </w:pPr>
          <w:hyperlink w:anchor="_Toc213145981" w:history="1">
            <w:r w:rsidR="00EA6771" w:rsidRPr="00B0699B">
              <w:rPr>
                <w:rStyle w:val="Hipervnculo"/>
                <w:noProof/>
              </w:rPr>
              <w:t>Objetivos específicos:</w:t>
            </w:r>
            <w:r w:rsidR="00EA6771">
              <w:rPr>
                <w:noProof/>
                <w:webHidden/>
              </w:rPr>
              <w:tab/>
            </w:r>
            <w:r w:rsidR="00EA6771">
              <w:rPr>
                <w:noProof/>
                <w:webHidden/>
              </w:rPr>
              <w:fldChar w:fldCharType="begin"/>
            </w:r>
            <w:r w:rsidR="00EA6771">
              <w:rPr>
                <w:noProof/>
                <w:webHidden/>
              </w:rPr>
              <w:instrText xml:space="preserve"> PAGEREF _Toc213145981 \h </w:instrText>
            </w:r>
            <w:r w:rsidR="00EA6771">
              <w:rPr>
                <w:noProof/>
                <w:webHidden/>
              </w:rPr>
            </w:r>
            <w:r w:rsidR="00EA6771">
              <w:rPr>
                <w:noProof/>
                <w:webHidden/>
              </w:rPr>
              <w:fldChar w:fldCharType="separate"/>
            </w:r>
            <w:r w:rsidR="00EA6771">
              <w:rPr>
                <w:noProof/>
                <w:webHidden/>
              </w:rPr>
              <w:t>7</w:t>
            </w:r>
            <w:r w:rsidR="00EA6771">
              <w:rPr>
                <w:noProof/>
                <w:webHidden/>
              </w:rPr>
              <w:fldChar w:fldCharType="end"/>
            </w:r>
          </w:hyperlink>
        </w:p>
        <w:p w14:paraId="33A829A4" w14:textId="60274CAD" w:rsidR="00EA6771" w:rsidRDefault="00F2597A">
          <w:pPr>
            <w:pStyle w:val="TDC1"/>
            <w:tabs>
              <w:tab w:val="right" w:leader="dot" w:pos="9019"/>
            </w:tabs>
            <w:rPr>
              <w:rFonts w:eastAsiaTheme="minorEastAsia" w:cstheme="minorBidi"/>
              <w:b w:val="0"/>
              <w:bCs w:val="0"/>
              <w:i w:val="0"/>
              <w:iCs w:val="0"/>
              <w:noProof/>
              <w:sz w:val="22"/>
              <w:szCs w:val="22"/>
              <w:lang w:val="es-CO" w:eastAsia="es-CO"/>
            </w:rPr>
          </w:pPr>
          <w:hyperlink w:anchor="_Toc213145982" w:history="1">
            <w:r w:rsidR="00EA6771" w:rsidRPr="00B0699B">
              <w:rPr>
                <w:rStyle w:val="Hipervnculo"/>
                <w:noProof/>
              </w:rPr>
              <w:t>Marco teórico:</w:t>
            </w:r>
            <w:r w:rsidR="00EA6771">
              <w:rPr>
                <w:noProof/>
                <w:webHidden/>
              </w:rPr>
              <w:tab/>
            </w:r>
            <w:r w:rsidR="00EA6771">
              <w:rPr>
                <w:noProof/>
                <w:webHidden/>
              </w:rPr>
              <w:fldChar w:fldCharType="begin"/>
            </w:r>
            <w:r w:rsidR="00EA6771">
              <w:rPr>
                <w:noProof/>
                <w:webHidden/>
              </w:rPr>
              <w:instrText xml:space="preserve"> PAGEREF _Toc213145982 \h </w:instrText>
            </w:r>
            <w:r w:rsidR="00EA6771">
              <w:rPr>
                <w:noProof/>
                <w:webHidden/>
              </w:rPr>
            </w:r>
            <w:r w:rsidR="00EA6771">
              <w:rPr>
                <w:noProof/>
                <w:webHidden/>
              </w:rPr>
              <w:fldChar w:fldCharType="separate"/>
            </w:r>
            <w:r w:rsidR="00EA6771">
              <w:rPr>
                <w:noProof/>
                <w:webHidden/>
              </w:rPr>
              <w:t>8</w:t>
            </w:r>
            <w:r w:rsidR="00EA6771">
              <w:rPr>
                <w:noProof/>
                <w:webHidden/>
              </w:rPr>
              <w:fldChar w:fldCharType="end"/>
            </w:r>
          </w:hyperlink>
        </w:p>
        <w:p w14:paraId="555254F7" w14:textId="4E3C3C3D" w:rsidR="00EA6771" w:rsidRDefault="00F2597A">
          <w:pPr>
            <w:pStyle w:val="TDC1"/>
            <w:tabs>
              <w:tab w:val="right" w:leader="dot" w:pos="9019"/>
            </w:tabs>
            <w:rPr>
              <w:rFonts w:eastAsiaTheme="minorEastAsia" w:cstheme="minorBidi"/>
              <w:b w:val="0"/>
              <w:bCs w:val="0"/>
              <w:i w:val="0"/>
              <w:iCs w:val="0"/>
              <w:noProof/>
              <w:sz w:val="22"/>
              <w:szCs w:val="22"/>
              <w:lang w:val="es-CO" w:eastAsia="es-CO"/>
            </w:rPr>
          </w:pPr>
          <w:hyperlink w:anchor="_Toc213145983" w:history="1">
            <w:r w:rsidR="00EA6771" w:rsidRPr="00B0699B">
              <w:rPr>
                <w:rStyle w:val="Hipervnculo"/>
                <w:noProof/>
              </w:rPr>
              <w:t>Metodología:</w:t>
            </w:r>
            <w:r w:rsidR="00EA6771">
              <w:rPr>
                <w:noProof/>
                <w:webHidden/>
              </w:rPr>
              <w:tab/>
            </w:r>
            <w:r w:rsidR="00EA6771">
              <w:rPr>
                <w:noProof/>
                <w:webHidden/>
              </w:rPr>
              <w:fldChar w:fldCharType="begin"/>
            </w:r>
            <w:r w:rsidR="00EA6771">
              <w:rPr>
                <w:noProof/>
                <w:webHidden/>
              </w:rPr>
              <w:instrText xml:space="preserve"> PAGEREF _Toc213145983 \h </w:instrText>
            </w:r>
            <w:r w:rsidR="00EA6771">
              <w:rPr>
                <w:noProof/>
                <w:webHidden/>
              </w:rPr>
            </w:r>
            <w:r w:rsidR="00EA6771">
              <w:rPr>
                <w:noProof/>
                <w:webHidden/>
              </w:rPr>
              <w:fldChar w:fldCharType="separate"/>
            </w:r>
            <w:r w:rsidR="00EA6771">
              <w:rPr>
                <w:noProof/>
                <w:webHidden/>
              </w:rPr>
              <w:t>9</w:t>
            </w:r>
            <w:r w:rsidR="00EA6771">
              <w:rPr>
                <w:noProof/>
                <w:webHidden/>
              </w:rPr>
              <w:fldChar w:fldCharType="end"/>
            </w:r>
          </w:hyperlink>
        </w:p>
        <w:p w14:paraId="52926025" w14:textId="78F5F849" w:rsidR="00EA6771" w:rsidRDefault="00F2597A">
          <w:pPr>
            <w:pStyle w:val="TDC1"/>
            <w:tabs>
              <w:tab w:val="right" w:leader="dot" w:pos="9019"/>
            </w:tabs>
            <w:rPr>
              <w:rFonts w:eastAsiaTheme="minorEastAsia" w:cstheme="minorBidi"/>
              <w:b w:val="0"/>
              <w:bCs w:val="0"/>
              <w:i w:val="0"/>
              <w:iCs w:val="0"/>
              <w:noProof/>
              <w:sz w:val="22"/>
              <w:szCs w:val="22"/>
              <w:lang w:val="es-CO" w:eastAsia="es-CO"/>
            </w:rPr>
          </w:pPr>
          <w:hyperlink w:anchor="_Toc213145984" w:history="1">
            <w:r w:rsidR="00EA6771" w:rsidRPr="00B0699B">
              <w:rPr>
                <w:rStyle w:val="Hipervnculo"/>
                <w:noProof/>
              </w:rPr>
              <w:t>Resultados:</w:t>
            </w:r>
            <w:r w:rsidR="00EA6771">
              <w:rPr>
                <w:noProof/>
                <w:webHidden/>
              </w:rPr>
              <w:tab/>
            </w:r>
            <w:r w:rsidR="00EA6771">
              <w:rPr>
                <w:noProof/>
                <w:webHidden/>
              </w:rPr>
              <w:fldChar w:fldCharType="begin"/>
            </w:r>
            <w:r w:rsidR="00EA6771">
              <w:rPr>
                <w:noProof/>
                <w:webHidden/>
              </w:rPr>
              <w:instrText xml:space="preserve"> PAGEREF _Toc213145984 \h </w:instrText>
            </w:r>
            <w:r w:rsidR="00EA6771">
              <w:rPr>
                <w:noProof/>
                <w:webHidden/>
              </w:rPr>
            </w:r>
            <w:r w:rsidR="00EA6771">
              <w:rPr>
                <w:noProof/>
                <w:webHidden/>
              </w:rPr>
              <w:fldChar w:fldCharType="separate"/>
            </w:r>
            <w:r w:rsidR="00EA6771">
              <w:rPr>
                <w:noProof/>
                <w:webHidden/>
              </w:rPr>
              <w:t>10</w:t>
            </w:r>
            <w:r w:rsidR="00EA6771">
              <w:rPr>
                <w:noProof/>
                <w:webHidden/>
              </w:rPr>
              <w:fldChar w:fldCharType="end"/>
            </w:r>
          </w:hyperlink>
        </w:p>
        <w:p w14:paraId="547F522B" w14:textId="5FDA074E" w:rsidR="00EA6771" w:rsidRDefault="00F2597A">
          <w:pPr>
            <w:pStyle w:val="TDC1"/>
            <w:tabs>
              <w:tab w:val="right" w:leader="dot" w:pos="9019"/>
            </w:tabs>
            <w:rPr>
              <w:rFonts w:eastAsiaTheme="minorEastAsia" w:cstheme="minorBidi"/>
              <w:b w:val="0"/>
              <w:bCs w:val="0"/>
              <w:i w:val="0"/>
              <w:iCs w:val="0"/>
              <w:noProof/>
              <w:sz w:val="22"/>
              <w:szCs w:val="22"/>
              <w:lang w:val="es-CO" w:eastAsia="es-CO"/>
            </w:rPr>
          </w:pPr>
          <w:hyperlink w:anchor="_Toc213145985" w:history="1">
            <w:r w:rsidR="00EA6771" w:rsidRPr="00B0699B">
              <w:rPr>
                <w:rStyle w:val="Hipervnculo"/>
                <w:noProof/>
              </w:rPr>
              <w:t>Discusión:</w:t>
            </w:r>
            <w:r w:rsidR="00EA6771">
              <w:rPr>
                <w:noProof/>
                <w:webHidden/>
              </w:rPr>
              <w:tab/>
            </w:r>
            <w:r w:rsidR="00EA6771">
              <w:rPr>
                <w:noProof/>
                <w:webHidden/>
              </w:rPr>
              <w:fldChar w:fldCharType="begin"/>
            </w:r>
            <w:r w:rsidR="00EA6771">
              <w:rPr>
                <w:noProof/>
                <w:webHidden/>
              </w:rPr>
              <w:instrText xml:space="preserve"> PAGEREF _Toc213145985 \h </w:instrText>
            </w:r>
            <w:r w:rsidR="00EA6771">
              <w:rPr>
                <w:noProof/>
                <w:webHidden/>
              </w:rPr>
            </w:r>
            <w:r w:rsidR="00EA6771">
              <w:rPr>
                <w:noProof/>
                <w:webHidden/>
              </w:rPr>
              <w:fldChar w:fldCharType="separate"/>
            </w:r>
            <w:r w:rsidR="00EA6771">
              <w:rPr>
                <w:noProof/>
                <w:webHidden/>
              </w:rPr>
              <w:t>11</w:t>
            </w:r>
            <w:r w:rsidR="00EA6771">
              <w:rPr>
                <w:noProof/>
                <w:webHidden/>
              </w:rPr>
              <w:fldChar w:fldCharType="end"/>
            </w:r>
          </w:hyperlink>
        </w:p>
        <w:p w14:paraId="33801696" w14:textId="5145AC72" w:rsidR="00EA6771" w:rsidRDefault="00F2597A">
          <w:pPr>
            <w:pStyle w:val="TDC1"/>
            <w:tabs>
              <w:tab w:val="right" w:leader="dot" w:pos="9019"/>
            </w:tabs>
            <w:rPr>
              <w:rFonts w:eastAsiaTheme="minorEastAsia" w:cstheme="minorBidi"/>
              <w:b w:val="0"/>
              <w:bCs w:val="0"/>
              <w:i w:val="0"/>
              <w:iCs w:val="0"/>
              <w:noProof/>
              <w:sz w:val="22"/>
              <w:szCs w:val="22"/>
              <w:lang w:val="es-CO" w:eastAsia="es-CO"/>
            </w:rPr>
          </w:pPr>
          <w:hyperlink w:anchor="_Toc213145986" w:history="1">
            <w:r w:rsidR="00EA6771" w:rsidRPr="00B0699B">
              <w:rPr>
                <w:rStyle w:val="Hipervnculo"/>
                <w:noProof/>
              </w:rPr>
              <w:t>Conclusiones:</w:t>
            </w:r>
            <w:r w:rsidR="00EA6771">
              <w:rPr>
                <w:noProof/>
                <w:webHidden/>
              </w:rPr>
              <w:tab/>
            </w:r>
            <w:r w:rsidR="00EA6771">
              <w:rPr>
                <w:noProof/>
                <w:webHidden/>
              </w:rPr>
              <w:fldChar w:fldCharType="begin"/>
            </w:r>
            <w:r w:rsidR="00EA6771">
              <w:rPr>
                <w:noProof/>
                <w:webHidden/>
              </w:rPr>
              <w:instrText xml:space="preserve"> PAGEREF _Toc213145986 \h </w:instrText>
            </w:r>
            <w:r w:rsidR="00EA6771">
              <w:rPr>
                <w:noProof/>
                <w:webHidden/>
              </w:rPr>
            </w:r>
            <w:r w:rsidR="00EA6771">
              <w:rPr>
                <w:noProof/>
                <w:webHidden/>
              </w:rPr>
              <w:fldChar w:fldCharType="separate"/>
            </w:r>
            <w:r w:rsidR="00EA6771">
              <w:rPr>
                <w:noProof/>
                <w:webHidden/>
              </w:rPr>
              <w:t>12</w:t>
            </w:r>
            <w:r w:rsidR="00EA6771">
              <w:rPr>
                <w:noProof/>
                <w:webHidden/>
              </w:rPr>
              <w:fldChar w:fldCharType="end"/>
            </w:r>
          </w:hyperlink>
        </w:p>
        <w:p w14:paraId="53EF3F99" w14:textId="0C2C4F48" w:rsidR="00EA6771" w:rsidRDefault="00F2597A">
          <w:pPr>
            <w:pStyle w:val="TDC1"/>
            <w:tabs>
              <w:tab w:val="right" w:leader="dot" w:pos="9019"/>
            </w:tabs>
            <w:rPr>
              <w:rFonts w:eastAsiaTheme="minorEastAsia" w:cstheme="minorBidi"/>
              <w:b w:val="0"/>
              <w:bCs w:val="0"/>
              <w:i w:val="0"/>
              <w:iCs w:val="0"/>
              <w:noProof/>
              <w:sz w:val="22"/>
              <w:szCs w:val="22"/>
              <w:lang w:val="es-CO" w:eastAsia="es-CO"/>
            </w:rPr>
          </w:pPr>
          <w:hyperlink w:anchor="_Toc213145987" w:history="1">
            <w:r w:rsidR="00EA6771" w:rsidRPr="00B0699B">
              <w:rPr>
                <w:rStyle w:val="Hipervnculo"/>
                <w:noProof/>
              </w:rPr>
              <w:t>Bibliografía:</w:t>
            </w:r>
            <w:r w:rsidR="00EA6771">
              <w:rPr>
                <w:noProof/>
                <w:webHidden/>
              </w:rPr>
              <w:tab/>
            </w:r>
            <w:r w:rsidR="00EA6771">
              <w:rPr>
                <w:noProof/>
                <w:webHidden/>
              </w:rPr>
              <w:fldChar w:fldCharType="begin"/>
            </w:r>
            <w:r w:rsidR="00EA6771">
              <w:rPr>
                <w:noProof/>
                <w:webHidden/>
              </w:rPr>
              <w:instrText xml:space="preserve"> PAGEREF _Toc213145987 \h </w:instrText>
            </w:r>
            <w:r w:rsidR="00EA6771">
              <w:rPr>
                <w:noProof/>
                <w:webHidden/>
              </w:rPr>
            </w:r>
            <w:r w:rsidR="00EA6771">
              <w:rPr>
                <w:noProof/>
                <w:webHidden/>
              </w:rPr>
              <w:fldChar w:fldCharType="separate"/>
            </w:r>
            <w:r w:rsidR="00EA6771">
              <w:rPr>
                <w:noProof/>
                <w:webHidden/>
              </w:rPr>
              <w:t>13</w:t>
            </w:r>
            <w:r w:rsidR="00EA6771">
              <w:rPr>
                <w:noProof/>
                <w:webHidden/>
              </w:rPr>
              <w:fldChar w:fldCharType="end"/>
            </w:r>
          </w:hyperlink>
        </w:p>
        <w:p w14:paraId="602BD8AB" w14:textId="2C0BDDF0" w:rsidR="0004759F" w:rsidRPr="00807136" w:rsidRDefault="0004759F">
          <w:pPr>
            <w:rPr>
              <w:sz w:val="24"/>
              <w:szCs w:val="24"/>
            </w:rPr>
          </w:pPr>
          <w:r w:rsidRPr="00807136">
            <w:rPr>
              <w:b/>
              <w:bCs/>
              <w:noProof/>
              <w:sz w:val="24"/>
              <w:szCs w:val="24"/>
            </w:rPr>
            <w:fldChar w:fldCharType="end"/>
          </w:r>
        </w:p>
      </w:sdtContent>
    </w:sdt>
    <w:p w14:paraId="0FCFC1F7" w14:textId="16D0476F" w:rsidR="00047D47" w:rsidRPr="00807136" w:rsidRDefault="00047D47" w:rsidP="000C0B9E">
      <w:pPr>
        <w:spacing w:line="240" w:lineRule="auto"/>
        <w:rPr>
          <w:b/>
          <w:sz w:val="24"/>
          <w:szCs w:val="24"/>
        </w:rPr>
      </w:pPr>
    </w:p>
    <w:p w14:paraId="3050C752" w14:textId="77777777" w:rsidR="00047D47" w:rsidRPr="00807136" w:rsidRDefault="00047D47" w:rsidP="000C0B9E">
      <w:pPr>
        <w:spacing w:line="240" w:lineRule="auto"/>
        <w:rPr>
          <w:sz w:val="24"/>
          <w:szCs w:val="24"/>
        </w:rPr>
      </w:pPr>
    </w:p>
    <w:p w14:paraId="25FB5D2C" w14:textId="77777777" w:rsidR="00047D47" w:rsidRPr="00807136" w:rsidRDefault="00047D47" w:rsidP="000C0B9E">
      <w:pPr>
        <w:spacing w:line="240" w:lineRule="auto"/>
        <w:rPr>
          <w:sz w:val="24"/>
          <w:szCs w:val="24"/>
        </w:rPr>
      </w:pPr>
    </w:p>
    <w:p w14:paraId="3732264B" w14:textId="77777777" w:rsidR="00047D47" w:rsidRPr="00807136" w:rsidRDefault="00047D47" w:rsidP="000C0B9E">
      <w:pPr>
        <w:spacing w:line="240" w:lineRule="auto"/>
        <w:rPr>
          <w:sz w:val="24"/>
          <w:szCs w:val="24"/>
        </w:rPr>
      </w:pPr>
    </w:p>
    <w:p w14:paraId="19F3E5C3" w14:textId="77777777" w:rsidR="00047D47" w:rsidRPr="00807136" w:rsidRDefault="00047D47" w:rsidP="000C0B9E">
      <w:pPr>
        <w:spacing w:line="240" w:lineRule="auto"/>
        <w:rPr>
          <w:sz w:val="24"/>
          <w:szCs w:val="24"/>
        </w:rPr>
      </w:pPr>
    </w:p>
    <w:p w14:paraId="3CC22D80" w14:textId="77777777" w:rsidR="00047D47" w:rsidRPr="00807136" w:rsidRDefault="00047D47" w:rsidP="000C0B9E">
      <w:pPr>
        <w:spacing w:line="240" w:lineRule="auto"/>
        <w:rPr>
          <w:sz w:val="24"/>
          <w:szCs w:val="24"/>
        </w:rPr>
      </w:pPr>
    </w:p>
    <w:p w14:paraId="0058622B" w14:textId="77777777" w:rsidR="00047D47" w:rsidRPr="00807136" w:rsidRDefault="00047D47" w:rsidP="000C0B9E">
      <w:pPr>
        <w:spacing w:line="240" w:lineRule="auto"/>
        <w:rPr>
          <w:sz w:val="24"/>
          <w:szCs w:val="24"/>
        </w:rPr>
      </w:pPr>
    </w:p>
    <w:p w14:paraId="59BAB6DA" w14:textId="77777777" w:rsidR="00047D47" w:rsidRPr="00807136" w:rsidRDefault="00047D47" w:rsidP="000C0B9E">
      <w:pPr>
        <w:spacing w:line="240" w:lineRule="auto"/>
        <w:rPr>
          <w:sz w:val="24"/>
          <w:szCs w:val="24"/>
        </w:rPr>
      </w:pPr>
    </w:p>
    <w:p w14:paraId="6B05C1FB" w14:textId="77777777" w:rsidR="00047D47" w:rsidRPr="00807136" w:rsidRDefault="00047D47" w:rsidP="000C0B9E">
      <w:pPr>
        <w:spacing w:line="240" w:lineRule="auto"/>
        <w:rPr>
          <w:sz w:val="24"/>
          <w:szCs w:val="24"/>
        </w:rPr>
      </w:pPr>
    </w:p>
    <w:p w14:paraId="56EF9AEA" w14:textId="77777777" w:rsidR="00047D47" w:rsidRPr="00807136" w:rsidRDefault="00047D47" w:rsidP="000C0B9E">
      <w:pPr>
        <w:spacing w:line="240" w:lineRule="auto"/>
        <w:rPr>
          <w:sz w:val="24"/>
          <w:szCs w:val="24"/>
        </w:rPr>
      </w:pPr>
    </w:p>
    <w:p w14:paraId="4116F007" w14:textId="77777777" w:rsidR="00047D47" w:rsidRPr="000C0B9E" w:rsidRDefault="00047D47" w:rsidP="000C0B9E">
      <w:pPr>
        <w:spacing w:line="240" w:lineRule="auto"/>
        <w:rPr>
          <w:sz w:val="24"/>
          <w:szCs w:val="24"/>
        </w:rPr>
      </w:pPr>
    </w:p>
    <w:p w14:paraId="28032166" w14:textId="77777777" w:rsidR="00047D47" w:rsidRPr="000C0B9E" w:rsidRDefault="00047D47" w:rsidP="000C0B9E">
      <w:pPr>
        <w:spacing w:line="240" w:lineRule="auto"/>
        <w:rPr>
          <w:sz w:val="24"/>
          <w:szCs w:val="24"/>
        </w:rPr>
      </w:pPr>
    </w:p>
    <w:p w14:paraId="1B250C44" w14:textId="77777777" w:rsidR="00047D47" w:rsidRPr="000C0B9E" w:rsidRDefault="00047D47" w:rsidP="000C0B9E">
      <w:pPr>
        <w:spacing w:line="240" w:lineRule="auto"/>
        <w:rPr>
          <w:sz w:val="24"/>
          <w:szCs w:val="24"/>
        </w:rPr>
      </w:pPr>
    </w:p>
    <w:p w14:paraId="775447BE" w14:textId="77777777" w:rsidR="00047D47" w:rsidRPr="000C0B9E" w:rsidRDefault="00047D47" w:rsidP="000C0B9E">
      <w:pPr>
        <w:spacing w:line="240" w:lineRule="auto"/>
        <w:rPr>
          <w:sz w:val="24"/>
          <w:szCs w:val="24"/>
        </w:rPr>
      </w:pPr>
    </w:p>
    <w:p w14:paraId="77514951" w14:textId="77777777" w:rsidR="00047D47" w:rsidRPr="000C0B9E" w:rsidRDefault="00047D47" w:rsidP="000C0B9E">
      <w:pPr>
        <w:spacing w:line="240" w:lineRule="auto"/>
        <w:rPr>
          <w:sz w:val="24"/>
          <w:szCs w:val="24"/>
        </w:rPr>
      </w:pPr>
    </w:p>
    <w:p w14:paraId="0476AE07" w14:textId="77777777" w:rsidR="00047D47" w:rsidRPr="000C0B9E" w:rsidRDefault="00047D47" w:rsidP="000C0B9E">
      <w:pPr>
        <w:spacing w:line="240" w:lineRule="auto"/>
        <w:rPr>
          <w:sz w:val="24"/>
          <w:szCs w:val="24"/>
        </w:rPr>
      </w:pPr>
    </w:p>
    <w:p w14:paraId="57FEF0EC" w14:textId="77777777" w:rsidR="00047D47" w:rsidRPr="000C0B9E" w:rsidRDefault="00047D47" w:rsidP="000C0B9E">
      <w:pPr>
        <w:spacing w:line="240" w:lineRule="auto"/>
        <w:rPr>
          <w:sz w:val="24"/>
          <w:szCs w:val="24"/>
        </w:rPr>
      </w:pPr>
    </w:p>
    <w:p w14:paraId="6A6D7848" w14:textId="77777777" w:rsidR="00047D47" w:rsidRPr="000C0B9E" w:rsidRDefault="00047D47" w:rsidP="000C0B9E">
      <w:pPr>
        <w:spacing w:line="240" w:lineRule="auto"/>
        <w:rPr>
          <w:sz w:val="24"/>
          <w:szCs w:val="24"/>
        </w:rPr>
      </w:pPr>
    </w:p>
    <w:p w14:paraId="04AC473D" w14:textId="77777777" w:rsidR="00047D47" w:rsidRPr="000C0B9E" w:rsidRDefault="00047D47" w:rsidP="000C0B9E">
      <w:pPr>
        <w:spacing w:line="240" w:lineRule="auto"/>
        <w:rPr>
          <w:sz w:val="24"/>
          <w:szCs w:val="24"/>
        </w:rPr>
      </w:pPr>
    </w:p>
    <w:p w14:paraId="2B5146FB" w14:textId="1AEA3F2C" w:rsidR="00807136" w:rsidRDefault="00807136" w:rsidP="00807136">
      <w:pPr>
        <w:pStyle w:val="Ttulo1"/>
        <w:spacing w:before="0"/>
      </w:pPr>
    </w:p>
    <w:p w14:paraId="27862F70" w14:textId="61D694DB" w:rsidR="00EA6771" w:rsidRDefault="00EA6771" w:rsidP="00EA6771"/>
    <w:p w14:paraId="0019861B" w14:textId="6E3A668A" w:rsidR="00EA6771" w:rsidRDefault="00EA6771" w:rsidP="00EA6771"/>
    <w:p w14:paraId="517CA6D5" w14:textId="361913D1" w:rsidR="00EA6771" w:rsidRDefault="00EA6771" w:rsidP="00EA6771"/>
    <w:p w14:paraId="7B1A1BFA" w14:textId="33B04AF8" w:rsidR="00EA6771" w:rsidRDefault="00EA6771" w:rsidP="00EA6771"/>
    <w:p w14:paraId="0D38DD65" w14:textId="5992223D" w:rsidR="00EA6771" w:rsidRDefault="00EA6771" w:rsidP="00EA6771"/>
    <w:p w14:paraId="563860FD" w14:textId="4BEDBA27" w:rsidR="00EA6771" w:rsidRDefault="00EA6771" w:rsidP="00EA6771"/>
    <w:p w14:paraId="7A0B47C0" w14:textId="1DCC8BEF" w:rsidR="00EA6771" w:rsidRDefault="00EA6771" w:rsidP="00EA6771"/>
    <w:p w14:paraId="488DB2C8" w14:textId="77777777" w:rsidR="00EA6771" w:rsidRPr="00EA6771" w:rsidRDefault="00EA6771" w:rsidP="00EA6771"/>
    <w:p w14:paraId="5AFC1A9E" w14:textId="77777777" w:rsidR="00807136" w:rsidRPr="00807136" w:rsidRDefault="00807136" w:rsidP="00807136"/>
    <w:p w14:paraId="6C6678BA" w14:textId="09D048EF" w:rsidR="00047D47" w:rsidRPr="000C0B9E" w:rsidRDefault="00C91753" w:rsidP="00807136">
      <w:pPr>
        <w:pStyle w:val="Ttulo1"/>
        <w:spacing w:before="120"/>
      </w:pPr>
      <w:bookmarkStart w:id="0" w:name="_Toc213145978"/>
      <w:r w:rsidRPr="000C0B9E">
        <w:lastRenderedPageBreak/>
        <w:t>Introducción:</w:t>
      </w:r>
      <w:bookmarkEnd w:id="0"/>
      <w:r w:rsidRPr="000C0B9E">
        <w:t xml:space="preserve"> </w:t>
      </w:r>
    </w:p>
    <w:p w14:paraId="6B282F5C" w14:textId="27BE4272" w:rsidR="00453FAB" w:rsidRDefault="00453FAB" w:rsidP="00453FAB">
      <w:pPr>
        <w:spacing w:line="240" w:lineRule="auto"/>
        <w:jc w:val="both"/>
        <w:rPr>
          <w:sz w:val="24"/>
          <w:szCs w:val="24"/>
        </w:rPr>
      </w:pPr>
      <w:r w:rsidRPr="00453FAB">
        <w:rPr>
          <w:sz w:val="24"/>
          <w:szCs w:val="24"/>
        </w:rPr>
        <w:t>La leucemia linfoide aguda es la neoplasia más frecuente en la edad pediátrica, representa aproximadamente el 25% del cáncer en niños; en Colombia con una población de 13.721.281 millones de niños menores de 19 años (DANE censo poblacional 2018)</w:t>
      </w:r>
      <w:r>
        <w:rPr>
          <w:sz w:val="24"/>
          <w:szCs w:val="24"/>
        </w:rPr>
        <w:t xml:space="preserve"> </w:t>
      </w:r>
      <w:r w:rsidR="00A02C02">
        <w:rPr>
          <w:sz w:val="24"/>
          <w:szCs w:val="24"/>
        </w:rPr>
        <w:t>(</w:t>
      </w:r>
      <w:r w:rsidRPr="00453FAB">
        <w:rPr>
          <w:sz w:val="24"/>
          <w:szCs w:val="24"/>
        </w:rPr>
        <w:t>1</w:t>
      </w:r>
      <w:r w:rsidR="00A02C02">
        <w:rPr>
          <w:sz w:val="24"/>
          <w:szCs w:val="24"/>
        </w:rPr>
        <w:t>)</w:t>
      </w:r>
      <w:r w:rsidRPr="00453FAB">
        <w:rPr>
          <w:sz w:val="24"/>
          <w:szCs w:val="24"/>
        </w:rPr>
        <w:t xml:space="preserve"> se esperaría, con unan tasa de incidencia de 29 casos nuevos/millón, tener aproximadamente 400 casos al año aproximadamente. Aunada con las leucemias mieloides agudas son la principal causa de muerte en el niño con cáncer contribuyendo al 33% de las muertes en menores de 19 años</w:t>
      </w:r>
      <w:r>
        <w:rPr>
          <w:sz w:val="24"/>
          <w:szCs w:val="24"/>
        </w:rPr>
        <w:t xml:space="preserve"> </w:t>
      </w:r>
      <w:r w:rsidR="00A02C02">
        <w:rPr>
          <w:sz w:val="24"/>
          <w:szCs w:val="24"/>
        </w:rPr>
        <w:t>(</w:t>
      </w:r>
      <w:r w:rsidRPr="00453FAB">
        <w:rPr>
          <w:sz w:val="24"/>
          <w:szCs w:val="24"/>
        </w:rPr>
        <w:t>2</w:t>
      </w:r>
      <w:r w:rsidR="00A02C02">
        <w:rPr>
          <w:sz w:val="24"/>
          <w:szCs w:val="24"/>
        </w:rPr>
        <w:t>-</w:t>
      </w:r>
      <w:r w:rsidRPr="00453FAB">
        <w:rPr>
          <w:sz w:val="24"/>
          <w:szCs w:val="24"/>
        </w:rPr>
        <w:t>4</w:t>
      </w:r>
      <w:r w:rsidR="00A02C02">
        <w:rPr>
          <w:sz w:val="24"/>
          <w:szCs w:val="24"/>
        </w:rPr>
        <w:t>)</w:t>
      </w:r>
      <w:r w:rsidRPr="00453FAB">
        <w:rPr>
          <w:sz w:val="24"/>
          <w:szCs w:val="24"/>
        </w:rPr>
        <w:t>.</w:t>
      </w:r>
    </w:p>
    <w:p w14:paraId="383CD79C" w14:textId="77777777" w:rsidR="00453FAB" w:rsidRPr="00453FAB" w:rsidRDefault="00453FAB" w:rsidP="00453FAB">
      <w:pPr>
        <w:spacing w:line="240" w:lineRule="auto"/>
        <w:jc w:val="both"/>
        <w:rPr>
          <w:sz w:val="24"/>
          <w:szCs w:val="24"/>
        </w:rPr>
      </w:pPr>
    </w:p>
    <w:p w14:paraId="7FADC338" w14:textId="11286074" w:rsidR="00453FAB" w:rsidRDefault="00453FAB" w:rsidP="00453FAB">
      <w:pPr>
        <w:spacing w:line="240" w:lineRule="auto"/>
        <w:jc w:val="both"/>
        <w:rPr>
          <w:sz w:val="24"/>
          <w:szCs w:val="24"/>
        </w:rPr>
      </w:pPr>
      <w:r w:rsidRPr="00453FAB">
        <w:rPr>
          <w:sz w:val="24"/>
          <w:szCs w:val="24"/>
        </w:rPr>
        <w:t xml:space="preserve">En las últimas dos o tres décadas la oncología pediátrica ha estado enfocada principalmente en disminuir el número de recaídas en niños y adolescentes con leucemia </w:t>
      </w:r>
      <w:proofErr w:type="spellStart"/>
      <w:r w:rsidRPr="00453FAB">
        <w:rPr>
          <w:sz w:val="24"/>
          <w:szCs w:val="24"/>
        </w:rPr>
        <w:t>linfoblástica</w:t>
      </w:r>
      <w:proofErr w:type="spellEnd"/>
      <w:r w:rsidRPr="00453FAB">
        <w:rPr>
          <w:sz w:val="24"/>
          <w:szCs w:val="24"/>
        </w:rPr>
        <w:t xml:space="preserve"> aguda; logrando grandes avances en el tratamiento que ha dado como resultado un incremento de las tasas de supervivencia como consecuencia de mejoría en la estandarización de la clasificación en grupos de riesgo basados en aspectos clínicos y fundamentalmente en los aspectos inmunológicos, genéticos y de biología molecular que ha permitido tratamientos adaptados al riesgo con poliquimioterapia contemporánea e inmunoterapia. Lo anterior sumado a las mejoras en los tratamientos de soporte (acceso a unidad de cuidados intensivos pediátricos, control de infecciones, disponibilidad oportuna de productos sanguíneos, apoyo en salud mental y psicosocial).</w:t>
      </w:r>
    </w:p>
    <w:p w14:paraId="55090161" w14:textId="77777777" w:rsidR="00453FAB" w:rsidRPr="00453FAB" w:rsidRDefault="00453FAB" w:rsidP="00453FAB">
      <w:pPr>
        <w:spacing w:line="240" w:lineRule="auto"/>
        <w:jc w:val="both"/>
        <w:rPr>
          <w:sz w:val="24"/>
          <w:szCs w:val="24"/>
        </w:rPr>
      </w:pPr>
    </w:p>
    <w:p w14:paraId="482743A3" w14:textId="58B04C27" w:rsidR="00453FAB" w:rsidRDefault="00453FAB" w:rsidP="00453FAB">
      <w:pPr>
        <w:spacing w:line="240" w:lineRule="auto"/>
        <w:jc w:val="both"/>
        <w:rPr>
          <w:sz w:val="24"/>
          <w:szCs w:val="24"/>
        </w:rPr>
      </w:pPr>
      <w:r w:rsidRPr="00453FAB">
        <w:rPr>
          <w:sz w:val="24"/>
          <w:szCs w:val="24"/>
        </w:rPr>
        <w:t>Estos avances han producido supervivencias superiores al 80% a largo plazo en los países con ingresos económicos altos y entre el 50 y 60% en países de ingresos medios altos e intermedios y de 30% en países de ingresos intermedios bajos y bajos</w:t>
      </w:r>
      <w:r>
        <w:rPr>
          <w:sz w:val="24"/>
          <w:szCs w:val="24"/>
        </w:rPr>
        <w:t xml:space="preserve"> </w:t>
      </w:r>
      <w:r w:rsidR="00A02C02">
        <w:rPr>
          <w:sz w:val="24"/>
          <w:szCs w:val="24"/>
        </w:rPr>
        <w:t>(</w:t>
      </w:r>
      <w:r w:rsidRPr="00453FAB">
        <w:rPr>
          <w:sz w:val="24"/>
          <w:szCs w:val="24"/>
        </w:rPr>
        <w:t>5</w:t>
      </w:r>
      <w:r w:rsidR="00A02C02">
        <w:rPr>
          <w:sz w:val="24"/>
          <w:szCs w:val="24"/>
        </w:rPr>
        <w:t>-</w:t>
      </w:r>
      <w:r w:rsidRPr="00453FAB">
        <w:rPr>
          <w:sz w:val="24"/>
          <w:szCs w:val="24"/>
        </w:rPr>
        <w:t>6</w:t>
      </w:r>
      <w:r w:rsidR="00A02C02">
        <w:rPr>
          <w:sz w:val="24"/>
          <w:szCs w:val="24"/>
        </w:rPr>
        <w:t>)</w:t>
      </w:r>
      <w:r w:rsidRPr="00453FAB">
        <w:rPr>
          <w:sz w:val="24"/>
          <w:szCs w:val="24"/>
        </w:rPr>
        <w:t>.</w:t>
      </w:r>
    </w:p>
    <w:p w14:paraId="2F43FCC4" w14:textId="77777777" w:rsidR="00453FAB" w:rsidRPr="00453FAB" w:rsidRDefault="00453FAB" w:rsidP="00453FAB">
      <w:pPr>
        <w:spacing w:line="240" w:lineRule="auto"/>
        <w:jc w:val="both"/>
        <w:rPr>
          <w:sz w:val="24"/>
          <w:szCs w:val="24"/>
        </w:rPr>
      </w:pPr>
    </w:p>
    <w:p w14:paraId="255AADA4" w14:textId="77777777" w:rsidR="00453FAB" w:rsidRPr="00453FAB" w:rsidRDefault="00453FAB" w:rsidP="00453FAB">
      <w:pPr>
        <w:spacing w:line="240" w:lineRule="auto"/>
        <w:jc w:val="both"/>
        <w:rPr>
          <w:sz w:val="24"/>
          <w:szCs w:val="24"/>
        </w:rPr>
      </w:pPr>
      <w:r w:rsidRPr="00453FAB">
        <w:rPr>
          <w:sz w:val="24"/>
          <w:szCs w:val="24"/>
        </w:rPr>
        <w:t xml:space="preserve">En países con ingresos intermedios o medios altos como Colombia con tasa de supervivencia en leucemia </w:t>
      </w:r>
      <w:proofErr w:type="spellStart"/>
      <w:r w:rsidRPr="00453FAB">
        <w:rPr>
          <w:sz w:val="24"/>
          <w:szCs w:val="24"/>
        </w:rPr>
        <w:t>linfoblástica</w:t>
      </w:r>
      <w:proofErr w:type="spellEnd"/>
      <w:r w:rsidRPr="00453FAB">
        <w:rPr>
          <w:sz w:val="24"/>
          <w:szCs w:val="24"/>
        </w:rPr>
        <w:t xml:space="preserve"> aguda que no supera el 60% (</w:t>
      </w:r>
      <w:proofErr w:type="spellStart"/>
      <w:r w:rsidRPr="00453FAB">
        <w:rPr>
          <w:sz w:val="24"/>
          <w:szCs w:val="24"/>
        </w:rPr>
        <w:t>Vigicancer</w:t>
      </w:r>
      <w:proofErr w:type="spellEnd"/>
      <w:r w:rsidRPr="00453FAB">
        <w:rPr>
          <w:sz w:val="24"/>
          <w:szCs w:val="24"/>
        </w:rPr>
        <w:t>) evitar las muertes en inducción y las muertes relacionadas con el tratamiento como primer evento deberá convertirse en una prioridad para la oncología pediátrica.</w:t>
      </w:r>
    </w:p>
    <w:p w14:paraId="22C435DC" w14:textId="39DC0595" w:rsidR="00453FAB" w:rsidRDefault="00453FAB" w:rsidP="00453FAB">
      <w:pPr>
        <w:spacing w:line="240" w:lineRule="auto"/>
        <w:jc w:val="both"/>
        <w:rPr>
          <w:sz w:val="24"/>
          <w:szCs w:val="24"/>
        </w:rPr>
      </w:pPr>
      <w:r w:rsidRPr="00453FAB">
        <w:rPr>
          <w:sz w:val="24"/>
          <w:szCs w:val="24"/>
        </w:rPr>
        <w:t>La mayoría de los estudios contemporáneos reportan que entre 95 y 98%% de los pacientes con LLA logran la remisión completa al final de la inducción y presentan una incidencia acumulada de muertes en inducción del 2 a 3%; y las muertes en primera remisión completa ocurren en aproximadamente el 2%</w:t>
      </w:r>
      <w:r>
        <w:rPr>
          <w:sz w:val="24"/>
          <w:szCs w:val="24"/>
        </w:rPr>
        <w:t xml:space="preserve"> </w:t>
      </w:r>
      <w:r w:rsidR="00A02C02">
        <w:rPr>
          <w:sz w:val="24"/>
          <w:szCs w:val="24"/>
        </w:rPr>
        <w:t>(</w:t>
      </w:r>
      <w:r w:rsidRPr="00453FAB">
        <w:rPr>
          <w:sz w:val="24"/>
          <w:szCs w:val="24"/>
        </w:rPr>
        <w:t>5</w:t>
      </w:r>
      <w:r w:rsidR="00A02C02">
        <w:rPr>
          <w:sz w:val="24"/>
          <w:szCs w:val="24"/>
        </w:rPr>
        <w:t>)</w:t>
      </w:r>
      <w:r w:rsidRPr="00453FAB">
        <w:rPr>
          <w:sz w:val="24"/>
          <w:szCs w:val="24"/>
        </w:rPr>
        <w:t>.</w:t>
      </w:r>
    </w:p>
    <w:p w14:paraId="40133CED" w14:textId="77777777" w:rsidR="00453FAB" w:rsidRPr="00453FAB" w:rsidRDefault="00453FAB" w:rsidP="00453FAB">
      <w:pPr>
        <w:spacing w:line="240" w:lineRule="auto"/>
        <w:jc w:val="both"/>
        <w:rPr>
          <w:sz w:val="24"/>
          <w:szCs w:val="24"/>
        </w:rPr>
      </w:pPr>
    </w:p>
    <w:p w14:paraId="5C53051F" w14:textId="756A7976" w:rsidR="00453FAB" w:rsidRDefault="00453FAB" w:rsidP="00453FAB">
      <w:pPr>
        <w:spacing w:line="240" w:lineRule="auto"/>
        <w:jc w:val="both"/>
        <w:rPr>
          <w:sz w:val="24"/>
          <w:szCs w:val="24"/>
        </w:rPr>
      </w:pPr>
      <w:r w:rsidRPr="00453FAB">
        <w:rPr>
          <w:sz w:val="24"/>
          <w:szCs w:val="24"/>
        </w:rPr>
        <w:t>La muerte relacionada con el tratamiento es un aspecto que impacta desfavorablemente la supervivencia de los pacientes con leucemia linfoide aguda. Un inconveniente de los éxitos logrados en la supervivencia mediante la administración de poliquimioterapia intensiva adaptada al riesgo en ensayos clínicos es que aun mueren aproximadamente el 5% de niños por toxicidad relacionada al tratamiento. Aunque la mayoría de las veces estas muertes se han asociado a enfermedades infecciosas en los pacientes con neutropenias graves y prolongadas; se ha planteado diversos factores que pueden influenciar la muerte relacionada al tratamiento en países de bajos y medianos ingresos, como las características biológicas individuales, las comorbilidades, pobre soporte médico a lo largo del tratamiento, factores socioeconómicos y geográficos.</w:t>
      </w:r>
    </w:p>
    <w:p w14:paraId="10C298AF" w14:textId="77777777" w:rsidR="00453FAB" w:rsidRPr="00453FAB" w:rsidRDefault="00453FAB" w:rsidP="00453FAB">
      <w:pPr>
        <w:spacing w:line="240" w:lineRule="auto"/>
        <w:jc w:val="both"/>
        <w:rPr>
          <w:sz w:val="24"/>
          <w:szCs w:val="24"/>
        </w:rPr>
      </w:pPr>
    </w:p>
    <w:p w14:paraId="32326A96" w14:textId="4E40A1E7" w:rsidR="00047D47" w:rsidRDefault="00453FAB" w:rsidP="00453FAB">
      <w:pPr>
        <w:spacing w:line="240" w:lineRule="auto"/>
        <w:jc w:val="both"/>
        <w:rPr>
          <w:sz w:val="24"/>
          <w:szCs w:val="24"/>
        </w:rPr>
      </w:pPr>
      <w:r w:rsidRPr="00453FAB">
        <w:rPr>
          <w:sz w:val="24"/>
          <w:szCs w:val="24"/>
        </w:rPr>
        <w:t xml:space="preserve">Para el tratamiento de estos niños, se cuenta con un protocolo institucional, BFM-ALLIC 2009, sin embargo, después de la implementación de este, no se han </w:t>
      </w:r>
      <w:r w:rsidRPr="00453FAB">
        <w:rPr>
          <w:sz w:val="24"/>
          <w:szCs w:val="24"/>
        </w:rPr>
        <w:lastRenderedPageBreak/>
        <w:t>estudiado las causas de muertes diferentes a la recaída de la enfermedad o muerte por trasplante de células madre hematopoyéticas</w:t>
      </w:r>
      <w:r w:rsidR="00262194">
        <w:rPr>
          <w:sz w:val="24"/>
          <w:szCs w:val="24"/>
        </w:rPr>
        <w:t xml:space="preserve"> </w:t>
      </w:r>
      <w:r w:rsidRPr="00453FAB">
        <w:rPr>
          <w:sz w:val="24"/>
          <w:szCs w:val="24"/>
        </w:rPr>
        <w:t>en los pacientes con leucemia linfoide aguda</w:t>
      </w:r>
      <w:r w:rsidR="00262194">
        <w:rPr>
          <w:sz w:val="24"/>
          <w:szCs w:val="24"/>
        </w:rPr>
        <w:t>.</w:t>
      </w:r>
    </w:p>
    <w:p w14:paraId="1C70FE0C" w14:textId="19875A13" w:rsidR="00EA6771" w:rsidRDefault="00EA6771" w:rsidP="000C0B9E">
      <w:pPr>
        <w:spacing w:line="240" w:lineRule="auto"/>
        <w:jc w:val="both"/>
        <w:rPr>
          <w:sz w:val="24"/>
          <w:szCs w:val="24"/>
        </w:rPr>
      </w:pPr>
    </w:p>
    <w:p w14:paraId="78973FE0" w14:textId="11CC3F4B" w:rsidR="00EA6771" w:rsidRDefault="00EA6771" w:rsidP="000C0B9E">
      <w:pPr>
        <w:spacing w:line="240" w:lineRule="auto"/>
        <w:jc w:val="both"/>
        <w:rPr>
          <w:sz w:val="24"/>
          <w:szCs w:val="24"/>
        </w:rPr>
      </w:pPr>
    </w:p>
    <w:p w14:paraId="63A4EA0C" w14:textId="121E42A4" w:rsidR="00EA6771" w:rsidRDefault="00EA6771" w:rsidP="000C0B9E">
      <w:pPr>
        <w:spacing w:line="240" w:lineRule="auto"/>
        <w:jc w:val="both"/>
        <w:rPr>
          <w:sz w:val="24"/>
          <w:szCs w:val="24"/>
        </w:rPr>
      </w:pPr>
    </w:p>
    <w:p w14:paraId="2DEF4BB2" w14:textId="418AEDAB" w:rsidR="00EA6771" w:rsidRDefault="00EA6771" w:rsidP="000C0B9E">
      <w:pPr>
        <w:spacing w:line="240" w:lineRule="auto"/>
        <w:jc w:val="both"/>
        <w:rPr>
          <w:sz w:val="24"/>
          <w:szCs w:val="24"/>
        </w:rPr>
      </w:pPr>
    </w:p>
    <w:p w14:paraId="09CC8387" w14:textId="5B55C0A2" w:rsidR="00EA6771" w:rsidRDefault="00EA6771" w:rsidP="000C0B9E">
      <w:pPr>
        <w:spacing w:line="240" w:lineRule="auto"/>
        <w:jc w:val="both"/>
        <w:rPr>
          <w:sz w:val="24"/>
          <w:szCs w:val="24"/>
        </w:rPr>
      </w:pPr>
    </w:p>
    <w:p w14:paraId="03CBF586" w14:textId="4374FF6D" w:rsidR="00EA6771" w:rsidRDefault="00EA6771" w:rsidP="000C0B9E">
      <w:pPr>
        <w:spacing w:line="240" w:lineRule="auto"/>
        <w:jc w:val="both"/>
        <w:rPr>
          <w:sz w:val="24"/>
          <w:szCs w:val="24"/>
        </w:rPr>
      </w:pPr>
    </w:p>
    <w:p w14:paraId="7A77D6C7" w14:textId="4886038C" w:rsidR="00EA6771" w:rsidRDefault="00EA6771" w:rsidP="000C0B9E">
      <w:pPr>
        <w:spacing w:line="240" w:lineRule="auto"/>
        <w:jc w:val="both"/>
        <w:rPr>
          <w:sz w:val="24"/>
          <w:szCs w:val="24"/>
        </w:rPr>
      </w:pPr>
    </w:p>
    <w:p w14:paraId="5842F789" w14:textId="09422E23" w:rsidR="00EA6771" w:rsidRDefault="00EA6771" w:rsidP="000C0B9E">
      <w:pPr>
        <w:spacing w:line="240" w:lineRule="auto"/>
        <w:jc w:val="both"/>
        <w:rPr>
          <w:sz w:val="24"/>
          <w:szCs w:val="24"/>
        </w:rPr>
      </w:pPr>
    </w:p>
    <w:p w14:paraId="4AF0AD49" w14:textId="1CEF1A59" w:rsidR="00EA6771" w:rsidRDefault="00EA6771" w:rsidP="000C0B9E">
      <w:pPr>
        <w:spacing w:line="240" w:lineRule="auto"/>
        <w:jc w:val="both"/>
        <w:rPr>
          <w:sz w:val="24"/>
          <w:szCs w:val="24"/>
        </w:rPr>
      </w:pPr>
    </w:p>
    <w:p w14:paraId="1BD28ACC" w14:textId="253F0746" w:rsidR="00EA6771" w:rsidRDefault="00EA6771" w:rsidP="000C0B9E">
      <w:pPr>
        <w:spacing w:line="240" w:lineRule="auto"/>
        <w:jc w:val="both"/>
        <w:rPr>
          <w:sz w:val="24"/>
          <w:szCs w:val="24"/>
        </w:rPr>
      </w:pPr>
    </w:p>
    <w:p w14:paraId="7E06CD5C" w14:textId="4FCC063F" w:rsidR="00EA6771" w:rsidRDefault="00EA6771" w:rsidP="000C0B9E">
      <w:pPr>
        <w:spacing w:line="240" w:lineRule="auto"/>
        <w:jc w:val="both"/>
        <w:rPr>
          <w:sz w:val="24"/>
          <w:szCs w:val="24"/>
        </w:rPr>
      </w:pPr>
    </w:p>
    <w:p w14:paraId="61187DF8" w14:textId="7A24D56C" w:rsidR="00EA6771" w:rsidRDefault="00EA6771" w:rsidP="000C0B9E">
      <w:pPr>
        <w:spacing w:line="240" w:lineRule="auto"/>
        <w:jc w:val="both"/>
        <w:rPr>
          <w:sz w:val="24"/>
          <w:szCs w:val="24"/>
        </w:rPr>
      </w:pPr>
    </w:p>
    <w:p w14:paraId="721C9887" w14:textId="005EAD74" w:rsidR="00EA6771" w:rsidRDefault="00EA6771" w:rsidP="000C0B9E">
      <w:pPr>
        <w:spacing w:line="240" w:lineRule="auto"/>
        <w:jc w:val="both"/>
        <w:rPr>
          <w:sz w:val="24"/>
          <w:szCs w:val="24"/>
        </w:rPr>
      </w:pPr>
    </w:p>
    <w:p w14:paraId="4B30E03B" w14:textId="25B314ED" w:rsidR="00EA6771" w:rsidRDefault="00EA6771" w:rsidP="000C0B9E">
      <w:pPr>
        <w:spacing w:line="240" w:lineRule="auto"/>
        <w:jc w:val="both"/>
        <w:rPr>
          <w:sz w:val="24"/>
          <w:szCs w:val="24"/>
        </w:rPr>
      </w:pPr>
    </w:p>
    <w:p w14:paraId="623693D9" w14:textId="3C86FF2B" w:rsidR="00EA6771" w:rsidRDefault="00EA6771" w:rsidP="000C0B9E">
      <w:pPr>
        <w:spacing w:line="240" w:lineRule="auto"/>
        <w:jc w:val="both"/>
        <w:rPr>
          <w:sz w:val="24"/>
          <w:szCs w:val="24"/>
        </w:rPr>
      </w:pPr>
    </w:p>
    <w:p w14:paraId="21F7EA44" w14:textId="0CE1888E" w:rsidR="00EA6771" w:rsidRDefault="00EA6771" w:rsidP="000C0B9E">
      <w:pPr>
        <w:spacing w:line="240" w:lineRule="auto"/>
        <w:jc w:val="both"/>
        <w:rPr>
          <w:sz w:val="24"/>
          <w:szCs w:val="24"/>
        </w:rPr>
      </w:pPr>
    </w:p>
    <w:p w14:paraId="43405A5F" w14:textId="5B6F5364" w:rsidR="00EA6771" w:rsidRDefault="00EA6771" w:rsidP="000C0B9E">
      <w:pPr>
        <w:spacing w:line="240" w:lineRule="auto"/>
        <w:jc w:val="both"/>
        <w:rPr>
          <w:sz w:val="24"/>
          <w:szCs w:val="24"/>
        </w:rPr>
      </w:pPr>
    </w:p>
    <w:p w14:paraId="58DF07F5" w14:textId="51AFE2B6" w:rsidR="00EA6771" w:rsidRDefault="00EA6771" w:rsidP="000C0B9E">
      <w:pPr>
        <w:spacing w:line="240" w:lineRule="auto"/>
        <w:jc w:val="both"/>
        <w:rPr>
          <w:sz w:val="24"/>
          <w:szCs w:val="24"/>
        </w:rPr>
      </w:pPr>
    </w:p>
    <w:p w14:paraId="639950E2" w14:textId="2F99A36F" w:rsidR="00EA6771" w:rsidRDefault="00EA6771" w:rsidP="000C0B9E">
      <w:pPr>
        <w:spacing w:line="240" w:lineRule="auto"/>
        <w:jc w:val="both"/>
        <w:rPr>
          <w:sz w:val="24"/>
          <w:szCs w:val="24"/>
        </w:rPr>
      </w:pPr>
    </w:p>
    <w:p w14:paraId="341FA1C8" w14:textId="4539DC61" w:rsidR="00EA6771" w:rsidRDefault="00EA6771" w:rsidP="000C0B9E">
      <w:pPr>
        <w:spacing w:line="240" w:lineRule="auto"/>
        <w:jc w:val="both"/>
        <w:rPr>
          <w:sz w:val="24"/>
          <w:szCs w:val="24"/>
        </w:rPr>
      </w:pPr>
    </w:p>
    <w:p w14:paraId="57C84C61" w14:textId="319F1FB1" w:rsidR="00EA6771" w:rsidRDefault="00EA6771" w:rsidP="000C0B9E">
      <w:pPr>
        <w:spacing w:line="240" w:lineRule="auto"/>
        <w:jc w:val="both"/>
        <w:rPr>
          <w:sz w:val="24"/>
          <w:szCs w:val="24"/>
        </w:rPr>
      </w:pPr>
    </w:p>
    <w:p w14:paraId="408FA0BE" w14:textId="0D9184D1" w:rsidR="00EA6771" w:rsidRDefault="00EA6771" w:rsidP="000C0B9E">
      <w:pPr>
        <w:spacing w:line="240" w:lineRule="auto"/>
        <w:jc w:val="both"/>
        <w:rPr>
          <w:sz w:val="24"/>
          <w:szCs w:val="24"/>
        </w:rPr>
      </w:pPr>
    </w:p>
    <w:p w14:paraId="22A10F48" w14:textId="6D1B0DD1" w:rsidR="00EA6771" w:rsidRDefault="00EA6771" w:rsidP="000C0B9E">
      <w:pPr>
        <w:spacing w:line="240" w:lineRule="auto"/>
        <w:jc w:val="both"/>
        <w:rPr>
          <w:sz w:val="24"/>
          <w:szCs w:val="24"/>
        </w:rPr>
      </w:pPr>
    </w:p>
    <w:p w14:paraId="41EE0489" w14:textId="1CC3134B" w:rsidR="00EA6771" w:rsidRDefault="00EA6771" w:rsidP="000C0B9E">
      <w:pPr>
        <w:spacing w:line="240" w:lineRule="auto"/>
        <w:jc w:val="both"/>
        <w:rPr>
          <w:sz w:val="24"/>
          <w:szCs w:val="24"/>
        </w:rPr>
      </w:pPr>
    </w:p>
    <w:p w14:paraId="02C7F360" w14:textId="3F17AC0A" w:rsidR="00EA6771" w:rsidRDefault="00EA6771" w:rsidP="000C0B9E">
      <w:pPr>
        <w:spacing w:line="240" w:lineRule="auto"/>
        <w:jc w:val="both"/>
        <w:rPr>
          <w:sz w:val="24"/>
          <w:szCs w:val="24"/>
        </w:rPr>
      </w:pPr>
    </w:p>
    <w:p w14:paraId="0A2FC331" w14:textId="61E17D7D" w:rsidR="00EA6771" w:rsidRDefault="00EA6771" w:rsidP="000C0B9E">
      <w:pPr>
        <w:spacing w:line="240" w:lineRule="auto"/>
        <w:jc w:val="both"/>
        <w:rPr>
          <w:sz w:val="24"/>
          <w:szCs w:val="24"/>
        </w:rPr>
      </w:pPr>
    </w:p>
    <w:p w14:paraId="2297FF73" w14:textId="054C3619" w:rsidR="00EA6771" w:rsidRDefault="00EA6771" w:rsidP="000C0B9E">
      <w:pPr>
        <w:spacing w:line="240" w:lineRule="auto"/>
        <w:jc w:val="both"/>
        <w:rPr>
          <w:sz w:val="24"/>
          <w:szCs w:val="24"/>
        </w:rPr>
      </w:pPr>
    </w:p>
    <w:p w14:paraId="57C416DA" w14:textId="28D8976D" w:rsidR="00EA6771" w:rsidRDefault="00EA6771" w:rsidP="000C0B9E">
      <w:pPr>
        <w:spacing w:line="240" w:lineRule="auto"/>
        <w:jc w:val="both"/>
        <w:rPr>
          <w:sz w:val="24"/>
          <w:szCs w:val="24"/>
        </w:rPr>
      </w:pPr>
    </w:p>
    <w:p w14:paraId="18360771" w14:textId="5DC667C0" w:rsidR="00EA6771" w:rsidRDefault="00EA6771" w:rsidP="000C0B9E">
      <w:pPr>
        <w:spacing w:line="240" w:lineRule="auto"/>
        <w:jc w:val="both"/>
        <w:rPr>
          <w:sz w:val="24"/>
          <w:szCs w:val="24"/>
        </w:rPr>
      </w:pPr>
    </w:p>
    <w:p w14:paraId="1F871D53" w14:textId="7B11BB3D" w:rsidR="00EA6771" w:rsidRDefault="00EA6771" w:rsidP="000C0B9E">
      <w:pPr>
        <w:spacing w:line="240" w:lineRule="auto"/>
        <w:jc w:val="both"/>
        <w:rPr>
          <w:sz w:val="24"/>
          <w:szCs w:val="24"/>
        </w:rPr>
      </w:pPr>
    </w:p>
    <w:p w14:paraId="72490739" w14:textId="5260CD67" w:rsidR="00EA6771" w:rsidRDefault="00EA6771" w:rsidP="000C0B9E">
      <w:pPr>
        <w:spacing w:line="240" w:lineRule="auto"/>
        <w:jc w:val="both"/>
        <w:rPr>
          <w:sz w:val="24"/>
          <w:szCs w:val="24"/>
        </w:rPr>
      </w:pPr>
    </w:p>
    <w:p w14:paraId="66B4D8E2" w14:textId="27E53420" w:rsidR="00EA6771" w:rsidRDefault="00EA6771" w:rsidP="000C0B9E">
      <w:pPr>
        <w:spacing w:line="240" w:lineRule="auto"/>
        <w:jc w:val="both"/>
        <w:rPr>
          <w:sz w:val="24"/>
          <w:szCs w:val="24"/>
        </w:rPr>
      </w:pPr>
    </w:p>
    <w:p w14:paraId="1F0D8605" w14:textId="4E347999" w:rsidR="00EA6771" w:rsidRDefault="00EA6771" w:rsidP="000C0B9E">
      <w:pPr>
        <w:spacing w:line="240" w:lineRule="auto"/>
        <w:jc w:val="both"/>
        <w:rPr>
          <w:sz w:val="24"/>
          <w:szCs w:val="24"/>
        </w:rPr>
      </w:pPr>
    </w:p>
    <w:p w14:paraId="4E29B6E0" w14:textId="61271AB4" w:rsidR="00EA6771" w:rsidRDefault="00EA6771" w:rsidP="000C0B9E">
      <w:pPr>
        <w:spacing w:line="240" w:lineRule="auto"/>
        <w:jc w:val="both"/>
        <w:rPr>
          <w:sz w:val="24"/>
          <w:szCs w:val="24"/>
        </w:rPr>
      </w:pPr>
    </w:p>
    <w:p w14:paraId="34385591" w14:textId="73F9FA07" w:rsidR="00EA6771" w:rsidRDefault="00EA6771" w:rsidP="000C0B9E">
      <w:pPr>
        <w:spacing w:line="240" w:lineRule="auto"/>
        <w:jc w:val="both"/>
        <w:rPr>
          <w:sz w:val="24"/>
          <w:szCs w:val="24"/>
        </w:rPr>
      </w:pPr>
    </w:p>
    <w:p w14:paraId="57F9D72D" w14:textId="5EF1FCA2" w:rsidR="00EA6771" w:rsidRDefault="00EA6771" w:rsidP="000C0B9E">
      <w:pPr>
        <w:spacing w:line="240" w:lineRule="auto"/>
        <w:jc w:val="both"/>
        <w:rPr>
          <w:sz w:val="24"/>
          <w:szCs w:val="24"/>
        </w:rPr>
      </w:pPr>
    </w:p>
    <w:p w14:paraId="0475A9C6" w14:textId="7CA6AB25" w:rsidR="00EA6771" w:rsidRDefault="00EA6771" w:rsidP="000C0B9E">
      <w:pPr>
        <w:spacing w:line="240" w:lineRule="auto"/>
        <w:jc w:val="both"/>
        <w:rPr>
          <w:sz w:val="24"/>
          <w:szCs w:val="24"/>
        </w:rPr>
      </w:pPr>
    </w:p>
    <w:p w14:paraId="2100B2D0" w14:textId="49FE9EED" w:rsidR="00EA6771" w:rsidRDefault="00EA6771" w:rsidP="000C0B9E">
      <w:pPr>
        <w:spacing w:line="240" w:lineRule="auto"/>
        <w:jc w:val="both"/>
        <w:rPr>
          <w:sz w:val="24"/>
          <w:szCs w:val="24"/>
        </w:rPr>
      </w:pPr>
    </w:p>
    <w:p w14:paraId="4823B5A0" w14:textId="78D3B88E" w:rsidR="00EA6771" w:rsidRDefault="00EA6771" w:rsidP="000C0B9E">
      <w:pPr>
        <w:spacing w:line="240" w:lineRule="auto"/>
        <w:jc w:val="both"/>
        <w:rPr>
          <w:sz w:val="24"/>
          <w:szCs w:val="24"/>
        </w:rPr>
      </w:pPr>
    </w:p>
    <w:p w14:paraId="6D5C263B" w14:textId="2739E5C0" w:rsidR="00EA6771" w:rsidRDefault="00EA6771" w:rsidP="000C0B9E">
      <w:pPr>
        <w:spacing w:line="240" w:lineRule="auto"/>
        <w:jc w:val="both"/>
        <w:rPr>
          <w:sz w:val="24"/>
          <w:szCs w:val="24"/>
        </w:rPr>
      </w:pPr>
    </w:p>
    <w:p w14:paraId="732FB384" w14:textId="71E3779D" w:rsidR="00EA6771" w:rsidRDefault="00EA6771" w:rsidP="000C0B9E">
      <w:pPr>
        <w:spacing w:line="240" w:lineRule="auto"/>
        <w:jc w:val="both"/>
        <w:rPr>
          <w:sz w:val="24"/>
          <w:szCs w:val="24"/>
        </w:rPr>
      </w:pPr>
    </w:p>
    <w:p w14:paraId="3E70C396" w14:textId="440BBC55" w:rsidR="00EA6771" w:rsidRDefault="00EA6771" w:rsidP="000C0B9E">
      <w:pPr>
        <w:spacing w:line="240" w:lineRule="auto"/>
        <w:jc w:val="both"/>
        <w:rPr>
          <w:sz w:val="24"/>
          <w:szCs w:val="24"/>
        </w:rPr>
      </w:pPr>
    </w:p>
    <w:p w14:paraId="1144E26C" w14:textId="6E1C2861" w:rsidR="00EA6771" w:rsidRDefault="00EA6771" w:rsidP="000C0B9E">
      <w:pPr>
        <w:spacing w:line="240" w:lineRule="auto"/>
        <w:jc w:val="both"/>
        <w:rPr>
          <w:sz w:val="24"/>
          <w:szCs w:val="24"/>
        </w:rPr>
      </w:pPr>
    </w:p>
    <w:p w14:paraId="49461171" w14:textId="1C9544B3" w:rsidR="00EA6771" w:rsidRDefault="00EA6771" w:rsidP="000C0B9E">
      <w:pPr>
        <w:spacing w:line="240" w:lineRule="auto"/>
        <w:jc w:val="both"/>
        <w:rPr>
          <w:sz w:val="24"/>
          <w:szCs w:val="24"/>
        </w:rPr>
      </w:pPr>
    </w:p>
    <w:p w14:paraId="25795328" w14:textId="48A63AD4" w:rsidR="00EA6771" w:rsidRDefault="00EA6771" w:rsidP="000C0B9E">
      <w:pPr>
        <w:spacing w:line="240" w:lineRule="auto"/>
        <w:jc w:val="both"/>
        <w:rPr>
          <w:sz w:val="24"/>
          <w:szCs w:val="24"/>
        </w:rPr>
      </w:pPr>
    </w:p>
    <w:p w14:paraId="5E818D6C" w14:textId="77777777" w:rsidR="00EA6771" w:rsidRPr="000C0B9E" w:rsidRDefault="00EA6771" w:rsidP="000C0B9E">
      <w:pPr>
        <w:spacing w:line="240" w:lineRule="auto"/>
        <w:jc w:val="both"/>
        <w:rPr>
          <w:sz w:val="24"/>
          <w:szCs w:val="24"/>
        </w:rPr>
      </w:pPr>
    </w:p>
    <w:p w14:paraId="3E849E9A" w14:textId="77777777" w:rsidR="00047D47" w:rsidRPr="000C0B9E" w:rsidRDefault="00C91753" w:rsidP="00807136">
      <w:pPr>
        <w:pStyle w:val="Ttulo1"/>
        <w:spacing w:before="120"/>
      </w:pPr>
      <w:bookmarkStart w:id="1" w:name="_Toc213145979"/>
      <w:r w:rsidRPr="000C0B9E">
        <w:lastRenderedPageBreak/>
        <w:t>Objetivos:</w:t>
      </w:r>
      <w:bookmarkEnd w:id="1"/>
      <w:r w:rsidRPr="000C0B9E">
        <w:t xml:space="preserve"> </w:t>
      </w:r>
    </w:p>
    <w:p w14:paraId="00C55776" w14:textId="77777777" w:rsidR="00047D47" w:rsidRPr="000C0B9E" w:rsidRDefault="00047D47" w:rsidP="000C0B9E">
      <w:pPr>
        <w:spacing w:line="240" w:lineRule="auto"/>
        <w:jc w:val="both"/>
        <w:rPr>
          <w:b/>
          <w:sz w:val="24"/>
          <w:szCs w:val="24"/>
        </w:rPr>
      </w:pPr>
    </w:p>
    <w:p w14:paraId="2DB8F15B" w14:textId="14682BF2" w:rsidR="00047D47" w:rsidRDefault="00C91753" w:rsidP="00807136">
      <w:pPr>
        <w:pStyle w:val="Ttulo2"/>
      </w:pPr>
      <w:bookmarkStart w:id="2" w:name="_Toc213145980"/>
      <w:r w:rsidRPr="000C0B9E">
        <w:t>Objetivo general:</w:t>
      </w:r>
      <w:bookmarkEnd w:id="2"/>
      <w:r w:rsidRPr="000C0B9E">
        <w:t xml:space="preserve"> </w:t>
      </w:r>
    </w:p>
    <w:p w14:paraId="7B6AA97E" w14:textId="60C5115A" w:rsidR="00453FAB" w:rsidRPr="00453FAB" w:rsidRDefault="00453FAB" w:rsidP="00453FAB">
      <w:pPr>
        <w:jc w:val="both"/>
        <w:rPr>
          <w:sz w:val="24"/>
        </w:rPr>
      </w:pPr>
      <w:r w:rsidRPr="00453FAB">
        <w:rPr>
          <w:sz w:val="24"/>
        </w:rPr>
        <w:t>Determinar la incidencia acumulada de muertes en inducción y la mortalidad relacionada al tratamiento en primera remisión completa y los posibles factores de riesgo de muerte en niños y adolescentes con Leucemia Linfoide Aguda en el Instituto Nacional de Cancerología entre 1 de enero de 2017 y 31 de diciembre del 2022.</w:t>
      </w:r>
    </w:p>
    <w:p w14:paraId="1FC34BF7" w14:textId="77777777" w:rsidR="00047D47" w:rsidRPr="000C0B9E" w:rsidRDefault="00047D47" w:rsidP="000C0B9E">
      <w:pPr>
        <w:spacing w:line="240" w:lineRule="auto"/>
        <w:jc w:val="both"/>
        <w:rPr>
          <w:rFonts w:eastAsia="Aptos"/>
          <w:sz w:val="24"/>
          <w:szCs w:val="24"/>
        </w:rPr>
      </w:pPr>
    </w:p>
    <w:p w14:paraId="22460A07" w14:textId="77777777" w:rsidR="00047D47" w:rsidRPr="000C0B9E" w:rsidRDefault="00C91753" w:rsidP="0004759F">
      <w:pPr>
        <w:pStyle w:val="Ttulo2"/>
      </w:pPr>
      <w:bookmarkStart w:id="3" w:name="_Toc213145981"/>
      <w:r w:rsidRPr="000C0B9E">
        <w:t>Objetivos específicos:</w:t>
      </w:r>
      <w:bookmarkEnd w:id="3"/>
    </w:p>
    <w:p w14:paraId="3A913C44" w14:textId="60318EC6" w:rsidR="00453FAB" w:rsidRDefault="00453FAB" w:rsidP="00453FAB">
      <w:pPr>
        <w:pStyle w:val="Prrafodelista"/>
        <w:numPr>
          <w:ilvl w:val="0"/>
          <w:numId w:val="13"/>
        </w:numPr>
        <w:spacing w:line="240" w:lineRule="auto"/>
        <w:jc w:val="both"/>
        <w:rPr>
          <w:sz w:val="24"/>
          <w:szCs w:val="24"/>
          <w:lang w:val="es-ES_tradnl"/>
        </w:rPr>
      </w:pPr>
      <w:r w:rsidRPr="00453FAB">
        <w:rPr>
          <w:sz w:val="24"/>
          <w:szCs w:val="24"/>
          <w:lang w:val="es-ES_tradnl"/>
        </w:rPr>
        <w:t xml:space="preserve">Describir las características sociodemográficas de los pacientes menores de 18 años con Leucemia </w:t>
      </w:r>
      <w:proofErr w:type="spellStart"/>
      <w:r w:rsidRPr="00453FAB">
        <w:rPr>
          <w:sz w:val="24"/>
          <w:szCs w:val="24"/>
          <w:lang w:val="es-ES_tradnl"/>
        </w:rPr>
        <w:t>linfoblástica</w:t>
      </w:r>
      <w:proofErr w:type="spellEnd"/>
      <w:r w:rsidRPr="00453FAB">
        <w:rPr>
          <w:sz w:val="24"/>
          <w:szCs w:val="24"/>
          <w:lang w:val="es-ES_tradnl"/>
        </w:rPr>
        <w:t xml:space="preserve"> aguda tratados en el INC con el protocolo BFM-ALLIC 2009 en el periodo de 1 enero del 20017 a 31 de diciembre del 2022.</w:t>
      </w:r>
    </w:p>
    <w:p w14:paraId="13452F3A" w14:textId="77777777" w:rsidR="00453FAB" w:rsidRPr="00453FAB" w:rsidRDefault="00453FAB" w:rsidP="00453FAB">
      <w:pPr>
        <w:pStyle w:val="Prrafodelista"/>
        <w:spacing w:line="240" w:lineRule="auto"/>
        <w:ind w:left="1080"/>
        <w:jc w:val="both"/>
        <w:rPr>
          <w:sz w:val="24"/>
          <w:szCs w:val="24"/>
          <w:lang w:val="es-ES_tradnl"/>
        </w:rPr>
      </w:pPr>
    </w:p>
    <w:p w14:paraId="55AF96EB" w14:textId="1A28BA14" w:rsidR="00453FAB" w:rsidRDefault="00453FAB" w:rsidP="00453FAB">
      <w:pPr>
        <w:pStyle w:val="Prrafodelista"/>
        <w:numPr>
          <w:ilvl w:val="0"/>
          <w:numId w:val="13"/>
        </w:numPr>
        <w:spacing w:line="240" w:lineRule="auto"/>
        <w:jc w:val="both"/>
        <w:rPr>
          <w:sz w:val="24"/>
          <w:szCs w:val="24"/>
          <w:lang w:val="es-ES_tradnl"/>
        </w:rPr>
      </w:pPr>
      <w:r w:rsidRPr="00453FAB">
        <w:rPr>
          <w:sz w:val="24"/>
          <w:szCs w:val="24"/>
          <w:lang w:val="es-ES_tradnl"/>
        </w:rPr>
        <w:t>Determinar la incidencia acumulada de muertes en inducción en niños y adolescentes con Leucemia Linfoide aguda en el Instituto Nacional de Cancerología entre 1 de enero de 2017 y 31 de diciembre del 2022.</w:t>
      </w:r>
    </w:p>
    <w:p w14:paraId="1BBC1971" w14:textId="77777777" w:rsidR="00453FAB" w:rsidRPr="00453FAB" w:rsidRDefault="00453FAB" w:rsidP="00453FAB">
      <w:pPr>
        <w:spacing w:line="240" w:lineRule="auto"/>
        <w:jc w:val="both"/>
        <w:rPr>
          <w:sz w:val="24"/>
          <w:szCs w:val="24"/>
          <w:lang w:val="es-ES_tradnl"/>
        </w:rPr>
      </w:pPr>
    </w:p>
    <w:p w14:paraId="73ED76C8" w14:textId="57B8B32E" w:rsidR="00453FAB" w:rsidRDefault="00453FAB" w:rsidP="00453FAB">
      <w:pPr>
        <w:pStyle w:val="Prrafodelista"/>
        <w:numPr>
          <w:ilvl w:val="0"/>
          <w:numId w:val="13"/>
        </w:numPr>
        <w:spacing w:line="240" w:lineRule="auto"/>
        <w:jc w:val="both"/>
        <w:rPr>
          <w:sz w:val="24"/>
          <w:szCs w:val="24"/>
          <w:lang w:val="es-ES_tradnl"/>
        </w:rPr>
      </w:pPr>
      <w:r w:rsidRPr="00453FAB">
        <w:rPr>
          <w:sz w:val="24"/>
          <w:szCs w:val="24"/>
          <w:lang w:val="es-ES_tradnl"/>
        </w:rPr>
        <w:t>Determinar la incidencia acumulada de muertes no relacionadas con enfermedad refractaria (progresión), recaída o muerte por trasplante de células madre hematopoyéticas en los pacientes con leucemia linfoidea aguda en el Instituto Nacional de Cancerología entre 1 de enero de 2017 y 31 de diciembre del 2022</w:t>
      </w:r>
      <w:r>
        <w:rPr>
          <w:sz w:val="24"/>
          <w:szCs w:val="24"/>
          <w:lang w:val="es-ES_tradnl"/>
        </w:rPr>
        <w:t>.</w:t>
      </w:r>
    </w:p>
    <w:p w14:paraId="14493666" w14:textId="77777777" w:rsidR="00453FAB" w:rsidRPr="00453FAB" w:rsidRDefault="00453FAB" w:rsidP="00453FAB">
      <w:pPr>
        <w:spacing w:line="240" w:lineRule="auto"/>
        <w:jc w:val="both"/>
        <w:rPr>
          <w:sz w:val="24"/>
          <w:szCs w:val="24"/>
          <w:lang w:val="es-ES_tradnl"/>
        </w:rPr>
      </w:pPr>
    </w:p>
    <w:p w14:paraId="7B66A096" w14:textId="77777777" w:rsidR="00453FAB" w:rsidRDefault="00453FAB" w:rsidP="00453FAB">
      <w:pPr>
        <w:pStyle w:val="Prrafodelista"/>
        <w:numPr>
          <w:ilvl w:val="0"/>
          <w:numId w:val="13"/>
        </w:numPr>
        <w:spacing w:line="240" w:lineRule="auto"/>
        <w:jc w:val="both"/>
        <w:rPr>
          <w:sz w:val="24"/>
          <w:szCs w:val="24"/>
          <w:lang w:val="es-ES_tradnl"/>
        </w:rPr>
      </w:pPr>
      <w:r w:rsidRPr="00453FAB">
        <w:rPr>
          <w:sz w:val="24"/>
          <w:szCs w:val="24"/>
          <w:lang w:val="es-ES_tradnl"/>
        </w:rPr>
        <w:t>Explorar las posibles causas de muertes evitables en inducción a la remisión y de las muertes relacionadas al tratamiento en primera remisión completa.</w:t>
      </w:r>
    </w:p>
    <w:p w14:paraId="2B2B887D" w14:textId="77777777" w:rsidR="00453FAB" w:rsidRPr="00453FAB" w:rsidRDefault="00453FAB" w:rsidP="00453FAB">
      <w:pPr>
        <w:pStyle w:val="Prrafodelista"/>
        <w:rPr>
          <w:sz w:val="24"/>
          <w:szCs w:val="24"/>
          <w:lang w:val="es-ES_tradnl"/>
        </w:rPr>
      </w:pPr>
    </w:p>
    <w:p w14:paraId="3602A155" w14:textId="3D4AD8A9" w:rsidR="000C0B9E" w:rsidRPr="00453FAB" w:rsidRDefault="00453FAB" w:rsidP="00453FAB">
      <w:pPr>
        <w:pStyle w:val="Prrafodelista"/>
        <w:numPr>
          <w:ilvl w:val="0"/>
          <w:numId w:val="13"/>
        </w:numPr>
        <w:spacing w:line="240" w:lineRule="auto"/>
        <w:jc w:val="both"/>
        <w:rPr>
          <w:sz w:val="24"/>
          <w:szCs w:val="24"/>
          <w:lang w:val="es-ES_tradnl"/>
        </w:rPr>
      </w:pPr>
      <w:r w:rsidRPr="00453FAB">
        <w:rPr>
          <w:sz w:val="24"/>
          <w:szCs w:val="24"/>
          <w:lang w:val="es-ES_tradnl"/>
        </w:rPr>
        <w:t>Explorar los posibles factores pronósticos de las muertes asociadas a tratamiento en niños y adolescentes con Leucemia Linfoide Aguda en el Instituto Nacional de Cancerología entre 1 de enero de 2017 y 31 de diciembre del 2022.</w:t>
      </w:r>
    </w:p>
    <w:p w14:paraId="0F4D7E94" w14:textId="26FB5109" w:rsidR="00EA6771" w:rsidRDefault="00EA6771" w:rsidP="000C0B9E">
      <w:pPr>
        <w:pStyle w:val="Prrafodelista"/>
        <w:spacing w:line="240" w:lineRule="auto"/>
        <w:jc w:val="both"/>
        <w:rPr>
          <w:sz w:val="24"/>
          <w:szCs w:val="24"/>
        </w:rPr>
      </w:pPr>
    </w:p>
    <w:p w14:paraId="12608690" w14:textId="1C16EFF2" w:rsidR="00EA6771" w:rsidRDefault="00EA6771" w:rsidP="000C0B9E">
      <w:pPr>
        <w:pStyle w:val="Prrafodelista"/>
        <w:spacing w:line="240" w:lineRule="auto"/>
        <w:jc w:val="both"/>
        <w:rPr>
          <w:sz w:val="24"/>
          <w:szCs w:val="24"/>
        </w:rPr>
      </w:pPr>
    </w:p>
    <w:p w14:paraId="36FFE225" w14:textId="11936702" w:rsidR="00EA6771" w:rsidRDefault="00EA6771" w:rsidP="000C0B9E">
      <w:pPr>
        <w:pStyle w:val="Prrafodelista"/>
        <w:spacing w:line="240" w:lineRule="auto"/>
        <w:jc w:val="both"/>
        <w:rPr>
          <w:sz w:val="24"/>
          <w:szCs w:val="24"/>
        </w:rPr>
      </w:pPr>
    </w:p>
    <w:p w14:paraId="5EE368BA" w14:textId="55359FD4" w:rsidR="00EA6771" w:rsidRDefault="00EA6771" w:rsidP="000C0B9E">
      <w:pPr>
        <w:pStyle w:val="Prrafodelista"/>
        <w:spacing w:line="240" w:lineRule="auto"/>
        <w:jc w:val="both"/>
        <w:rPr>
          <w:sz w:val="24"/>
          <w:szCs w:val="24"/>
        </w:rPr>
      </w:pPr>
    </w:p>
    <w:p w14:paraId="05417650" w14:textId="3B649CED" w:rsidR="00EA6771" w:rsidRDefault="00EA6771" w:rsidP="000C0B9E">
      <w:pPr>
        <w:pStyle w:val="Prrafodelista"/>
        <w:spacing w:line="240" w:lineRule="auto"/>
        <w:jc w:val="both"/>
        <w:rPr>
          <w:sz w:val="24"/>
          <w:szCs w:val="24"/>
        </w:rPr>
      </w:pPr>
    </w:p>
    <w:p w14:paraId="1DE4FCFA" w14:textId="74C9C43B" w:rsidR="00EA6771" w:rsidRDefault="00EA6771" w:rsidP="000C0B9E">
      <w:pPr>
        <w:pStyle w:val="Prrafodelista"/>
        <w:spacing w:line="240" w:lineRule="auto"/>
        <w:jc w:val="both"/>
        <w:rPr>
          <w:sz w:val="24"/>
          <w:szCs w:val="24"/>
        </w:rPr>
      </w:pPr>
    </w:p>
    <w:p w14:paraId="7B79FB39" w14:textId="11A7BA36" w:rsidR="00EA6771" w:rsidRDefault="00EA6771" w:rsidP="000C0B9E">
      <w:pPr>
        <w:pStyle w:val="Prrafodelista"/>
        <w:spacing w:line="240" w:lineRule="auto"/>
        <w:jc w:val="both"/>
        <w:rPr>
          <w:sz w:val="24"/>
          <w:szCs w:val="24"/>
        </w:rPr>
      </w:pPr>
    </w:p>
    <w:p w14:paraId="6A9F70DF" w14:textId="01BA1141" w:rsidR="00EA6771" w:rsidRDefault="00EA6771" w:rsidP="000C0B9E">
      <w:pPr>
        <w:pStyle w:val="Prrafodelista"/>
        <w:spacing w:line="240" w:lineRule="auto"/>
        <w:jc w:val="both"/>
        <w:rPr>
          <w:sz w:val="24"/>
          <w:szCs w:val="24"/>
        </w:rPr>
      </w:pPr>
    </w:p>
    <w:p w14:paraId="5A348FDA" w14:textId="2D7F829A" w:rsidR="00EA6771" w:rsidRDefault="00EA6771" w:rsidP="000C0B9E">
      <w:pPr>
        <w:pStyle w:val="Prrafodelista"/>
        <w:spacing w:line="240" w:lineRule="auto"/>
        <w:jc w:val="both"/>
        <w:rPr>
          <w:sz w:val="24"/>
          <w:szCs w:val="24"/>
        </w:rPr>
      </w:pPr>
    </w:p>
    <w:p w14:paraId="0FC227B6" w14:textId="267A3BD3" w:rsidR="00EA6771" w:rsidRDefault="00EA6771" w:rsidP="000C0B9E">
      <w:pPr>
        <w:pStyle w:val="Prrafodelista"/>
        <w:spacing w:line="240" w:lineRule="auto"/>
        <w:jc w:val="both"/>
        <w:rPr>
          <w:sz w:val="24"/>
          <w:szCs w:val="24"/>
        </w:rPr>
      </w:pPr>
    </w:p>
    <w:p w14:paraId="3A55C4CD" w14:textId="076BBA54" w:rsidR="00EA6771" w:rsidRDefault="00EA6771" w:rsidP="000C0B9E">
      <w:pPr>
        <w:pStyle w:val="Prrafodelista"/>
        <w:spacing w:line="240" w:lineRule="auto"/>
        <w:jc w:val="both"/>
        <w:rPr>
          <w:sz w:val="24"/>
          <w:szCs w:val="24"/>
        </w:rPr>
      </w:pPr>
    </w:p>
    <w:p w14:paraId="4AD7D16D" w14:textId="548A232E" w:rsidR="00EA6771" w:rsidRDefault="00EA6771" w:rsidP="000C0B9E">
      <w:pPr>
        <w:pStyle w:val="Prrafodelista"/>
        <w:spacing w:line="240" w:lineRule="auto"/>
        <w:jc w:val="both"/>
        <w:rPr>
          <w:sz w:val="24"/>
          <w:szCs w:val="24"/>
        </w:rPr>
      </w:pPr>
    </w:p>
    <w:p w14:paraId="52747AB8" w14:textId="5994CAF8" w:rsidR="00EA6771" w:rsidRDefault="00EA6771" w:rsidP="000C0B9E">
      <w:pPr>
        <w:pStyle w:val="Prrafodelista"/>
        <w:spacing w:line="240" w:lineRule="auto"/>
        <w:jc w:val="both"/>
        <w:rPr>
          <w:sz w:val="24"/>
          <w:szCs w:val="24"/>
        </w:rPr>
      </w:pPr>
    </w:p>
    <w:p w14:paraId="3C3B7C0A" w14:textId="51124D58" w:rsidR="00EA6771" w:rsidRDefault="00EA6771" w:rsidP="000C0B9E">
      <w:pPr>
        <w:pStyle w:val="Prrafodelista"/>
        <w:spacing w:line="240" w:lineRule="auto"/>
        <w:jc w:val="both"/>
        <w:rPr>
          <w:sz w:val="24"/>
          <w:szCs w:val="24"/>
        </w:rPr>
      </w:pPr>
    </w:p>
    <w:p w14:paraId="462E0E46" w14:textId="6FE65D15" w:rsidR="00EA6771" w:rsidRDefault="00EA6771" w:rsidP="000C0B9E">
      <w:pPr>
        <w:pStyle w:val="Prrafodelista"/>
        <w:spacing w:line="240" w:lineRule="auto"/>
        <w:jc w:val="both"/>
        <w:rPr>
          <w:sz w:val="24"/>
          <w:szCs w:val="24"/>
        </w:rPr>
      </w:pPr>
    </w:p>
    <w:p w14:paraId="5DDE7C86" w14:textId="77777777" w:rsidR="00EA6771" w:rsidRPr="00453FAB" w:rsidRDefault="00EA6771" w:rsidP="00453FAB">
      <w:pPr>
        <w:spacing w:line="240" w:lineRule="auto"/>
        <w:jc w:val="both"/>
        <w:rPr>
          <w:sz w:val="24"/>
          <w:szCs w:val="24"/>
        </w:rPr>
      </w:pPr>
    </w:p>
    <w:p w14:paraId="6ED2D473" w14:textId="77777777" w:rsidR="00047D47" w:rsidRPr="000C0B9E" w:rsidRDefault="00C91753" w:rsidP="00807136">
      <w:pPr>
        <w:pStyle w:val="Ttulo1"/>
        <w:spacing w:before="120"/>
      </w:pPr>
      <w:bookmarkStart w:id="4" w:name="_Toc213145982"/>
      <w:r w:rsidRPr="000C0B9E">
        <w:lastRenderedPageBreak/>
        <w:t>Marco teórico:</w:t>
      </w:r>
      <w:bookmarkEnd w:id="4"/>
      <w:r w:rsidRPr="000C0B9E">
        <w:t xml:space="preserve"> </w:t>
      </w:r>
    </w:p>
    <w:p w14:paraId="742AC68B" w14:textId="7AA6A9AF" w:rsidR="00A02C02" w:rsidRPr="00A02C02" w:rsidRDefault="00A02C02" w:rsidP="00A02C02">
      <w:pPr>
        <w:pStyle w:val="Ttulo1"/>
        <w:spacing w:before="120"/>
        <w:jc w:val="both"/>
        <w:rPr>
          <w:b w:val="0"/>
        </w:rPr>
      </w:pPr>
      <w:r w:rsidRPr="00A02C02">
        <w:rPr>
          <w:b w:val="0"/>
        </w:rPr>
        <w:t xml:space="preserve">La leucemia aguda es el cáncer más común en pacientes menores de 15 años, con una incidencia anual de 45 casos/millón de habitantes menores de 20 años. El subtipo más frecuente es la leucemia </w:t>
      </w:r>
      <w:proofErr w:type="spellStart"/>
      <w:r w:rsidRPr="00A02C02">
        <w:rPr>
          <w:b w:val="0"/>
        </w:rPr>
        <w:t>linfoblástica</w:t>
      </w:r>
      <w:proofErr w:type="spellEnd"/>
      <w:r w:rsidRPr="00A02C02">
        <w:rPr>
          <w:b w:val="0"/>
        </w:rPr>
        <w:t xml:space="preserve"> aguda (LLA), la cual representa entre 25 a 30% de todos los tipos de cáncer en pacientes menores de 15 años con una incidencia aproximada de 34 casos/millón/año</w:t>
      </w:r>
      <w:r>
        <w:rPr>
          <w:b w:val="0"/>
        </w:rPr>
        <w:t xml:space="preserve"> (</w:t>
      </w:r>
      <w:r w:rsidRPr="00A02C02">
        <w:rPr>
          <w:b w:val="0"/>
        </w:rPr>
        <w:t xml:space="preserve">1 </w:t>
      </w:r>
      <w:r>
        <w:rPr>
          <w:b w:val="0"/>
        </w:rPr>
        <w:t>–</w:t>
      </w:r>
      <w:r w:rsidRPr="00A02C02">
        <w:rPr>
          <w:b w:val="0"/>
        </w:rPr>
        <w:t xml:space="preserve"> 2</w:t>
      </w:r>
      <w:r>
        <w:rPr>
          <w:b w:val="0"/>
        </w:rPr>
        <w:t>)</w:t>
      </w:r>
    </w:p>
    <w:p w14:paraId="7D34BB39" w14:textId="62E8F0D9" w:rsidR="00A02C02" w:rsidRPr="00A02C02" w:rsidRDefault="00A02C02" w:rsidP="00A02C02">
      <w:pPr>
        <w:pStyle w:val="Ttulo1"/>
        <w:spacing w:before="120"/>
        <w:jc w:val="both"/>
        <w:rPr>
          <w:b w:val="0"/>
        </w:rPr>
      </w:pPr>
      <w:r w:rsidRPr="00A02C02">
        <w:rPr>
          <w:b w:val="0"/>
        </w:rPr>
        <w:t>En las últimas décadas se ha mejorado la sobrevida de estos pacientes en países con altos ingresos económicos y acceso a los tratamientos intensivos y ajustados a grupos de riesgo mediante la inclusión de los pacientes a ensayos clínicos que permiten clasificación de la enfermedad no solo con parámetros clínicos y morfológicos, sino que se realizan estudios inmunológicos y genéticos con biología molecular en el del 100% de los pacientes</w:t>
      </w:r>
      <w:r>
        <w:rPr>
          <w:b w:val="0"/>
        </w:rPr>
        <w:t xml:space="preserve"> (</w:t>
      </w:r>
      <w:r w:rsidRPr="00A02C02">
        <w:rPr>
          <w:b w:val="0"/>
        </w:rPr>
        <w:t>3-4</w:t>
      </w:r>
      <w:r>
        <w:rPr>
          <w:b w:val="0"/>
        </w:rPr>
        <w:t>).</w:t>
      </w:r>
      <w:r w:rsidRPr="00A02C02">
        <w:rPr>
          <w:b w:val="0"/>
        </w:rPr>
        <w:t xml:space="preserve"> En estos pacientes se ha logrado tasas de supervivencia a 10 años del 85 al 90%</w:t>
      </w:r>
      <w:r>
        <w:rPr>
          <w:b w:val="0"/>
        </w:rPr>
        <w:t xml:space="preserve">; </w:t>
      </w:r>
      <w:r w:rsidRPr="00A02C02">
        <w:rPr>
          <w:b w:val="0"/>
        </w:rPr>
        <w:t xml:space="preserve">Desafortunadamente estos avances en la supervivencia libre de evento y en supervivencia global no han podido ser trasladados a los países de recursos económicos intermedios y bajos donde la probabilidad de supervivencia es menor y puede variar desde un 50 a 60% hasta 20 a 30 % respectivamente </w:t>
      </w:r>
      <w:r>
        <w:rPr>
          <w:b w:val="0"/>
        </w:rPr>
        <w:t>(</w:t>
      </w:r>
      <w:r w:rsidRPr="00A02C02">
        <w:rPr>
          <w:b w:val="0"/>
        </w:rPr>
        <w:t>5-6</w:t>
      </w:r>
      <w:r>
        <w:rPr>
          <w:b w:val="0"/>
        </w:rPr>
        <w:t>)</w:t>
      </w:r>
      <w:r w:rsidRPr="00A02C02">
        <w:rPr>
          <w:b w:val="0"/>
        </w:rPr>
        <w:t>.</w:t>
      </w:r>
    </w:p>
    <w:p w14:paraId="6AFF7257" w14:textId="794DC9C8" w:rsidR="00A02C02" w:rsidRPr="00A02C02" w:rsidRDefault="00A02C02" w:rsidP="00A02C02">
      <w:pPr>
        <w:pStyle w:val="Ttulo1"/>
        <w:spacing w:before="120"/>
        <w:jc w:val="both"/>
        <w:rPr>
          <w:b w:val="0"/>
        </w:rPr>
      </w:pPr>
      <w:r w:rsidRPr="00A02C02">
        <w:rPr>
          <w:b w:val="0"/>
        </w:rPr>
        <w:t xml:space="preserve">La principal razón para que existan tasas de supervivencias diferentes incluye las mayores tasas de recaídas de la enfermedad y una mayor mortalidad relacionada con los tratamientos de primera línea con medicamentos citotóxicos, que generan, que aproximadamente entre 2 a 5% de los niños con leucemia </w:t>
      </w:r>
      <w:proofErr w:type="spellStart"/>
      <w:r w:rsidRPr="00A02C02">
        <w:rPr>
          <w:b w:val="0"/>
        </w:rPr>
        <w:t>linfoblástica</w:t>
      </w:r>
      <w:proofErr w:type="spellEnd"/>
      <w:r w:rsidRPr="00A02C02">
        <w:rPr>
          <w:b w:val="0"/>
        </w:rPr>
        <w:t xml:space="preserve"> aguda tengan muertes relacionadas con el tratamiento</w:t>
      </w:r>
      <w:r>
        <w:rPr>
          <w:b w:val="0"/>
        </w:rPr>
        <w:t xml:space="preserve"> (</w:t>
      </w:r>
      <w:r w:rsidRPr="00A02C02">
        <w:rPr>
          <w:b w:val="0"/>
        </w:rPr>
        <w:t>7-9</w:t>
      </w:r>
      <w:r>
        <w:rPr>
          <w:b w:val="0"/>
        </w:rPr>
        <w:t>).</w:t>
      </w:r>
      <w:r w:rsidRPr="00A02C02">
        <w:rPr>
          <w:b w:val="0"/>
        </w:rPr>
        <w:t xml:space="preserve"> La mayoría de estas muertes relacionadas con el tratamiento suceden durante episodios recurrentes y prolongados de neutropenia y </w:t>
      </w:r>
      <w:proofErr w:type="spellStart"/>
      <w:r w:rsidRPr="00A02C02">
        <w:rPr>
          <w:b w:val="0"/>
        </w:rPr>
        <w:t>linfopenia</w:t>
      </w:r>
      <w:proofErr w:type="spellEnd"/>
      <w:r w:rsidRPr="00A02C02">
        <w:rPr>
          <w:b w:val="0"/>
        </w:rPr>
        <w:t xml:space="preserve"> causadas por los medicamentos citotóxicos e inmunosupresoras o por las células leucémicas que inhiben la recuperación de la hematopoyesis normal durante la inducción a la remisión, especialmente en pacientes con respuesta lenta.</w:t>
      </w:r>
    </w:p>
    <w:p w14:paraId="64D25E87" w14:textId="4EEE0912" w:rsidR="00A02C02" w:rsidRPr="00A02C02" w:rsidRDefault="00A02C02" w:rsidP="00A02C02">
      <w:pPr>
        <w:pStyle w:val="Ttulo1"/>
        <w:spacing w:before="120"/>
        <w:jc w:val="both"/>
        <w:rPr>
          <w:b w:val="0"/>
        </w:rPr>
      </w:pPr>
      <w:r w:rsidRPr="00A02C02">
        <w:rPr>
          <w:b w:val="0"/>
        </w:rPr>
        <w:t>Si bien distinguir entre la mortalidad relacionada con el tratamiento y la mortalidad relacionada con la enfermedad (ya sea progresión de la enfermedad o recaída) puede plantear dificultades, es crucial identificar el factor dominante para mejorar eficazmente la supervivencia libre de eventos (SVLE) y global (SG). Si la muerte relacionada al tratamiento es el factor principal, las intervenciones deben centrarse en mejorar los cuidados de apoyo y reducir la intensidad del tratamiento</w:t>
      </w:r>
      <w:r>
        <w:rPr>
          <w:b w:val="0"/>
        </w:rPr>
        <w:t xml:space="preserve"> (</w:t>
      </w:r>
      <w:r w:rsidRPr="00A02C02">
        <w:rPr>
          <w:b w:val="0"/>
        </w:rPr>
        <w:t>10-11</w:t>
      </w:r>
      <w:r>
        <w:rPr>
          <w:b w:val="0"/>
        </w:rPr>
        <w:t>)</w:t>
      </w:r>
    </w:p>
    <w:p w14:paraId="31396B80" w14:textId="7E806035" w:rsidR="00EA6771" w:rsidRPr="00A02C02" w:rsidRDefault="00A02C02" w:rsidP="00A02C02">
      <w:pPr>
        <w:pStyle w:val="Ttulo1"/>
        <w:spacing w:before="120"/>
        <w:jc w:val="both"/>
        <w:rPr>
          <w:b w:val="0"/>
        </w:rPr>
      </w:pPr>
      <w:r w:rsidRPr="00A02C02">
        <w:rPr>
          <w:b w:val="0"/>
        </w:rPr>
        <w:t xml:space="preserve">Adicional a las muertes relacionadas al tratamiento un pequeño pero significativo porcentaje de pacientes con leucemia </w:t>
      </w:r>
      <w:proofErr w:type="spellStart"/>
      <w:r w:rsidRPr="00A02C02">
        <w:rPr>
          <w:b w:val="0"/>
        </w:rPr>
        <w:t>linfoblástica</w:t>
      </w:r>
      <w:proofErr w:type="spellEnd"/>
      <w:r w:rsidRPr="00A02C02">
        <w:rPr>
          <w:b w:val="0"/>
        </w:rPr>
        <w:t xml:space="preserve"> aguda, aproximadamente entre 0.5 y 5 %, no logra una remisión completa después de cuatro a seis semanas de quimioterapia de inducción y de estos pacientes con falla inicial a la inducción a la remisión, algunos nunca logran una remisión completa y los que logran una remisión tardía la mayoría tienen una recaída temprana de la enfermedad</w:t>
      </w:r>
      <w:r>
        <w:rPr>
          <w:b w:val="0"/>
        </w:rPr>
        <w:t xml:space="preserve"> (</w:t>
      </w:r>
      <w:r w:rsidRPr="00A02C02">
        <w:rPr>
          <w:b w:val="0"/>
        </w:rPr>
        <w:t>12</w:t>
      </w:r>
      <w:r>
        <w:rPr>
          <w:b w:val="0"/>
        </w:rPr>
        <w:t>)</w:t>
      </w:r>
    </w:p>
    <w:p w14:paraId="25FDA71A" w14:textId="0F0046EC" w:rsidR="00A02C02" w:rsidRDefault="00A02C02" w:rsidP="00A02C02"/>
    <w:p w14:paraId="4D9780F3" w14:textId="1DF7C086" w:rsidR="00A02C02" w:rsidRDefault="00A02C02" w:rsidP="00A02C02">
      <w:pPr>
        <w:jc w:val="both"/>
        <w:rPr>
          <w:sz w:val="24"/>
        </w:rPr>
      </w:pPr>
      <w:r w:rsidRPr="00A02C02">
        <w:rPr>
          <w:sz w:val="24"/>
        </w:rPr>
        <w:t xml:space="preserve">Para calcular el tiempo transcurrido hasta el evento desde el diagnóstico, se deben definir de manera consistente los siguientes parámetros: (1) CR (primera CR; porque </w:t>
      </w:r>
      <w:r w:rsidRPr="00A02C02">
        <w:rPr>
          <w:sz w:val="24"/>
        </w:rPr>
        <w:lastRenderedPageBreak/>
        <w:t>la recaída solo puede ocurrir si se ha logrado la CR); (2) fracaso del tratamiento primario (TF; no lograr la CR en un punto de tiempo predefinido; por ejemplo, al final de la inducción o al final de la consolidación); y (3) recaída (reaparición de la leucemia después de que se ha logrado la CR).</w:t>
      </w:r>
    </w:p>
    <w:p w14:paraId="44A1A47A" w14:textId="77777777" w:rsidR="00A02C02" w:rsidRPr="00A02C02" w:rsidRDefault="00A02C02" w:rsidP="00A02C02">
      <w:pPr>
        <w:jc w:val="both"/>
        <w:rPr>
          <w:sz w:val="24"/>
        </w:rPr>
      </w:pPr>
    </w:p>
    <w:p w14:paraId="18AD813C" w14:textId="113D87AD" w:rsidR="00A02C02" w:rsidRPr="00A02C02" w:rsidRDefault="00A02C02" w:rsidP="00A02C02">
      <w:pPr>
        <w:jc w:val="both"/>
        <w:rPr>
          <w:sz w:val="24"/>
        </w:rPr>
      </w:pPr>
      <w:r w:rsidRPr="00A02C02">
        <w:rPr>
          <w:sz w:val="24"/>
        </w:rPr>
        <w:t xml:space="preserve">La definición más comúnmente utilizada de falla de la inducción fue la persistencia de blastos leucémicos en la médula ósea (médula ósea M2 o M3) definida como médula ósea con ≥ 5% de blastos o la presencia de blastos leucémicos en un sitio </w:t>
      </w:r>
      <w:proofErr w:type="spellStart"/>
      <w:r w:rsidRPr="00A02C02">
        <w:rPr>
          <w:sz w:val="24"/>
        </w:rPr>
        <w:t>extramedular</w:t>
      </w:r>
      <w:proofErr w:type="spellEnd"/>
      <w:r w:rsidRPr="00A02C02">
        <w:rPr>
          <w:sz w:val="24"/>
        </w:rPr>
        <w:t xml:space="preserve"> al final de la terapia de inducción; aunque algunos grupos de estudio requerían no sólo una médula ósea M1 (es decir, médula ósea con &lt;5% de blastos) sino también signos inequívocos de regeneración en la médula ósea. Otros grupos de estudio incluso requerían una médula ósea con </w:t>
      </w:r>
      <w:proofErr w:type="spellStart"/>
      <w:r w:rsidRPr="00A02C02">
        <w:rPr>
          <w:sz w:val="24"/>
        </w:rPr>
        <w:t>celularidad</w:t>
      </w:r>
      <w:proofErr w:type="spellEnd"/>
      <w:r w:rsidRPr="00A02C02">
        <w:rPr>
          <w:sz w:val="24"/>
        </w:rPr>
        <w:t xml:space="preserve"> normal y hematopoyesis de las tres líneas.</w:t>
      </w:r>
    </w:p>
    <w:p w14:paraId="008AC10F" w14:textId="661CFB51" w:rsidR="00A02C02" w:rsidRPr="00A02C02" w:rsidRDefault="00A02C02" w:rsidP="00A02C02">
      <w:pPr>
        <w:jc w:val="both"/>
        <w:rPr>
          <w:sz w:val="24"/>
        </w:rPr>
      </w:pPr>
    </w:p>
    <w:p w14:paraId="47BA89BF" w14:textId="77777777" w:rsidR="00A02C02" w:rsidRPr="00A02C02" w:rsidRDefault="00A02C02" w:rsidP="00A02C02">
      <w:pPr>
        <w:jc w:val="both"/>
        <w:rPr>
          <w:sz w:val="24"/>
        </w:rPr>
      </w:pPr>
      <w:r w:rsidRPr="00A02C02">
        <w:rPr>
          <w:sz w:val="24"/>
        </w:rPr>
        <w:t>Para el propósito del estudio las definiciones operacionales que tendremos en cuenta serán las siguientes:</w:t>
      </w:r>
    </w:p>
    <w:p w14:paraId="61B3FD5C" w14:textId="2BFE56F4" w:rsidR="00A02C02" w:rsidRPr="00A02C02" w:rsidRDefault="00A02C02" w:rsidP="00A02C02">
      <w:pPr>
        <w:jc w:val="both"/>
        <w:rPr>
          <w:sz w:val="24"/>
        </w:rPr>
      </w:pPr>
      <w:r w:rsidRPr="00A02C02">
        <w:rPr>
          <w:sz w:val="24"/>
        </w:rPr>
        <w:t>a)</w:t>
      </w:r>
      <w:r w:rsidRPr="00A02C02">
        <w:rPr>
          <w:sz w:val="24"/>
        </w:rPr>
        <w:t xml:space="preserve"> </w:t>
      </w:r>
      <w:r w:rsidRPr="00A02C02">
        <w:rPr>
          <w:sz w:val="24"/>
        </w:rPr>
        <w:t xml:space="preserve">Inducción a la remisión: etapa que incluye las primeras 4 a 6 semanas del tratamiento en los pacientes con leucemia </w:t>
      </w:r>
      <w:proofErr w:type="spellStart"/>
      <w:r w:rsidRPr="00A02C02">
        <w:rPr>
          <w:sz w:val="24"/>
        </w:rPr>
        <w:t>linfoblástica</w:t>
      </w:r>
      <w:proofErr w:type="spellEnd"/>
      <w:r w:rsidRPr="00A02C02">
        <w:rPr>
          <w:sz w:val="24"/>
        </w:rPr>
        <w:t xml:space="preserve"> aguda y que tiene por objetivo lograr la recuperación de la hematopoyesis normal.</w:t>
      </w:r>
    </w:p>
    <w:p w14:paraId="46245494" w14:textId="487A90D6" w:rsidR="00A02C02" w:rsidRPr="00A02C02" w:rsidRDefault="00A02C02" w:rsidP="00A02C02">
      <w:pPr>
        <w:jc w:val="both"/>
        <w:rPr>
          <w:sz w:val="24"/>
        </w:rPr>
      </w:pPr>
      <w:r w:rsidRPr="00A02C02">
        <w:rPr>
          <w:sz w:val="24"/>
        </w:rPr>
        <w:t>b)</w:t>
      </w:r>
      <w:r w:rsidRPr="00A02C02">
        <w:rPr>
          <w:sz w:val="24"/>
        </w:rPr>
        <w:t xml:space="preserve"> </w:t>
      </w:r>
      <w:r w:rsidRPr="00A02C02">
        <w:rPr>
          <w:sz w:val="24"/>
        </w:rPr>
        <w:t xml:space="preserve">Remisión completa: lograr &lt; del 5% de blastos en medula ósea por </w:t>
      </w:r>
      <w:proofErr w:type="spellStart"/>
      <w:r w:rsidRPr="00A02C02">
        <w:rPr>
          <w:sz w:val="24"/>
        </w:rPr>
        <w:t>citomorfología</w:t>
      </w:r>
      <w:proofErr w:type="spellEnd"/>
      <w:r w:rsidRPr="00A02C02">
        <w:rPr>
          <w:sz w:val="24"/>
        </w:rPr>
        <w:t xml:space="preserve"> al final de la terapia de inducción, con líquido cefalorraquídeo negativo para blastos y sin enfermedad </w:t>
      </w:r>
      <w:proofErr w:type="spellStart"/>
      <w:r w:rsidRPr="00A02C02">
        <w:rPr>
          <w:sz w:val="24"/>
        </w:rPr>
        <w:t>extramedular</w:t>
      </w:r>
      <w:proofErr w:type="spellEnd"/>
      <w:r w:rsidRPr="00A02C02">
        <w:rPr>
          <w:sz w:val="24"/>
        </w:rPr>
        <w:t>.</w:t>
      </w:r>
    </w:p>
    <w:p w14:paraId="37E22878" w14:textId="77A58E89" w:rsidR="00A02C02" w:rsidRPr="00A02C02" w:rsidRDefault="00A02C02" w:rsidP="00A02C02">
      <w:pPr>
        <w:jc w:val="both"/>
        <w:rPr>
          <w:sz w:val="24"/>
        </w:rPr>
      </w:pPr>
      <w:r w:rsidRPr="00A02C02">
        <w:rPr>
          <w:sz w:val="24"/>
        </w:rPr>
        <w:t>c)</w:t>
      </w:r>
      <w:r w:rsidRPr="00A02C02">
        <w:rPr>
          <w:sz w:val="24"/>
        </w:rPr>
        <w:t xml:space="preserve"> </w:t>
      </w:r>
      <w:r w:rsidRPr="00A02C02">
        <w:rPr>
          <w:sz w:val="24"/>
        </w:rPr>
        <w:t>Muerte en inducción a la remisión: muerte que ocurre durante la inducción a la remisión en las primeras 4 a 6 semanas del diagnóstico.</w:t>
      </w:r>
    </w:p>
    <w:p w14:paraId="36115F24" w14:textId="09967550" w:rsidR="00A02C02" w:rsidRPr="00A02C02" w:rsidRDefault="00A02C02" w:rsidP="00A02C02">
      <w:pPr>
        <w:jc w:val="both"/>
        <w:rPr>
          <w:sz w:val="24"/>
        </w:rPr>
      </w:pPr>
      <w:r w:rsidRPr="00A02C02">
        <w:rPr>
          <w:sz w:val="24"/>
        </w:rPr>
        <w:t>d)</w:t>
      </w:r>
      <w:r w:rsidRPr="00A02C02">
        <w:rPr>
          <w:sz w:val="24"/>
        </w:rPr>
        <w:t xml:space="preserve"> </w:t>
      </w:r>
      <w:r w:rsidRPr="00A02C02">
        <w:rPr>
          <w:sz w:val="24"/>
        </w:rPr>
        <w:t>Muerte en primera remisión completa: las muertes ocurridas después de haber logrado la remisión completa al final de la inducción a la remisión.</w:t>
      </w:r>
    </w:p>
    <w:p w14:paraId="4A10D0FB" w14:textId="05405B59" w:rsidR="00A02C02" w:rsidRPr="00A02C02" w:rsidRDefault="00A02C02" w:rsidP="00A02C02">
      <w:pPr>
        <w:jc w:val="both"/>
        <w:rPr>
          <w:sz w:val="24"/>
        </w:rPr>
      </w:pPr>
      <w:r w:rsidRPr="00A02C02">
        <w:rPr>
          <w:sz w:val="24"/>
        </w:rPr>
        <w:t>e)</w:t>
      </w:r>
      <w:r w:rsidRPr="00A02C02">
        <w:rPr>
          <w:sz w:val="24"/>
        </w:rPr>
        <w:t xml:space="preserve"> </w:t>
      </w:r>
      <w:r w:rsidRPr="00A02C02">
        <w:rPr>
          <w:sz w:val="24"/>
        </w:rPr>
        <w:t>Muerte relacionada a tratamiento (muertes toxicas): Cualquier muerte ocurrida durante la quimioterapia de inducción a la remisión; o las muertes ocurridas en remisión completa documentada después del tratamiento de inducción a la remisión.</w:t>
      </w:r>
    </w:p>
    <w:p w14:paraId="38D099DF" w14:textId="46124311" w:rsidR="00A02C02" w:rsidRPr="00A02C02" w:rsidRDefault="00A02C02" w:rsidP="00A02C02">
      <w:pPr>
        <w:jc w:val="both"/>
        <w:rPr>
          <w:sz w:val="24"/>
        </w:rPr>
      </w:pPr>
      <w:r w:rsidRPr="00A02C02">
        <w:rPr>
          <w:sz w:val="24"/>
        </w:rPr>
        <w:t>f)</w:t>
      </w:r>
      <w:r w:rsidRPr="00A02C02">
        <w:rPr>
          <w:sz w:val="24"/>
        </w:rPr>
        <w:t xml:space="preserve"> </w:t>
      </w:r>
      <w:r w:rsidRPr="00A02C02">
        <w:rPr>
          <w:sz w:val="24"/>
        </w:rPr>
        <w:t>Muertes no relacionadas al tratamiento: Las muertes ocurridas antes del inicio del tratamiento (muertes tempranas: 48 horas desde su ingreso) o como consecuencia de progresión de la enfermedad, recaída o segunda neoplasia.</w:t>
      </w:r>
    </w:p>
    <w:p w14:paraId="45A3C256" w14:textId="77777777" w:rsidR="00A02C02" w:rsidRDefault="00A02C02" w:rsidP="00A02C02"/>
    <w:p w14:paraId="35ABDE0D" w14:textId="77777777" w:rsidR="00A02C02" w:rsidRPr="00A02C02" w:rsidRDefault="00A02C02" w:rsidP="00A02C02">
      <w:pPr>
        <w:jc w:val="both"/>
        <w:rPr>
          <w:sz w:val="24"/>
        </w:rPr>
      </w:pPr>
      <w:r w:rsidRPr="00A02C02">
        <w:rPr>
          <w:sz w:val="24"/>
        </w:rPr>
        <w:t xml:space="preserve">El tratamiento de los niños y adolescentes con base en los protocolos del grupo Berlín Frankfort Muster (BFM) consiste en la administración de quimioterapia de inducción (fase IA) la cual dura aproximadamente de 4 a 6 semanas, seguida por una segunda fase, frecuentemente conocida como fase de consolidación (fase IB), luego una tercera fase de intensificación que a menudo se dirige al control de enfermedad </w:t>
      </w:r>
      <w:proofErr w:type="spellStart"/>
      <w:r w:rsidRPr="00A02C02">
        <w:rPr>
          <w:sz w:val="24"/>
        </w:rPr>
        <w:t>extramedular</w:t>
      </w:r>
      <w:proofErr w:type="spellEnd"/>
      <w:r w:rsidRPr="00A02C02">
        <w:rPr>
          <w:sz w:val="24"/>
        </w:rPr>
        <w:t xml:space="preserve"> y, finalmente, una cuarta fase de </w:t>
      </w:r>
      <w:proofErr w:type="spellStart"/>
      <w:r w:rsidRPr="00A02C02">
        <w:rPr>
          <w:sz w:val="24"/>
        </w:rPr>
        <w:t>reintensificación</w:t>
      </w:r>
      <w:proofErr w:type="spellEnd"/>
      <w:r w:rsidRPr="00A02C02">
        <w:rPr>
          <w:sz w:val="24"/>
        </w:rPr>
        <w:t xml:space="preserve"> (intensificación retardada o fase IIA y IIB) con o sin irradiación profiláctica o terapéutica del SNC (según la estratificación del riesgo) finalizando el tratamiento con una fase de mantenimiento hasta completar 104 semanas desde el inicio. En una pequeña minoría de casos, las últimas partes de la secuencia del protocolo se reemplazan por un trasplante </w:t>
      </w:r>
      <w:proofErr w:type="spellStart"/>
      <w:r w:rsidRPr="00A02C02">
        <w:rPr>
          <w:sz w:val="24"/>
        </w:rPr>
        <w:t>alogénico</w:t>
      </w:r>
      <w:proofErr w:type="spellEnd"/>
      <w:r w:rsidRPr="00A02C02">
        <w:rPr>
          <w:sz w:val="24"/>
        </w:rPr>
        <w:t xml:space="preserve"> de células madre hematopoyéticas. El esquema del protocolo se </w:t>
      </w:r>
      <w:r w:rsidRPr="00A02C02">
        <w:rPr>
          <w:sz w:val="24"/>
        </w:rPr>
        <w:lastRenderedPageBreak/>
        <w:t>anexa (anexo 2) para el conocimiento de medicamentos, dosis y frecuencias y duración de administración.</w:t>
      </w:r>
    </w:p>
    <w:p w14:paraId="00E24C57" w14:textId="48182D36" w:rsidR="00A02C02" w:rsidRDefault="00A02C02" w:rsidP="00A02C02">
      <w:pPr>
        <w:jc w:val="both"/>
      </w:pPr>
      <w:r w:rsidRPr="00A02C02">
        <w:rPr>
          <w:sz w:val="24"/>
        </w:rPr>
        <w:t>El estudio busca caracterizar los aspectos demográficos y clínicos, determinar la incidencia acumulada de muertes en inducción y la incidencia acumulada de muertes no relacionadas con la enfermedad refractaria (ya sea progresión, recaída) o muerte por trasplante de células madres hematopoyéticas en los pacientes con leucemia linfoidea aguda en el Instituto Nacional de Cancerología de Bogotá – Colombia con el propósito de evaluar las posibles causas de muertes evitables que pe</w:t>
      </w:r>
      <w:r w:rsidRPr="00A02C02">
        <w:rPr>
          <w:sz w:val="24"/>
          <w:szCs w:val="24"/>
        </w:rPr>
        <w:t>rmita prevenir o tratar las causas que las desencadenaron; con lo cual se pretende reducir la mortalidad evitable durante el tratamiento y mejorar la supervivencia.</w:t>
      </w:r>
    </w:p>
    <w:p w14:paraId="628B54A5" w14:textId="163B2A97" w:rsidR="00A02C02" w:rsidRDefault="00A02C02" w:rsidP="00A02C02"/>
    <w:p w14:paraId="55F34856" w14:textId="4D6F5D81" w:rsidR="00A02C02" w:rsidRPr="00A02C02" w:rsidRDefault="00A02C02" w:rsidP="00A02C02">
      <w:pPr>
        <w:jc w:val="both"/>
        <w:rPr>
          <w:sz w:val="24"/>
        </w:rPr>
      </w:pPr>
      <w:r w:rsidRPr="00A02C02">
        <w:rPr>
          <w:sz w:val="24"/>
        </w:rPr>
        <w:t xml:space="preserve">El Grupo de Estudio Internacional </w:t>
      </w:r>
      <w:proofErr w:type="spellStart"/>
      <w:r w:rsidRPr="00A02C02">
        <w:rPr>
          <w:sz w:val="24"/>
        </w:rPr>
        <w:t>Berlín-Fráncfort-Münster</w:t>
      </w:r>
      <w:proofErr w:type="spellEnd"/>
      <w:r w:rsidRPr="00A02C02">
        <w:rPr>
          <w:sz w:val="24"/>
        </w:rPr>
        <w:t xml:space="preserve"> (I-BFM-SG) está compuesto por grupos de estudio nacionales de más de 30 países que colaboran en comités de trabajo para abordar aspectos importantes de la investigación clínica y básica en leucemia y linfoma pediátricos. Durante los últimos 30 años, el grupo BFM ha llevado a cabo varios ensayos clínicos de gran éxito para la leucemia </w:t>
      </w:r>
      <w:proofErr w:type="spellStart"/>
      <w:r w:rsidRPr="00A02C02">
        <w:rPr>
          <w:sz w:val="24"/>
        </w:rPr>
        <w:t>linfoblástica</w:t>
      </w:r>
      <w:proofErr w:type="spellEnd"/>
      <w:r w:rsidRPr="00A02C02">
        <w:rPr>
          <w:sz w:val="24"/>
        </w:rPr>
        <w:t xml:space="preserve"> aguda (LLA) infantil utilizando esquemas de quimioterapia basados en el esquema original de BFM</w:t>
      </w:r>
      <w:r w:rsidRPr="00A02C02">
        <w:rPr>
          <w:sz w:val="24"/>
        </w:rPr>
        <w:t xml:space="preserve"> (</w:t>
      </w:r>
      <w:r w:rsidRPr="00A02C02">
        <w:rPr>
          <w:sz w:val="24"/>
        </w:rPr>
        <w:t>13</w:t>
      </w:r>
      <w:r w:rsidRPr="00A02C02">
        <w:rPr>
          <w:sz w:val="24"/>
        </w:rPr>
        <w:t>).</w:t>
      </w:r>
      <w:r w:rsidRPr="00A02C02">
        <w:rPr>
          <w:sz w:val="24"/>
        </w:rPr>
        <w:t xml:space="preserve"> Con base en los hallazgos pioneros del grupo BFM sobre la medición de la respuesta temprana al tratamiento (es decir, la respuesta a la prednisona en sangre periférica el día 8 y el porcentaje de blastos en médula ósea el día 15) </w:t>
      </w:r>
      <w:r w:rsidRPr="00A02C02">
        <w:rPr>
          <w:sz w:val="24"/>
        </w:rPr>
        <w:t>(</w:t>
      </w:r>
      <w:r w:rsidRPr="00A02C02">
        <w:rPr>
          <w:sz w:val="24"/>
        </w:rPr>
        <w:t>14</w:t>
      </w:r>
      <w:r w:rsidRPr="00A02C02">
        <w:rPr>
          <w:sz w:val="24"/>
        </w:rPr>
        <w:t>-</w:t>
      </w:r>
      <w:r w:rsidRPr="00A02C02">
        <w:rPr>
          <w:sz w:val="24"/>
        </w:rPr>
        <w:t>15</w:t>
      </w:r>
      <w:r w:rsidRPr="00A02C02">
        <w:rPr>
          <w:sz w:val="24"/>
        </w:rPr>
        <w:t>)</w:t>
      </w:r>
      <w:r w:rsidRPr="00A02C02">
        <w:rPr>
          <w:sz w:val="24"/>
        </w:rPr>
        <w:t>. En el análisis de los resultados de los protocolos de tratamiento basados en los lineamientos del grupo BFM en países con recursos económicos altos se ha observado que la incidencia acumulada estimada de muerte a 10 años disminuyó significativamente del 6±1% (n=16/268) en los ensayos ALLBFM-A 81 y ALL-A 84 al 2±1% (n=15/628) en los ensayos ALL-BFM-A 86, 90 y 95 (p=0,006). Logrando una reducción significativa de la mortalidad durante la terapia de inducción desde 2,2 % en los ensayos ALL-BFM-A 81 y ALL-A 84, a 0,2 % en los ensayos ALL-BFM-A 86, 90 y 95; p = 0,001)</w:t>
      </w:r>
      <w:r w:rsidRPr="00A02C02">
        <w:rPr>
          <w:sz w:val="24"/>
        </w:rPr>
        <w:t xml:space="preserve"> (</w:t>
      </w:r>
      <w:r w:rsidRPr="00A02C02">
        <w:rPr>
          <w:sz w:val="24"/>
        </w:rPr>
        <w:t>12</w:t>
      </w:r>
      <w:r w:rsidRPr="00A02C02">
        <w:rPr>
          <w:sz w:val="24"/>
        </w:rPr>
        <w:t>)</w:t>
      </w:r>
      <w:r w:rsidRPr="00A02C02">
        <w:rPr>
          <w:sz w:val="24"/>
        </w:rPr>
        <w:t>.</w:t>
      </w:r>
    </w:p>
    <w:p w14:paraId="15734741" w14:textId="77777777" w:rsidR="00A02C02" w:rsidRDefault="00A02C02" w:rsidP="00A02C02"/>
    <w:p w14:paraId="521C49ED" w14:textId="02814B14" w:rsidR="00A02C02" w:rsidRPr="00A02C02" w:rsidRDefault="00A02C02" w:rsidP="00A02C02">
      <w:pPr>
        <w:jc w:val="both"/>
        <w:rPr>
          <w:sz w:val="24"/>
        </w:rPr>
      </w:pPr>
      <w:r w:rsidRPr="00A02C02">
        <w:rPr>
          <w:sz w:val="24"/>
        </w:rPr>
        <w:t>La progresiva ampliación del I-BFM-SG para incluir nuevos grupos nacionales con recursos limitados y menos experiencia con regímenes de quimioterapia complejos e intensivos exigió la necesidad de un estudio adaptado a las condiciones locales. Este estudio realizado en 15 países de tres continentes (Intercontinental Trial ALL IC-</w:t>
      </w:r>
      <w:r w:rsidRPr="00A02C02">
        <w:rPr>
          <w:sz w:val="24"/>
        </w:rPr>
        <w:t xml:space="preserve"> </w:t>
      </w:r>
      <w:r w:rsidRPr="00A02C02">
        <w:rPr>
          <w:sz w:val="24"/>
        </w:rPr>
        <w:t>BFM 2002) 16 mostro 97.2% de 4920 pacientes incluidos en el estudio lograron la remisión completa al final de la inducción, pero hubo una incidencia acumulada de muertes en inducción de 2.1% y de muertes relacionadas a tratamiento de 5.1%.</w:t>
      </w:r>
    </w:p>
    <w:p w14:paraId="3529F62A" w14:textId="77777777" w:rsidR="00A02C02" w:rsidRPr="00A02C02" w:rsidRDefault="00A02C02" w:rsidP="00A02C02">
      <w:pPr>
        <w:jc w:val="both"/>
        <w:rPr>
          <w:sz w:val="24"/>
        </w:rPr>
      </w:pPr>
    </w:p>
    <w:p w14:paraId="224CF812" w14:textId="400A9F32" w:rsidR="00A02C02" w:rsidRPr="00A02C02" w:rsidRDefault="00A02C02" w:rsidP="00A02C02">
      <w:pPr>
        <w:jc w:val="both"/>
        <w:rPr>
          <w:sz w:val="24"/>
          <w:szCs w:val="24"/>
        </w:rPr>
      </w:pPr>
      <w:r w:rsidRPr="00A02C02">
        <w:rPr>
          <w:sz w:val="24"/>
        </w:rPr>
        <w:t xml:space="preserve">En Departamento de Hematología-Oncología Pediátrica y Trasplante de Médula Ósea, el Hospital Infantil y el Instituto de Salud Infantil, Lahore, </w:t>
      </w:r>
      <w:proofErr w:type="spellStart"/>
      <w:r w:rsidRPr="00A02C02">
        <w:rPr>
          <w:sz w:val="24"/>
        </w:rPr>
        <w:t>Pakistan</w:t>
      </w:r>
      <w:proofErr w:type="spellEnd"/>
      <w:r w:rsidRPr="00A02C02">
        <w:rPr>
          <w:sz w:val="24"/>
        </w:rPr>
        <w:t xml:space="preserve">; de 247 muertes durante un período de estudio de dos años, el 58,3% fueron casos de mortalidad relacionada con el tratamiento en LLA; la causa más frecuente de muerte fue la sepsis 87,5%, seguida de las complicaciones hemorrágicas 7,6%, la toxicidad farmacológica 2,8%, el síndrome de lisis tumoral 1,4% y la tromboembolia 0,7%. Concluyendo que, a mortalidad relacionada con el tratamiento, aunque </w:t>
      </w:r>
      <w:r w:rsidRPr="00A02C02">
        <w:rPr>
          <w:sz w:val="24"/>
          <w:szCs w:val="24"/>
        </w:rPr>
        <w:lastRenderedPageBreak/>
        <w:t xml:space="preserve">potencialmente evitable, resultó ser una de las principales causas de muerte entre los pacientes pediátricos con leucemia </w:t>
      </w:r>
      <w:proofErr w:type="spellStart"/>
      <w:r w:rsidRPr="00A02C02">
        <w:rPr>
          <w:sz w:val="24"/>
          <w:szCs w:val="24"/>
        </w:rPr>
        <w:t>linfoblástica</w:t>
      </w:r>
      <w:proofErr w:type="spellEnd"/>
      <w:r w:rsidRPr="00A02C02">
        <w:rPr>
          <w:sz w:val="24"/>
          <w:szCs w:val="24"/>
        </w:rPr>
        <w:t xml:space="preserve"> aguda, y la sepsis fue la causa más frecuente</w:t>
      </w:r>
      <w:r w:rsidRPr="00A02C02">
        <w:rPr>
          <w:sz w:val="24"/>
          <w:szCs w:val="24"/>
        </w:rPr>
        <w:t xml:space="preserve"> (</w:t>
      </w:r>
      <w:r w:rsidRPr="00A02C02">
        <w:rPr>
          <w:sz w:val="24"/>
          <w:szCs w:val="24"/>
        </w:rPr>
        <w:t>17</w:t>
      </w:r>
      <w:r w:rsidRPr="00A02C02">
        <w:rPr>
          <w:sz w:val="24"/>
          <w:szCs w:val="24"/>
        </w:rPr>
        <w:t>)</w:t>
      </w:r>
      <w:r w:rsidRPr="00A02C02">
        <w:rPr>
          <w:sz w:val="24"/>
          <w:szCs w:val="24"/>
        </w:rPr>
        <w:t>.</w:t>
      </w:r>
    </w:p>
    <w:p w14:paraId="08391F9C" w14:textId="77777777" w:rsidR="00A02C02" w:rsidRPr="00A02C02" w:rsidRDefault="00A02C02" w:rsidP="00A02C02">
      <w:pPr>
        <w:jc w:val="both"/>
        <w:rPr>
          <w:sz w:val="24"/>
          <w:szCs w:val="24"/>
        </w:rPr>
      </w:pPr>
    </w:p>
    <w:p w14:paraId="76DDA4DD" w14:textId="2C554AAD" w:rsidR="00A02C02" w:rsidRPr="00A02C02" w:rsidRDefault="00A02C02" w:rsidP="00A02C02">
      <w:pPr>
        <w:jc w:val="both"/>
        <w:rPr>
          <w:sz w:val="24"/>
          <w:szCs w:val="24"/>
        </w:rPr>
      </w:pPr>
      <w:r w:rsidRPr="00A02C02">
        <w:rPr>
          <w:sz w:val="24"/>
          <w:szCs w:val="24"/>
        </w:rPr>
        <w:t xml:space="preserve">En la región el grupo Centro Americano (Asociación de </w:t>
      </w:r>
      <w:proofErr w:type="spellStart"/>
      <w:r w:rsidRPr="00A02C02">
        <w:rPr>
          <w:sz w:val="24"/>
          <w:szCs w:val="24"/>
        </w:rPr>
        <w:t>Hemato</w:t>
      </w:r>
      <w:proofErr w:type="spellEnd"/>
      <w:r w:rsidRPr="00A02C02">
        <w:rPr>
          <w:sz w:val="24"/>
          <w:szCs w:val="24"/>
        </w:rPr>
        <w:t xml:space="preserve">-Oncología Pediátrica de Centro América. (AHOPCA) publico la incidencia acumulada de muertes relacionadas a tratamiento en 1670 niños con LLA de los cuales el 9.3% fallecieron como consecuencia de complicaciones asociadas a tratamiento: el 59% de estas muertes ocurrieron en la inducción a la remisión, el 17% durante la </w:t>
      </w:r>
      <w:proofErr w:type="spellStart"/>
      <w:r w:rsidRPr="00A02C02">
        <w:rPr>
          <w:sz w:val="24"/>
          <w:szCs w:val="24"/>
        </w:rPr>
        <w:t>posinducción</w:t>
      </w:r>
      <w:proofErr w:type="spellEnd"/>
      <w:r w:rsidRPr="00A02C02">
        <w:rPr>
          <w:sz w:val="24"/>
          <w:szCs w:val="24"/>
        </w:rPr>
        <w:t xml:space="preserve"> y 24% durante el mantenimiento; con una incidencia acumulada de muertes en inducción a la remisión del 5.2%. Evidenciando que en los países de recursos intermedios y bajos las muertes relacionadas a toxicidad y las muertes en inducción son una causa importante de mortalidad</w:t>
      </w:r>
      <w:r w:rsidRPr="00A02C02">
        <w:rPr>
          <w:sz w:val="24"/>
          <w:szCs w:val="24"/>
        </w:rPr>
        <w:t xml:space="preserve"> (</w:t>
      </w:r>
      <w:r w:rsidRPr="00A02C02">
        <w:rPr>
          <w:sz w:val="24"/>
          <w:szCs w:val="24"/>
        </w:rPr>
        <w:t>18</w:t>
      </w:r>
      <w:r w:rsidRPr="00A02C02">
        <w:rPr>
          <w:sz w:val="24"/>
          <w:szCs w:val="24"/>
        </w:rPr>
        <w:t>)</w:t>
      </w:r>
      <w:r w:rsidRPr="00A02C02">
        <w:rPr>
          <w:sz w:val="24"/>
          <w:szCs w:val="24"/>
        </w:rPr>
        <w:t>.</w:t>
      </w:r>
    </w:p>
    <w:p w14:paraId="561F4405" w14:textId="77777777" w:rsidR="00EA6771" w:rsidRDefault="00EA6771" w:rsidP="00EA6771"/>
    <w:p w14:paraId="65366490" w14:textId="77777777" w:rsidR="00EA6771" w:rsidRDefault="00EA6771" w:rsidP="00EA6771"/>
    <w:p w14:paraId="4EF55DE4" w14:textId="77777777" w:rsidR="00EA6771" w:rsidRDefault="00EA6771" w:rsidP="00EA6771"/>
    <w:p w14:paraId="7D66E7B0" w14:textId="77777777" w:rsidR="00EA6771" w:rsidRDefault="00EA6771" w:rsidP="00EA6771"/>
    <w:p w14:paraId="14925CE2" w14:textId="77777777" w:rsidR="00EA6771" w:rsidRDefault="00EA6771" w:rsidP="00EA6771"/>
    <w:p w14:paraId="40F07FD4" w14:textId="77777777" w:rsidR="00EA6771" w:rsidRDefault="00EA6771" w:rsidP="00EA6771"/>
    <w:p w14:paraId="66E92F28" w14:textId="5B03CD6F" w:rsidR="00EA6771" w:rsidRDefault="00EA6771" w:rsidP="00EA6771"/>
    <w:p w14:paraId="3BED0499" w14:textId="0ED6434B" w:rsidR="00EA6771" w:rsidRDefault="00EA6771" w:rsidP="00EA6771"/>
    <w:p w14:paraId="4CE04254" w14:textId="525D5F31" w:rsidR="00EA6771" w:rsidRDefault="00EA6771" w:rsidP="00EA6771"/>
    <w:p w14:paraId="6319AA00" w14:textId="6A9B9B9D" w:rsidR="00EA6771" w:rsidRDefault="00EA6771" w:rsidP="00EA6771"/>
    <w:p w14:paraId="6EADB92A" w14:textId="19A56603" w:rsidR="00EA6771" w:rsidRDefault="00EA6771" w:rsidP="00EA6771"/>
    <w:p w14:paraId="79474E56" w14:textId="3F9543DC" w:rsidR="00EA6771" w:rsidRDefault="00EA6771" w:rsidP="00EA6771"/>
    <w:p w14:paraId="5C592A42" w14:textId="63B70FEC" w:rsidR="00EA6771" w:rsidRDefault="00EA6771" w:rsidP="00EA6771"/>
    <w:p w14:paraId="00EACACC" w14:textId="4A72A377" w:rsidR="00EA6771" w:rsidRDefault="00EA6771" w:rsidP="00EA6771"/>
    <w:p w14:paraId="2AF5DE48" w14:textId="355D2B20" w:rsidR="00EA6771" w:rsidRDefault="00EA6771" w:rsidP="00EA6771"/>
    <w:p w14:paraId="524C4297" w14:textId="52A37E22" w:rsidR="00EA6771" w:rsidRDefault="00EA6771" w:rsidP="00EA6771"/>
    <w:p w14:paraId="652AD20A" w14:textId="36C8B4DB" w:rsidR="00EA6771" w:rsidRDefault="00EA6771" w:rsidP="00EA6771"/>
    <w:p w14:paraId="4CCF0CA0" w14:textId="3E243283" w:rsidR="00EA6771" w:rsidRDefault="00EA6771" w:rsidP="00EA6771"/>
    <w:p w14:paraId="0DB2A402" w14:textId="77777777" w:rsidR="00EA6771" w:rsidRDefault="00EA6771" w:rsidP="00EA6771"/>
    <w:p w14:paraId="477277A4" w14:textId="77777777" w:rsidR="00EA6771" w:rsidRDefault="00EA6771" w:rsidP="00EA6771"/>
    <w:p w14:paraId="6C94C066" w14:textId="77777777" w:rsidR="00EA6771" w:rsidRDefault="00EA6771" w:rsidP="00EA6771"/>
    <w:p w14:paraId="779BD34B" w14:textId="77777777" w:rsidR="00EA6771" w:rsidRDefault="00EA6771" w:rsidP="00EA6771"/>
    <w:p w14:paraId="6AAFDD41" w14:textId="77777777" w:rsidR="00EA6771" w:rsidRDefault="00EA6771" w:rsidP="00EA6771"/>
    <w:p w14:paraId="4A762E40" w14:textId="77777777" w:rsidR="00EA6771" w:rsidRDefault="00EA6771" w:rsidP="00EA6771"/>
    <w:p w14:paraId="51DF9674" w14:textId="77777777" w:rsidR="00EA6771" w:rsidRDefault="00EA6771" w:rsidP="00EA6771"/>
    <w:p w14:paraId="398D7D93" w14:textId="77777777" w:rsidR="00EA6771" w:rsidRDefault="00EA6771" w:rsidP="00EA6771"/>
    <w:p w14:paraId="0DA1B186" w14:textId="77777777" w:rsidR="00EA6771" w:rsidRDefault="00EA6771" w:rsidP="00EA6771"/>
    <w:p w14:paraId="78F2D2AE" w14:textId="77777777" w:rsidR="00EA6771" w:rsidRDefault="00EA6771" w:rsidP="00EA6771"/>
    <w:p w14:paraId="2CBAD550" w14:textId="77777777" w:rsidR="00EA6771" w:rsidRDefault="00EA6771" w:rsidP="00EA6771"/>
    <w:p w14:paraId="170902D9" w14:textId="77777777" w:rsidR="00EA6771" w:rsidRDefault="00EA6771" w:rsidP="00EA6771"/>
    <w:p w14:paraId="6F8182E8" w14:textId="77777777" w:rsidR="00EA6771" w:rsidRDefault="00EA6771" w:rsidP="00EA6771"/>
    <w:p w14:paraId="37B9A98F" w14:textId="77777777" w:rsidR="00EA6771" w:rsidRDefault="00EA6771" w:rsidP="00EA6771"/>
    <w:p w14:paraId="586D8B59" w14:textId="77777777" w:rsidR="00EA6771" w:rsidRPr="00EA6771" w:rsidRDefault="00EA6771" w:rsidP="00EA6771"/>
    <w:p w14:paraId="4D093E6D" w14:textId="1EC1D353" w:rsidR="00047D47" w:rsidRPr="000C0B9E" w:rsidRDefault="00C91753" w:rsidP="00807136">
      <w:pPr>
        <w:pStyle w:val="Ttulo1"/>
        <w:spacing w:before="120"/>
      </w:pPr>
      <w:bookmarkStart w:id="5" w:name="_Toc213145983"/>
      <w:r w:rsidRPr="000C0B9E">
        <w:lastRenderedPageBreak/>
        <w:t>Metodología:</w:t>
      </w:r>
      <w:bookmarkEnd w:id="5"/>
    </w:p>
    <w:p w14:paraId="443802D2" w14:textId="77777777" w:rsidR="0050769D" w:rsidRPr="00EE1C53" w:rsidRDefault="0050769D" w:rsidP="00EE1C53">
      <w:pPr>
        <w:spacing w:line="240" w:lineRule="auto"/>
        <w:jc w:val="both"/>
        <w:rPr>
          <w:sz w:val="24"/>
          <w:szCs w:val="24"/>
        </w:rPr>
      </w:pPr>
      <w:r w:rsidRPr="00EE1C53">
        <w:rPr>
          <w:sz w:val="24"/>
          <w:szCs w:val="24"/>
        </w:rPr>
        <w:t>Diseño del estudio: estudio retrospectivo; observacional descriptivo y exploratorio de factores pronósticos. En pacientes con diagnóstico de LLA tratados con protocolo BFM – ALLIC 2009 que fallecieron en inducción a la remisión o en remisión completa como consecuencia de complicaciones asociadas al tratamiento (esquema del protocolo BFM-ALLIC 2009 para el conocimiento de este en anexo 1 y 2).</w:t>
      </w:r>
    </w:p>
    <w:p w14:paraId="33D11BB7" w14:textId="77777777" w:rsidR="0050769D" w:rsidRPr="00EE1C53" w:rsidRDefault="0050769D" w:rsidP="00EE1C53">
      <w:pPr>
        <w:spacing w:line="240" w:lineRule="auto"/>
        <w:jc w:val="both"/>
        <w:rPr>
          <w:sz w:val="24"/>
          <w:szCs w:val="24"/>
        </w:rPr>
      </w:pPr>
      <w:r w:rsidRPr="00EE1C53">
        <w:rPr>
          <w:sz w:val="24"/>
          <w:szCs w:val="24"/>
        </w:rPr>
        <w:t>Hipótesis operativa. Por tratarse de un estudio observacional descriptivo de una serie de casos no aplica el planteamiento de una hipótesis.</w:t>
      </w:r>
    </w:p>
    <w:p w14:paraId="31193609" w14:textId="77777777" w:rsidR="0050769D" w:rsidRDefault="0050769D" w:rsidP="0050769D">
      <w:pPr>
        <w:spacing w:line="240" w:lineRule="auto"/>
        <w:rPr>
          <w:b/>
          <w:sz w:val="24"/>
          <w:szCs w:val="24"/>
        </w:rPr>
      </w:pPr>
    </w:p>
    <w:p w14:paraId="76ACBF79" w14:textId="29F9CE76" w:rsidR="00047D47" w:rsidRPr="00EE1C53" w:rsidRDefault="0050769D" w:rsidP="0050769D">
      <w:pPr>
        <w:spacing w:line="240" w:lineRule="auto"/>
        <w:rPr>
          <w:sz w:val="24"/>
          <w:szCs w:val="24"/>
        </w:rPr>
      </w:pPr>
      <w:r w:rsidRPr="00EE1C53">
        <w:rPr>
          <w:sz w:val="24"/>
          <w:szCs w:val="24"/>
        </w:rPr>
        <w:t>Sujetos de estudio:</w:t>
      </w:r>
    </w:p>
    <w:p w14:paraId="48C8D014" w14:textId="77777777" w:rsidR="0050769D" w:rsidRPr="0050769D" w:rsidRDefault="0050769D" w:rsidP="0050769D">
      <w:pPr>
        <w:spacing w:line="240" w:lineRule="auto"/>
        <w:jc w:val="both"/>
        <w:rPr>
          <w:sz w:val="24"/>
          <w:szCs w:val="24"/>
        </w:rPr>
      </w:pPr>
      <w:r w:rsidRPr="0050769D">
        <w:rPr>
          <w:sz w:val="24"/>
          <w:szCs w:val="24"/>
        </w:rPr>
        <w:t xml:space="preserve">Población: pacientes menores de 18 años con diagnóstico de leucemia </w:t>
      </w:r>
      <w:proofErr w:type="spellStart"/>
      <w:r w:rsidRPr="0050769D">
        <w:rPr>
          <w:sz w:val="24"/>
          <w:szCs w:val="24"/>
        </w:rPr>
        <w:t>linfoblástica</w:t>
      </w:r>
      <w:proofErr w:type="spellEnd"/>
      <w:r w:rsidRPr="0050769D">
        <w:rPr>
          <w:sz w:val="24"/>
          <w:szCs w:val="24"/>
        </w:rPr>
        <w:t xml:space="preserve"> aguda.</w:t>
      </w:r>
    </w:p>
    <w:p w14:paraId="5AE37E02" w14:textId="77777777" w:rsidR="0050769D" w:rsidRPr="0050769D" w:rsidRDefault="0050769D" w:rsidP="0050769D">
      <w:pPr>
        <w:spacing w:line="240" w:lineRule="auto"/>
        <w:jc w:val="both"/>
        <w:rPr>
          <w:sz w:val="24"/>
          <w:szCs w:val="24"/>
        </w:rPr>
      </w:pPr>
      <w:proofErr w:type="gramStart"/>
      <w:r w:rsidRPr="0050769D">
        <w:rPr>
          <w:sz w:val="24"/>
          <w:szCs w:val="24"/>
        </w:rPr>
        <w:t>Población blanco</w:t>
      </w:r>
      <w:proofErr w:type="gramEnd"/>
      <w:r w:rsidRPr="0050769D">
        <w:rPr>
          <w:sz w:val="24"/>
          <w:szCs w:val="24"/>
        </w:rPr>
        <w:t xml:space="preserve">: pacientes menores de 18 años con diagnóstico de Leucemia </w:t>
      </w:r>
      <w:proofErr w:type="spellStart"/>
      <w:r w:rsidRPr="0050769D">
        <w:rPr>
          <w:sz w:val="24"/>
          <w:szCs w:val="24"/>
        </w:rPr>
        <w:t>linfoblástica</w:t>
      </w:r>
      <w:proofErr w:type="spellEnd"/>
      <w:r w:rsidRPr="0050769D">
        <w:rPr>
          <w:sz w:val="24"/>
          <w:szCs w:val="24"/>
        </w:rPr>
        <w:t xml:space="preserve"> aguda tratados en la unidad de atención de cáncer infantil del Instituto Nacional de Cancerología de Colombia con el protocolo BFM-ALLIC 2019.</w:t>
      </w:r>
    </w:p>
    <w:p w14:paraId="6465FE66" w14:textId="51CC62DC" w:rsidR="0050769D" w:rsidRDefault="0050769D" w:rsidP="0050769D">
      <w:pPr>
        <w:spacing w:line="240" w:lineRule="auto"/>
        <w:jc w:val="both"/>
        <w:rPr>
          <w:sz w:val="24"/>
          <w:szCs w:val="24"/>
        </w:rPr>
      </w:pPr>
      <w:r w:rsidRPr="0050769D">
        <w:rPr>
          <w:sz w:val="24"/>
          <w:szCs w:val="24"/>
        </w:rPr>
        <w:t xml:space="preserve">Población de estudio: pacientes menores de 18 años con diagnóstico de leucemia </w:t>
      </w:r>
      <w:proofErr w:type="spellStart"/>
      <w:r w:rsidRPr="0050769D">
        <w:rPr>
          <w:sz w:val="24"/>
          <w:szCs w:val="24"/>
        </w:rPr>
        <w:t>linfoblástica</w:t>
      </w:r>
      <w:proofErr w:type="spellEnd"/>
      <w:r w:rsidRPr="0050769D">
        <w:rPr>
          <w:sz w:val="24"/>
          <w:szCs w:val="24"/>
        </w:rPr>
        <w:t xml:space="preserve"> aguda que recibieron tratamiento en la unidad de atención de cáncer en niños del Instituto Nacional de Cancerología de Colombia entre el 1 de enero del 2017 al 31 de diciembre 2022 con el protocolo BFM-ALLIC 2009 y que fallecieron en inducción a la remisión o en remisión completa por causas asociadas al tratamiento</w:t>
      </w:r>
    </w:p>
    <w:p w14:paraId="28F97FFE" w14:textId="77777777" w:rsidR="00EE1C53" w:rsidRPr="0050769D" w:rsidRDefault="00EE1C53" w:rsidP="0050769D">
      <w:pPr>
        <w:spacing w:line="240" w:lineRule="auto"/>
        <w:jc w:val="both"/>
        <w:rPr>
          <w:sz w:val="24"/>
          <w:szCs w:val="24"/>
        </w:rPr>
      </w:pPr>
    </w:p>
    <w:p w14:paraId="37DD6992" w14:textId="77777777" w:rsidR="0050769D" w:rsidRPr="0050769D" w:rsidRDefault="0050769D" w:rsidP="0050769D">
      <w:pPr>
        <w:spacing w:line="240" w:lineRule="auto"/>
        <w:jc w:val="both"/>
        <w:rPr>
          <w:sz w:val="24"/>
          <w:szCs w:val="24"/>
        </w:rPr>
      </w:pPr>
      <w:r w:rsidRPr="0050769D">
        <w:rPr>
          <w:sz w:val="24"/>
          <w:szCs w:val="24"/>
        </w:rPr>
        <w:t>Criterios de inclusión</w:t>
      </w:r>
    </w:p>
    <w:p w14:paraId="4427C9B3" w14:textId="486669A9" w:rsidR="0050769D" w:rsidRDefault="0050769D" w:rsidP="0050769D">
      <w:pPr>
        <w:spacing w:line="240" w:lineRule="auto"/>
        <w:jc w:val="both"/>
        <w:rPr>
          <w:sz w:val="24"/>
          <w:szCs w:val="24"/>
        </w:rPr>
      </w:pPr>
      <w:r w:rsidRPr="0050769D">
        <w:rPr>
          <w:sz w:val="24"/>
          <w:szCs w:val="24"/>
        </w:rPr>
        <w:t xml:space="preserve">Todos los pacientes menores de 18 años de ambos sexos con diagnóstico de leucemia </w:t>
      </w:r>
      <w:proofErr w:type="spellStart"/>
      <w:r w:rsidRPr="0050769D">
        <w:rPr>
          <w:sz w:val="24"/>
          <w:szCs w:val="24"/>
        </w:rPr>
        <w:t>linfoblástica</w:t>
      </w:r>
      <w:proofErr w:type="spellEnd"/>
      <w:r w:rsidRPr="0050769D">
        <w:rPr>
          <w:sz w:val="24"/>
          <w:szCs w:val="24"/>
        </w:rPr>
        <w:t xml:space="preserve"> aguda tratados en la unidad de atención de Cáncer Infantil del Instituto Nacional de Cancerología de Colombia entre el 1 de enero del 2017 al 31 de diciembre 2022 con el protocolo BFM-ALLIC 2009 y que fallecieron en inducción a la remisión o en remisión completa por causas asociadas al tratamiento.</w:t>
      </w:r>
    </w:p>
    <w:p w14:paraId="1BF05323" w14:textId="77777777" w:rsidR="00EE1C53" w:rsidRPr="0050769D" w:rsidRDefault="00EE1C53" w:rsidP="0050769D">
      <w:pPr>
        <w:spacing w:line="240" w:lineRule="auto"/>
        <w:jc w:val="both"/>
        <w:rPr>
          <w:sz w:val="24"/>
          <w:szCs w:val="24"/>
        </w:rPr>
      </w:pPr>
    </w:p>
    <w:p w14:paraId="4571B2B1" w14:textId="77777777" w:rsidR="0050769D" w:rsidRPr="0050769D" w:rsidRDefault="0050769D" w:rsidP="0050769D">
      <w:pPr>
        <w:spacing w:line="240" w:lineRule="auto"/>
        <w:jc w:val="both"/>
        <w:rPr>
          <w:sz w:val="24"/>
          <w:szCs w:val="24"/>
        </w:rPr>
      </w:pPr>
      <w:r w:rsidRPr="0050769D">
        <w:rPr>
          <w:sz w:val="24"/>
          <w:szCs w:val="24"/>
        </w:rPr>
        <w:t>Criterios de exclusión:</w:t>
      </w:r>
    </w:p>
    <w:p w14:paraId="35E101E6" w14:textId="77777777" w:rsidR="0050769D" w:rsidRPr="00EE1C53" w:rsidRDefault="0050769D" w:rsidP="00EE1C53">
      <w:pPr>
        <w:pStyle w:val="Prrafodelista"/>
        <w:numPr>
          <w:ilvl w:val="0"/>
          <w:numId w:val="15"/>
        </w:numPr>
        <w:spacing w:line="240" w:lineRule="auto"/>
        <w:jc w:val="both"/>
        <w:rPr>
          <w:sz w:val="24"/>
          <w:szCs w:val="24"/>
        </w:rPr>
      </w:pPr>
      <w:r w:rsidRPr="00EE1C53">
        <w:rPr>
          <w:sz w:val="24"/>
          <w:szCs w:val="24"/>
        </w:rPr>
        <w:t>Pacientes que ingresen en recaída o progresión de la enfermedad tratados con quimioterapia o radioterapia fuera del Instituto Nacional de Cancerología.</w:t>
      </w:r>
    </w:p>
    <w:p w14:paraId="1412A6FB" w14:textId="77777777" w:rsidR="0050769D" w:rsidRPr="00EE1C53" w:rsidRDefault="0050769D" w:rsidP="00EE1C53">
      <w:pPr>
        <w:pStyle w:val="Prrafodelista"/>
        <w:numPr>
          <w:ilvl w:val="0"/>
          <w:numId w:val="15"/>
        </w:numPr>
        <w:spacing w:line="240" w:lineRule="auto"/>
        <w:jc w:val="both"/>
        <w:rPr>
          <w:sz w:val="24"/>
          <w:szCs w:val="24"/>
        </w:rPr>
      </w:pPr>
      <w:r w:rsidRPr="00EE1C53">
        <w:rPr>
          <w:sz w:val="24"/>
          <w:szCs w:val="24"/>
        </w:rPr>
        <w:t>Pacientes quienes al ingreso hubieran recibido tratamiento previo excepto la administración de esteroides.</w:t>
      </w:r>
    </w:p>
    <w:p w14:paraId="2A9C972B" w14:textId="77777777" w:rsidR="0050769D" w:rsidRPr="00EE1C53" w:rsidRDefault="0050769D" w:rsidP="00EE1C53">
      <w:pPr>
        <w:pStyle w:val="Prrafodelista"/>
        <w:numPr>
          <w:ilvl w:val="0"/>
          <w:numId w:val="15"/>
        </w:numPr>
        <w:spacing w:line="240" w:lineRule="auto"/>
        <w:jc w:val="both"/>
        <w:rPr>
          <w:sz w:val="24"/>
          <w:szCs w:val="24"/>
        </w:rPr>
      </w:pPr>
      <w:r w:rsidRPr="00EE1C53">
        <w:rPr>
          <w:sz w:val="24"/>
          <w:szCs w:val="24"/>
        </w:rPr>
        <w:t>Pacientes con inmunodeficiencias congénitas o adquiridas o pacientes con VIH.</w:t>
      </w:r>
    </w:p>
    <w:p w14:paraId="546017FF" w14:textId="77777777" w:rsidR="0050769D" w:rsidRPr="00EE1C53" w:rsidRDefault="0050769D" w:rsidP="00EE1C53">
      <w:pPr>
        <w:pStyle w:val="Prrafodelista"/>
        <w:numPr>
          <w:ilvl w:val="0"/>
          <w:numId w:val="15"/>
        </w:numPr>
        <w:spacing w:line="240" w:lineRule="auto"/>
        <w:jc w:val="both"/>
        <w:rPr>
          <w:sz w:val="24"/>
          <w:szCs w:val="24"/>
        </w:rPr>
      </w:pPr>
      <w:r w:rsidRPr="00EE1C53">
        <w:rPr>
          <w:sz w:val="24"/>
          <w:szCs w:val="24"/>
        </w:rPr>
        <w:t xml:space="preserve">Pacientes con leucemia </w:t>
      </w:r>
      <w:proofErr w:type="spellStart"/>
      <w:r w:rsidRPr="00EE1C53">
        <w:rPr>
          <w:sz w:val="24"/>
          <w:szCs w:val="24"/>
        </w:rPr>
        <w:t>linfoblástica</w:t>
      </w:r>
      <w:proofErr w:type="spellEnd"/>
      <w:r w:rsidRPr="00EE1C53">
        <w:rPr>
          <w:sz w:val="24"/>
          <w:szCs w:val="24"/>
        </w:rPr>
        <w:t xml:space="preserve"> aguda </w:t>
      </w:r>
      <w:proofErr w:type="spellStart"/>
      <w:r w:rsidRPr="00EE1C53">
        <w:rPr>
          <w:sz w:val="24"/>
          <w:szCs w:val="24"/>
        </w:rPr>
        <w:t>postrasplante</w:t>
      </w:r>
      <w:proofErr w:type="spellEnd"/>
      <w:r w:rsidRPr="00EE1C53">
        <w:rPr>
          <w:sz w:val="24"/>
          <w:szCs w:val="24"/>
        </w:rPr>
        <w:t>.</w:t>
      </w:r>
    </w:p>
    <w:p w14:paraId="0F84A334" w14:textId="6EAC089F" w:rsidR="00047D47" w:rsidRPr="00EE1C53" w:rsidRDefault="0050769D" w:rsidP="00EE1C53">
      <w:pPr>
        <w:pStyle w:val="Prrafodelista"/>
        <w:numPr>
          <w:ilvl w:val="0"/>
          <w:numId w:val="15"/>
        </w:numPr>
        <w:spacing w:line="240" w:lineRule="auto"/>
        <w:jc w:val="both"/>
        <w:rPr>
          <w:sz w:val="24"/>
          <w:szCs w:val="24"/>
        </w:rPr>
      </w:pPr>
      <w:r w:rsidRPr="00EE1C53">
        <w:rPr>
          <w:sz w:val="24"/>
          <w:szCs w:val="24"/>
        </w:rPr>
        <w:t>Los pacientes en quienes no sea posible completar la información necesaria para el análisis de los desenlaces con los datos suministrados por la historia clínica.</w:t>
      </w:r>
    </w:p>
    <w:p w14:paraId="58D3B4C5" w14:textId="4CCAD0E4" w:rsidR="0050769D" w:rsidRDefault="0050769D" w:rsidP="0050769D">
      <w:pPr>
        <w:spacing w:line="240" w:lineRule="auto"/>
        <w:jc w:val="both"/>
        <w:rPr>
          <w:sz w:val="24"/>
          <w:szCs w:val="24"/>
        </w:rPr>
      </w:pPr>
    </w:p>
    <w:p w14:paraId="302206CC" w14:textId="77777777" w:rsidR="0050769D" w:rsidRPr="0050769D" w:rsidRDefault="0050769D" w:rsidP="0050769D">
      <w:pPr>
        <w:spacing w:line="240" w:lineRule="auto"/>
        <w:jc w:val="both"/>
        <w:rPr>
          <w:sz w:val="24"/>
          <w:szCs w:val="24"/>
        </w:rPr>
      </w:pPr>
      <w:r w:rsidRPr="0050769D">
        <w:rPr>
          <w:sz w:val="24"/>
          <w:szCs w:val="24"/>
        </w:rPr>
        <w:t>Muestra.</w:t>
      </w:r>
    </w:p>
    <w:p w14:paraId="246B820C" w14:textId="77777777" w:rsidR="0050769D" w:rsidRPr="0050769D" w:rsidRDefault="0050769D" w:rsidP="0050769D">
      <w:pPr>
        <w:spacing w:line="240" w:lineRule="auto"/>
        <w:jc w:val="both"/>
        <w:rPr>
          <w:sz w:val="24"/>
          <w:szCs w:val="24"/>
        </w:rPr>
      </w:pPr>
      <w:r w:rsidRPr="0050769D">
        <w:rPr>
          <w:sz w:val="24"/>
          <w:szCs w:val="24"/>
        </w:rPr>
        <w:t xml:space="preserve">Por tratarse de un estudio observacional descriptivo tipo serie de casos retrospectiva de pacientes con diagnóstico de leucemia </w:t>
      </w:r>
      <w:proofErr w:type="spellStart"/>
      <w:r w:rsidRPr="0050769D">
        <w:rPr>
          <w:sz w:val="24"/>
          <w:szCs w:val="24"/>
        </w:rPr>
        <w:t>linfoblástica</w:t>
      </w:r>
      <w:proofErr w:type="spellEnd"/>
      <w:r w:rsidRPr="0050769D">
        <w:rPr>
          <w:sz w:val="24"/>
          <w:szCs w:val="24"/>
        </w:rPr>
        <w:t xml:space="preserve"> aguda se tomará una muestra no probabilística, por conveniencia, que incluirá todas las historias clínicas de los pacientes que ingresaron en forma consecutiva a la institución durante el periodo de estudio mencionado y que fallecieron durante la inducción a la remisión o en remisión completa como consecuencia de toxicidad al tratamiento.</w:t>
      </w:r>
    </w:p>
    <w:p w14:paraId="4B68DA34" w14:textId="5443CEEE" w:rsidR="0050769D" w:rsidRPr="0050769D" w:rsidRDefault="0050769D" w:rsidP="0050769D">
      <w:pPr>
        <w:spacing w:line="240" w:lineRule="auto"/>
        <w:jc w:val="both"/>
        <w:rPr>
          <w:sz w:val="24"/>
          <w:szCs w:val="24"/>
        </w:rPr>
      </w:pPr>
    </w:p>
    <w:p w14:paraId="1087E08C" w14:textId="77777777" w:rsidR="0050769D" w:rsidRPr="0050769D" w:rsidRDefault="0050769D" w:rsidP="0050769D">
      <w:pPr>
        <w:spacing w:line="240" w:lineRule="auto"/>
        <w:jc w:val="both"/>
        <w:rPr>
          <w:sz w:val="24"/>
          <w:szCs w:val="24"/>
        </w:rPr>
      </w:pPr>
      <w:r w:rsidRPr="0050769D">
        <w:rPr>
          <w:sz w:val="24"/>
          <w:szCs w:val="24"/>
        </w:rPr>
        <w:t>Descripción de las intervenciones.</w:t>
      </w:r>
    </w:p>
    <w:p w14:paraId="47BE24AA" w14:textId="77777777" w:rsidR="0050769D" w:rsidRPr="0050769D" w:rsidRDefault="0050769D" w:rsidP="0050769D">
      <w:pPr>
        <w:spacing w:line="240" w:lineRule="auto"/>
        <w:jc w:val="both"/>
        <w:rPr>
          <w:sz w:val="24"/>
          <w:szCs w:val="24"/>
        </w:rPr>
      </w:pPr>
      <w:r w:rsidRPr="0050769D">
        <w:rPr>
          <w:sz w:val="24"/>
          <w:szCs w:val="24"/>
        </w:rPr>
        <w:lastRenderedPageBreak/>
        <w:t xml:space="preserve">Se trata de un estudio observacional con recolección de información de las historias clínicas por tanto no existe un grupo de intervención; las intervenciones realizadas en los pacientes hacen parte de los procedimientos incluidos en el tratamiento estándar administrado a todos los pacientes con diagnóstico de leucemia </w:t>
      </w:r>
      <w:proofErr w:type="spellStart"/>
      <w:r w:rsidRPr="0050769D">
        <w:rPr>
          <w:sz w:val="24"/>
          <w:szCs w:val="24"/>
        </w:rPr>
        <w:t>linfoblástica</w:t>
      </w:r>
      <w:proofErr w:type="spellEnd"/>
      <w:r w:rsidRPr="0050769D">
        <w:rPr>
          <w:sz w:val="24"/>
          <w:szCs w:val="24"/>
        </w:rPr>
        <w:t xml:space="preserve"> aguda que recibieron tratamiento en la unidad de atención de cáncer en infantil del Instituto Nacional de Cancerología de Colombia.</w:t>
      </w:r>
    </w:p>
    <w:p w14:paraId="6491645F" w14:textId="2BC4C5D4" w:rsidR="0050769D" w:rsidRPr="0050769D" w:rsidRDefault="0050769D" w:rsidP="0050769D">
      <w:pPr>
        <w:spacing w:line="240" w:lineRule="auto"/>
        <w:jc w:val="both"/>
        <w:rPr>
          <w:sz w:val="24"/>
          <w:szCs w:val="24"/>
        </w:rPr>
      </w:pPr>
    </w:p>
    <w:p w14:paraId="38C48FD1" w14:textId="77777777" w:rsidR="0050769D" w:rsidRPr="0050769D" w:rsidRDefault="0050769D" w:rsidP="0050769D">
      <w:pPr>
        <w:spacing w:line="240" w:lineRule="auto"/>
        <w:jc w:val="both"/>
        <w:rPr>
          <w:sz w:val="24"/>
          <w:szCs w:val="24"/>
        </w:rPr>
      </w:pPr>
      <w:r w:rsidRPr="0050769D">
        <w:rPr>
          <w:sz w:val="24"/>
          <w:szCs w:val="24"/>
        </w:rPr>
        <w:t>Procedimientos del estudio:</w:t>
      </w:r>
    </w:p>
    <w:p w14:paraId="67CE0FB4" w14:textId="5B88153C" w:rsidR="0050769D" w:rsidRDefault="0050769D" w:rsidP="0050769D">
      <w:pPr>
        <w:spacing w:line="240" w:lineRule="auto"/>
        <w:jc w:val="both"/>
        <w:rPr>
          <w:sz w:val="24"/>
          <w:szCs w:val="24"/>
        </w:rPr>
      </w:pPr>
      <w:r w:rsidRPr="0050769D">
        <w:rPr>
          <w:sz w:val="24"/>
          <w:szCs w:val="24"/>
        </w:rPr>
        <w:t>El estudio se realizará en la Unidad de Atención de Cáncer Infantil del Instituto Nacional de Cancerología, Bogotá Colombia. La Unidad de atención de cáncer infantil como parte de su actividad diaria registra, en una base de datos general, prospectivamente y en forma activa todos los pacientes nuevos que ingresan al servicio de consulta externa, urgencias y hospitalización del Instituto Nacional de Cancerología. Se identificarán los números de historia clínica y se procederá a realizar una revisión de estas en el archivo electrónico de la institución para la actualización de los datos hasta la fecha del cierre del estudio.</w:t>
      </w:r>
    </w:p>
    <w:p w14:paraId="0EA377D1" w14:textId="77777777" w:rsidR="00EE1C53" w:rsidRPr="0050769D" w:rsidRDefault="00EE1C53" w:rsidP="0050769D">
      <w:pPr>
        <w:spacing w:line="240" w:lineRule="auto"/>
        <w:jc w:val="both"/>
        <w:rPr>
          <w:sz w:val="24"/>
          <w:szCs w:val="24"/>
        </w:rPr>
      </w:pPr>
    </w:p>
    <w:p w14:paraId="4B1CAD5F" w14:textId="32352C83" w:rsidR="0050769D" w:rsidRDefault="0050769D" w:rsidP="0050769D">
      <w:pPr>
        <w:spacing w:line="240" w:lineRule="auto"/>
        <w:jc w:val="both"/>
        <w:rPr>
          <w:sz w:val="24"/>
          <w:szCs w:val="24"/>
        </w:rPr>
      </w:pPr>
      <w:r w:rsidRPr="0050769D">
        <w:rPr>
          <w:sz w:val="24"/>
          <w:szCs w:val="24"/>
        </w:rPr>
        <w:t xml:space="preserve">El estudio hace parte del “programa para mejorar la calidad del dato de la historia clínica y otras fuentes para la promoción de la investigación, evaluación de desenlaces en salud y apoyo a requerimientos de información legal y contractual mediante la creación, administración y análisis de bases de datos de servicios clínicos institucionales. </w:t>
      </w:r>
      <w:proofErr w:type="spellStart"/>
      <w:r w:rsidRPr="0050769D">
        <w:rPr>
          <w:sz w:val="24"/>
          <w:szCs w:val="24"/>
        </w:rPr>
        <w:t>Codigo</w:t>
      </w:r>
      <w:proofErr w:type="spellEnd"/>
      <w:r w:rsidRPr="0050769D">
        <w:rPr>
          <w:sz w:val="24"/>
          <w:szCs w:val="24"/>
        </w:rPr>
        <w:t>: 19990300227” del Instituto Nacional de Cancerología de la subdirección de investigación (aclaramos que este programa fue cerrado por parte de la subdirección de investigación del Instituto Nacional de Cancerología, el cual fue iniciado en enero de 2021 y fue cerrado por la subdirección de investigación</w:t>
      </w:r>
      <w:r w:rsidR="00EE1C53">
        <w:rPr>
          <w:sz w:val="24"/>
          <w:szCs w:val="24"/>
        </w:rPr>
        <w:t xml:space="preserve"> </w:t>
      </w:r>
      <w:r w:rsidRPr="0050769D">
        <w:rPr>
          <w:sz w:val="24"/>
          <w:szCs w:val="24"/>
        </w:rPr>
        <w:t xml:space="preserve">(terminado) el 31 de diciembre de 2024; pero que en la fecha en que se tomó la decisión, la base de datos en el sistema </w:t>
      </w:r>
      <w:proofErr w:type="spellStart"/>
      <w:r w:rsidRPr="0050769D">
        <w:rPr>
          <w:sz w:val="24"/>
          <w:szCs w:val="24"/>
        </w:rPr>
        <w:t>RedCap</w:t>
      </w:r>
      <w:proofErr w:type="spellEnd"/>
      <w:r w:rsidRPr="0050769D">
        <w:rPr>
          <w:sz w:val="24"/>
          <w:szCs w:val="24"/>
        </w:rPr>
        <w:t xml:space="preserve"> del programa de bases de datos de servicios clínicos institucionales, ya se había realizado y completado).</w:t>
      </w:r>
    </w:p>
    <w:p w14:paraId="3CF97601" w14:textId="77777777" w:rsidR="00EE1C53" w:rsidRPr="0050769D" w:rsidRDefault="00EE1C53" w:rsidP="0050769D">
      <w:pPr>
        <w:spacing w:line="240" w:lineRule="auto"/>
        <w:jc w:val="both"/>
        <w:rPr>
          <w:sz w:val="24"/>
          <w:szCs w:val="24"/>
        </w:rPr>
      </w:pPr>
    </w:p>
    <w:p w14:paraId="2633E40A" w14:textId="4930EB17" w:rsidR="0050769D" w:rsidRDefault="0050769D" w:rsidP="0050769D">
      <w:pPr>
        <w:spacing w:line="240" w:lineRule="auto"/>
        <w:jc w:val="both"/>
        <w:rPr>
          <w:sz w:val="24"/>
          <w:szCs w:val="24"/>
        </w:rPr>
      </w:pPr>
      <w:r w:rsidRPr="0050769D">
        <w:rPr>
          <w:sz w:val="24"/>
          <w:szCs w:val="24"/>
        </w:rPr>
        <w:t xml:space="preserve">Se diseñó un formulario para registrar la información demográfica, clínica, de laboratorios y los resultados del tratamiento y se construyó la base de datos en el sistema </w:t>
      </w:r>
      <w:proofErr w:type="spellStart"/>
      <w:r w:rsidRPr="0050769D">
        <w:rPr>
          <w:sz w:val="24"/>
          <w:szCs w:val="24"/>
        </w:rPr>
        <w:t>RedCap</w:t>
      </w:r>
      <w:proofErr w:type="spellEnd"/>
      <w:r w:rsidRPr="0050769D">
        <w:rPr>
          <w:sz w:val="24"/>
          <w:szCs w:val="24"/>
        </w:rPr>
        <w:t xml:space="preserve"> del programa de bases de datos de servicios clínicos institucionales del Instituto Nacional de Cancerología de la subdirección de investigación. La información se analizará con el programa estadístico SPSS 20 ®.</w:t>
      </w:r>
    </w:p>
    <w:p w14:paraId="74B7AC51" w14:textId="77777777" w:rsidR="00EE1C53" w:rsidRPr="0050769D" w:rsidRDefault="00EE1C53" w:rsidP="0050769D">
      <w:pPr>
        <w:spacing w:line="240" w:lineRule="auto"/>
        <w:jc w:val="both"/>
        <w:rPr>
          <w:sz w:val="24"/>
          <w:szCs w:val="24"/>
        </w:rPr>
      </w:pPr>
    </w:p>
    <w:p w14:paraId="76EE770B" w14:textId="01094426" w:rsidR="0050769D" w:rsidRDefault="0050769D" w:rsidP="0050769D">
      <w:pPr>
        <w:spacing w:line="240" w:lineRule="auto"/>
        <w:jc w:val="both"/>
        <w:rPr>
          <w:sz w:val="24"/>
          <w:szCs w:val="24"/>
        </w:rPr>
      </w:pPr>
      <w:r w:rsidRPr="0050769D">
        <w:rPr>
          <w:sz w:val="24"/>
          <w:szCs w:val="24"/>
        </w:rPr>
        <w:t>Se realiz</w:t>
      </w:r>
      <w:r>
        <w:rPr>
          <w:sz w:val="24"/>
          <w:szCs w:val="24"/>
        </w:rPr>
        <w:t>ó</w:t>
      </w:r>
      <w:r w:rsidRPr="0050769D">
        <w:rPr>
          <w:sz w:val="24"/>
          <w:szCs w:val="24"/>
        </w:rPr>
        <w:t xml:space="preserve"> llenado de la base de datos, la cual fue validada por el grupo de monitoria del programa creación, administración y análisis de bases de datos de servicios clínicos institucionales</w:t>
      </w:r>
      <w:r w:rsidR="00EE1C53">
        <w:rPr>
          <w:sz w:val="24"/>
          <w:szCs w:val="24"/>
        </w:rPr>
        <w:t xml:space="preserve">. </w:t>
      </w:r>
      <w:r w:rsidRPr="0050769D">
        <w:rPr>
          <w:sz w:val="24"/>
          <w:szCs w:val="24"/>
        </w:rPr>
        <w:t>La fecha de corte para el seguimiento de los pacientes que se incluyan para el análisis de mortalidad será el 31 de diciembre del 2022.</w:t>
      </w:r>
    </w:p>
    <w:p w14:paraId="1C646618" w14:textId="77777777" w:rsidR="00EE1C53" w:rsidRPr="0050769D" w:rsidRDefault="00EE1C53" w:rsidP="0050769D">
      <w:pPr>
        <w:spacing w:line="240" w:lineRule="auto"/>
        <w:jc w:val="both"/>
        <w:rPr>
          <w:sz w:val="24"/>
          <w:szCs w:val="24"/>
        </w:rPr>
      </w:pPr>
    </w:p>
    <w:p w14:paraId="3559E9BE" w14:textId="60A9F037" w:rsidR="0050769D" w:rsidRPr="0050769D" w:rsidRDefault="0050769D" w:rsidP="0050769D">
      <w:pPr>
        <w:spacing w:line="240" w:lineRule="auto"/>
        <w:jc w:val="both"/>
        <w:rPr>
          <w:sz w:val="24"/>
          <w:szCs w:val="24"/>
        </w:rPr>
      </w:pPr>
      <w:r w:rsidRPr="0050769D">
        <w:rPr>
          <w:sz w:val="24"/>
          <w:szCs w:val="24"/>
        </w:rPr>
        <w:t>En los pacientes en quienes se descono</w:t>
      </w:r>
      <w:r>
        <w:rPr>
          <w:sz w:val="24"/>
          <w:szCs w:val="24"/>
        </w:rPr>
        <w:t>cía</w:t>
      </w:r>
      <w:r w:rsidRPr="0050769D">
        <w:rPr>
          <w:sz w:val="24"/>
          <w:szCs w:val="24"/>
        </w:rPr>
        <w:t xml:space="preserve"> su estado vital se realiz</w:t>
      </w:r>
      <w:r>
        <w:rPr>
          <w:sz w:val="24"/>
          <w:szCs w:val="24"/>
        </w:rPr>
        <w:t>ó</w:t>
      </w:r>
      <w:r w:rsidRPr="0050769D">
        <w:rPr>
          <w:sz w:val="24"/>
          <w:szCs w:val="24"/>
        </w:rPr>
        <w:t xml:space="preserve"> una búsqueda en la base de dato del RUAF en busca de poder establecer si el paciente falleció.</w:t>
      </w:r>
    </w:p>
    <w:p w14:paraId="5568E488" w14:textId="52AD79D0" w:rsidR="0050769D" w:rsidRDefault="0050769D" w:rsidP="0050769D">
      <w:pPr>
        <w:spacing w:line="240" w:lineRule="auto"/>
        <w:jc w:val="both"/>
        <w:rPr>
          <w:sz w:val="24"/>
          <w:szCs w:val="24"/>
        </w:rPr>
      </w:pPr>
      <w:r w:rsidRPr="0050769D">
        <w:rPr>
          <w:sz w:val="24"/>
          <w:szCs w:val="24"/>
        </w:rPr>
        <w:t>Para garantizar la calidad de la información se realiz</w:t>
      </w:r>
      <w:r>
        <w:rPr>
          <w:sz w:val="24"/>
          <w:szCs w:val="24"/>
        </w:rPr>
        <w:t>ó</w:t>
      </w:r>
      <w:r w:rsidRPr="0050769D">
        <w:rPr>
          <w:sz w:val="24"/>
          <w:szCs w:val="24"/>
        </w:rPr>
        <w:t xml:space="preserve"> una reunión cada 15 días del equipo de investigación (investigador principal y los </w:t>
      </w:r>
      <w:proofErr w:type="spellStart"/>
      <w:proofErr w:type="gramStart"/>
      <w:r w:rsidRPr="0050769D">
        <w:rPr>
          <w:sz w:val="24"/>
          <w:szCs w:val="24"/>
        </w:rPr>
        <w:t>co</w:t>
      </w:r>
      <w:proofErr w:type="spellEnd"/>
      <w:r w:rsidRPr="0050769D">
        <w:rPr>
          <w:sz w:val="24"/>
          <w:szCs w:val="24"/>
        </w:rPr>
        <w:t>-investigadores</w:t>
      </w:r>
      <w:proofErr w:type="gramEnd"/>
      <w:r w:rsidRPr="0050769D">
        <w:rPr>
          <w:sz w:val="24"/>
          <w:szCs w:val="24"/>
        </w:rPr>
        <w:t>) con el propósito de discutir los avances de la información de los pacientes ingresados en el estudio.</w:t>
      </w:r>
    </w:p>
    <w:p w14:paraId="64270B42" w14:textId="77777777" w:rsidR="00EE1C53" w:rsidRPr="0050769D" w:rsidRDefault="00EE1C53" w:rsidP="0050769D">
      <w:pPr>
        <w:spacing w:line="240" w:lineRule="auto"/>
        <w:jc w:val="both"/>
        <w:rPr>
          <w:sz w:val="24"/>
          <w:szCs w:val="24"/>
        </w:rPr>
      </w:pPr>
    </w:p>
    <w:p w14:paraId="2AB3D844" w14:textId="228CDA62" w:rsidR="0050769D" w:rsidRDefault="0050769D" w:rsidP="0050769D">
      <w:pPr>
        <w:spacing w:line="240" w:lineRule="auto"/>
        <w:jc w:val="both"/>
        <w:rPr>
          <w:sz w:val="24"/>
          <w:szCs w:val="24"/>
        </w:rPr>
      </w:pPr>
      <w:r w:rsidRPr="0050769D">
        <w:rPr>
          <w:sz w:val="24"/>
          <w:szCs w:val="24"/>
        </w:rPr>
        <w:t>Sitios de investigación: El estudio se realiz</w:t>
      </w:r>
      <w:r>
        <w:rPr>
          <w:sz w:val="24"/>
          <w:szCs w:val="24"/>
        </w:rPr>
        <w:t>ó</w:t>
      </w:r>
      <w:r w:rsidRPr="0050769D">
        <w:rPr>
          <w:sz w:val="24"/>
          <w:szCs w:val="24"/>
        </w:rPr>
        <w:t xml:space="preserve"> en la Unidad de Atención de Cáncer Infantil del Instituto Nacional de Cancerología, Bogotá Colombia.</w:t>
      </w:r>
    </w:p>
    <w:p w14:paraId="5F12CA51" w14:textId="18D65AEB" w:rsidR="00EA6771" w:rsidRDefault="00EA6771" w:rsidP="000C0B9E">
      <w:pPr>
        <w:spacing w:line="240" w:lineRule="auto"/>
        <w:jc w:val="both"/>
        <w:rPr>
          <w:sz w:val="24"/>
          <w:szCs w:val="24"/>
        </w:rPr>
      </w:pPr>
    </w:p>
    <w:p w14:paraId="21872CAB" w14:textId="77777777" w:rsidR="0050769D" w:rsidRPr="0050769D" w:rsidRDefault="0050769D" w:rsidP="0050769D">
      <w:pPr>
        <w:spacing w:line="240" w:lineRule="auto"/>
        <w:jc w:val="both"/>
        <w:rPr>
          <w:sz w:val="24"/>
          <w:szCs w:val="24"/>
        </w:rPr>
      </w:pPr>
      <w:r w:rsidRPr="0050769D">
        <w:rPr>
          <w:sz w:val="24"/>
          <w:szCs w:val="24"/>
        </w:rPr>
        <w:lastRenderedPageBreak/>
        <w:t>Aseguramiento y control de la calidad: Recolección de los datos.</w:t>
      </w:r>
    </w:p>
    <w:p w14:paraId="59C9567D" w14:textId="502B040A" w:rsidR="0050769D" w:rsidRPr="0050769D" w:rsidRDefault="0050769D" w:rsidP="0050769D">
      <w:pPr>
        <w:spacing w:line="240" w:lineRule="auto"/>
        <w:jc w:val="both"/>
        <w:rPr>
          <w:sz w:val="24"/>
          <w:szCs w:val="24"/>
        </w:rPr>
      </w:pPr>
      <w:r w:rsidRPr="0050769D">
        <w:rPr>
          <w:sz w:val="24"/>
          <w:szCs w:val="24"/>
        </w:rPr>
        <w:t xml:space="preserve">Con el propósito de garantizar la validez, confiabilidad y seguridad de los datos; el formulario de recolección de datos fue diligenciado, y actualizado por un </w:t>
      </w:r>
      <w:proofErr w:type="spellStart"/>
      <w:r w:rsidRPr="0050769D">
        <w:rPr>
          <w:sz w:val="24"/>
          <w:szCs w:val="24"/>
        </w:rPr>
        <w:t>coinvestigador</w:t>
      </w:r>
      <w:proofErr w:type="spellEnd"/>
      <w:r w:rsidRPr="0050769D">
        <w:rPr>
          <w:sz w:val="24"/>
          <w:szCs w:val="24"/>
        </w:rPr>
        <w:t xml:space="preserve"> y verificado por el investigador principal. Los datos estarán consignados en un archivo electrónico diseñado por el programa de bases de datos de la subdirección de investigación del INC. Las bases de datos finales, validada por el grupo de </w:t>
      </w:r>
      <w:proofErr w:type="spellStart"/>
      <w:r w:rsidRPr="0050769D">
        <w:rPr>
          <w:sz w:val="24"/>
          <w:szCs w:val="24"/>
        </w:rPr>
        <w:t>monitor</w:t>
      </w:r>
      <w:r w:rsidR="00EE1C53">
        <w:rPr>
          <w:sz w:val="24"/>
          <w:szCs w:val="24"/>
        </w:rPr>
        <w:t>í</w:t>
      </w:r>
      <w:r w:rsidRPr="0050769D">
        <w:rPr>
          <w:sz w:val="24"/>
          <w:szCs w:val="24"/>
        </w:rPr>
        <w:t>a</w:t>
      </w:r>
      <w:proofErr w:type="spellEnd"/>
      <w:r w:rsidRPr="0050769D">
        <w:rPr>
          <w:sz w:val="24"/>
          <w:szCs w:val="24"/>
        </w:rPr>
        <w:t>, se conserva en custodia por el programa de bases de datos del INC y una copia en la subdirección de investigación y en la clínica de oncología pediátrica del Instituto Nacional de Cancerología.</w:t>
      </w:r>
    </w:p>
    <w:p w14:paraId="1C07E65C" w14:textId="76E076F6" w:rsidR="0050769D" w:rsidRPr="0050769D" w:rsidRDefault="0050769D" w:rsidP="0050769D">
      <w:pPr>
        <w:spacing w:line="240" w:lineRule="auto"/>
        <w:jc w:val="both"/>
        <w:rPr>
          <w:sz w:val="24"/>
          <w:szCs w:val="24"/>
        </w:rPr>
      </w:pPr>
      <w:r w:rsidRPr="0050769D">
        <w:rPr>
          <w:sz w:val="24"/>
          <w:szCs w:val="24"/>
        </w:rPr>
        <w:t>A las bases de datos solo t</w:t>
      </w:r>
      <w:r w:rsidR="00EE1C53">
        <w:rPr>
          <w:sz w:val="24"/>
          <w:szCs w:val="24"/>
        </w:rPr>
        <w:t>uvieron</w:t>
      </w:r>
      <w:r w:rsidRPr="0050769D">
        <w:rPr>
          <w:sz w:val="24"/>
          <w:szCs w:val="24"/>
        </w:rPr>
        <w:t xml:space="preserve"> acceso los investigadores autorizados por el investigador principal y la subdirección de investigaciones de la Institución.</w:t>
      </w:r>
    </w:p>
    <w:p w14:paraId="761D0EF1" w14:textId="24A4A13D" w:rsidR="0050769D" w:rsidRDefault="0050769D" w:rsidP="0050769D">
      <w:pPr>
        <w:spacing w:line="240" w:lineRule="auto"/>
        <w:jc w:val="both"/>
        <w:rPr>
          <w:sz w:val="24"/>
          <w:szCs w:val="24"/>
        </w:rPr>
      </w:pPr>
      <w:r w:rsidRPr="0050769D">
        <w:rPr>
          <w:sz w:val="24"/>
          <w:szCs w:val="24"/>
        </w:rPr>
        <w:t>El proceso de investigación, en sus fases de pre-estudio, ejecución y cierre, est</w:t>
      </w:r>
      <w:r w:rsidR="00EE1C53">
        <w:rPr>
          <w:sz w:val="24"/>
          <w:szCs w:val="24"/>
        </w:rPr>
        <w:t>uvo</w:t>
      </w:r>
      <w:r w:rsidRPr="0050769D">
        <w:rPr>
          <w:sz w:val="24"/>
          <w:szCs w:val="24"/>
        </w:rPr>
        <w:t xml:space="preserve"> monitoreado por el sistema de monitoria a la investigación del Instituto Nacional de Cancerología para garantía de la calidad de la información y el cumplimiento de las normas de buenas prácticas clínicas.</w:t>
      </w:r>
    </w:p>
    <w:p w14:paraId="1EFD9D20" w14:textId="77777777" w:rsidR="0050769D" w:rsidRPr="0050769D" w:rsidRDefault="0050769D" w:rsidP="0050769D">
      <w:pPr>
        <w:spacing w:line="240" w:lineRule="auto"/>
        <w:jc w:val="both"/>
        <w:rPr>
          <w:sz w:val="24"/>
          <w:szCs w:val="24"/>
        </w:rPr>
      </w:pPr>
    </w:p>
    <w:p w14:paraId="53D3243E" w14:textId="77777777" w:rsidR="0050769D" w:rsidRPr="0050769D" w:rsidRDefault="0050769D" w:rsidP="0050769D">
      <w:pPr>
        <w:spacing w:line="240" w:lineRule="auto"/>
        <w:jc w:val="both"/>
        <w:rPr>
          <w:sz w:val="24"/>
          <w:szCs w:val="24"/>
        </w:rPr>
      </w:pPr>
      <w:r w:rsidRPr="0050769D">
        <w:rPr>
          <w:sz w:val="24"/>
          <w:szCs w:val="24"/>
        </w:rPr>
        <w:t>Plan de análisis por cada objetivo específico:</w:t>
      </w:r>
    </w:p>
    <w:p w14:paraId="66223F8E" w14:textId="77777777" w:rsidR="0050769D" w:rsidRPr="0050769D" w:rsidRDefault="0050769D" w:rsidP="0050769D">
      <w:pPr>
        <w:spacing w:line="240" w:lineRule="auto"/>
        <w:jc w:val="both"/>
        <w:rPr>
          <w:sz w:val="24"/>
          <w:szCs w:val="24"/>
        </w:rPr>
      </w:pPr>
      <w:r w:rsidRPr="0050769D">
        <w:rPr>
          <w:sz w:val="24"/>
          <w:szCs w:val="24"/>
        </w:rPr>
        <w:t>Para este estudio consideramos las muertes durante la inducción a la remisión y muertes en remisión completa como muertes no relacionadas a la leucemia.</w:t>
      </w:r>
    </w:p>
    <w:p w14:paraId="4AED0D0B" w14:textId="77777777" w:rsidR="0050769D" w:rsidRPr="0050769D" w:rsidRDefault="0050769D" w:rsidP="0050769D">
      <w:pPr>
        <w:spacing w:line="240" w:lineRule="auto"/>
        <w:jc w:val="both"/>
        <w:rPr>
          <w:sz w:val="24"/>
          <w:szCs w:val="24"/>
        </w:rPr>
      </w:pPr>
      <w:r w:rsidRPr="0050769D">
        <w:rPr>
          <w:sz w:val="24"/>
          <w:szCs w:val="24"/>
        </w:rPr>
        <w:t>Las variables cualitativas se analizarán mediante frecuencias absolutas y relativas, mientras que las cuantitativas se resumirán a través de medidas de tendencia central y dispersión. Los resultados numéricos de las variables se presentarán en tablas, que se acompañarán de las gráficas correspondientes para las variables más relevantes.</w:t>
      </w:r>
    </w:p>
    <w:p w14:paraId="031A2C67" w14:textId="77777777" w:rsidR="0050769D" w:rsidRPr="0050769D" w:rsidRDefault="0050769D" w:rsidP="0050769D">
      <w:pPr>
        <w:spacing w:line="240" w:lineRule="auto"/>
        <w:jc w:val="both"/>
        <w:rPr>
          <w:sz w:val="24"/>
          <w:szCs w:val="24"/>
        </w:rPr>
      </w:pPr>
      <w:r w:rsidRPr="0050769D">
        <w:rPr>
          <w:sz w:val="24"/>
          <w:szCs w:val="24"/>
        </w:rPr>
        <w:t>Para el análisis de los desenlaces primarios, muerte en inducción y muerte relacionada al tratamiento, teniendo en cuenta que el tiempo aportado por cada paciente es diferente, se realizará el cálculo de tasas de incidencia, tomando como numerador el número de muertes y como denominador el tiempo aportado por cada individuo hasta la fecha en que presenta el evento o la fecha del último seguimiento.</w:t>
      </w:r>
    </w:p>
    <w:p w14:paraId="726A9F8B" w14:textId="0281A075" w:rsidR="0050769D" w:rsidRDefault="0050769D" w:rsidP="0050769D">
      <w:pPr>
        <w:spacing w:line="240" w:lineRule="auto"/>
        <w:jc w:val="both"/>
        <w:rPr>
          <w:sz w:val="24"/>
          <w:szCs w:val="24"/>
        </w:rPr>
      </w:pPr>
      <w:r w:rsidRPr="0050769D">
        <w:rPr>
          <w:sz w:val="24"/>
          <w:szCs w:val="24"/>
        </w:rPr>
        <w:t>Los desenlaces primarios serán la presencia de la muerte en inducción y muerte</w:t>
      </w:r>
    </w:p>
    <w:p w14:paraId="41F55516" w14:textId="7BCE09C1" w:rsidR="0050769D" w:rsidRDefault="0050769D" w:rsidP="0050769D">
      <w:pPr>
        <w:spacing w:line="240" w:lineRule="auto"/>
        <w:jc w:val="both"/>
        <w:rPr>
          <w:sz w:val="24"/>
          <w:szCs w:val="24"/>
        </w:rPr>
      </w:pPr>
    </w:p>
    <w:p w14:paraId="02A8DE1C" w14:textId="5D33884C" w:rsidR="0050769D" w:rsidRPr="0050769D" w:rsidRDefault="0050769D" w:rsidP="0050769D">
      <w:pPr>
        <w:spacing w:line="240" w:lineRule="auto"/>
        <w:jc w:val="both"/>
        <w:rPr>
          <w:sz w:val="24"/>
          <w:szCs w:val="24"/>
        </w:rPr>
      </w:pPr>
      <w:r w:rsidRPr="0050769D">
        <w:rPr>
          <w:sz w:val="24"/>
          <w:szCs w:val="24"/>
        </w:rPr>
        <w:t xml:space="preserve">El tiempo acumulado al evento </w:t>
      </w:r>
      <w:r>
        <w:rPr>
          <w:sz w:val="24"/>
          <w:szCs w:val="24"/>
        </w:rPr>
        <w:t>se calculó</w:t>
      </w:r>
      <w:r w:rsidRPr="0050769D">
        <w:rPr>
          <w:sz w:val="24"/>
          <w:szCs w:val="24"/>
        </w:rPr>
        <w:t xml:space="preserve"> desde la fecha del diagnóstico a la fecha del evento. Los datos de los pacientes quienes estaban vivos y no presentaron ningún evento serán censurados al tiempo del ultimo seguimiento.</w:t>
      </w:r>
    </w:p>
    <w:p w14:paraId="2A591D03" w14:textId="235D78FE" w:rsidR="0050769D" w:rsidRDefault="0050769D" w:rsidP="0050769D">
      <w:pPr>
        <w:spacing w:line="240" w:lineRule="auto"/>
        <w:jc w:val="both"/>
        <w:rPr>
          <w:sz w:val="24"/>
          <w:szCs w:val="24"/>
        </w:rPr>
      </w:pPr>
      <w:r w:rsidRPr="0050769D">
        <w:rPr>
          <w:sz w:val="24"/>
          <w:szCs w:val="24"/>
        </w:rPr>
        <w:t xml:space="preserve">Las muertes asociadas a recaídas de la enfermedad, leucemia refractaria (progresión), segunda neoplasia o muerte </w:t>
      </w:r>
      <w:proofErr w:type="spellStart"/>
      <w:r w:rsidRPr="0050769D">
        <w:rPr>
          <w:sz w:val="24"/>
          <w:szCs w:val="24"/>
        </w:rPr>
        <w:t>postrasplante</w:t>
      </w:r>
      <w:proofErr w:type="spellEnd"/>
      <w:r w:rsidRPr="0050769D">
        <w:rPr>
          <w:sz w:val="24"/>
          <w:szCs w:val="24"/>
        </w:rPr>
        <w:t xml:space="preserve"> serán tratadas como eventos competitivos.</w:t>
      </w:r>
    </w:p>
    <w:p w14:paraId="668CA37D" w14:textId="1D00C1A0" w:rsidR="00EA6771" w:rsidRDefault="00EA6771" w:rsidP="000C0B9E">
      <w:pPr>
        <w:spacing w:line="240" w:lineRule="auto"/>
        <w:jc w:val="both"/>
        <w:rPr>
          <w:sz w:val="24"/>
          <w:szCs w:val="24"/>
        </w:rPr>
      </w:pPr>
    </w:p>
    <w:p w14:paraId="0F715091" w14:textId="77777777" w:rsidR="0050769D" w:rsidRPr="0050769D" w:rsidRDefault="0050769D" w:rsidP="0050769D">
      <w:pPr>
        <w:spacing w:line="240" w:lineRule="auto"/>
        <w:jc w:val="both"/>
        <w:rPr>
          <w:sz w:val="24"/>
          <w:szCs w:val="24"/>
        </w:rPr>
      </w:pPr>
      <w:r w:rsidRPr="0050769D">
        <w:rPr>
          <w:sz w:val="24"/>
          <w:szCs w:val="24"/>
        </w:rPr>
        <w:t>Para los objetivos 1,2,3,4 se utilizará la estadística descriptiva: Las variables categóricas se describirán mediante las distribuciones de frecuencias absolutas y relativas con sus respectivos intervalos de confianza al 95% (IC 95%).</w:t>
      </w:r>
    </w:p>
    <w:p w14:paraId="092C8F8A" w14:textId="77777777" w:rsidR="0050769D" w:rsidRPr="0050769D" w:rsidRDefault="0050769D" w:rsidP="0050769D">
      <w:pPr>
        <w:spacing w:line="240" w:lineRule="auto"/>
        <w:jc w:val="both"/>
        <w:rPr>
          <w:sz w:val="24"/>
          <w:szCs w:val="24"/>
        </w:rPr>
      </w:pPr>
      <w:r w:rsidRPr="0050769D">
        <w:rPr>
          <w:sz w:val="24"/>
          <w:szCs w:val="24"/>
        </w:rPr>
        <w:t xml:space="preserve">En las variables numéricas se evaluará la normalidad de estas mediante la prueba de </w:t>
      </w:r>
      <w:proofErr w:type="spellStart"/>
      <w:r w:rsidRPr="0050769D">
        <w:rPr>
          <w:sz w:val="24"/>
          <w:szCs w:val="24"/>
        </w:rPr>
        <w:t>Shapiro</w:t>
      </w:r>
      <w:proofErr w:type="spellEnd"/>
      <w:r w:rsidRPr="0050769D">
        <w:rPr>
          <w:sz w:val="24"/>
          <w:szCs w:val="24"/>
        </w:rPr>
        <w:t xml:space="preserve"> </w:t>
      </w:r>
      <w:proofErr w:type="spellStart"/>
      <w:r w:rsidRPr="0050769D">
        <w:rPr>
          <w:sz w:val="24"/>
          <w:szCs w:val="24"/>
        </w:rPr>
        <w:t>Wilk</w:t>
      </w:r>
      <w:proofErr w:type="spellEnd"/>
      <w:r w:rsidRPr="0050769D">
        <w:rPr>
          <w:sz w:val="24"/>
          <w:szCs w:val="24"/>
        </w:rPr>
        <w:t xml:space="preserve">. Se utilizarán medidas de tendencia central y de ubicación con sus correspondientes medidas de dispersión: medias con desviación estándar para variables normales y medianas con rangos </w:t>
      </w:r>
      <w:proofErr w:type="spellStart"/>
      <w:r w:rsidRPr="0050769D">
        <w:rPr>
          <w:sz w:val="24"/>
          <w:szCs w:val="24"/>
        </w:rPr>
        <w:t>intercuartílicos</w:t>
      </w:r>
      <w:proofErr w:type="spellEnd"/>
      <w:r w:rsidRPr="0050769D">
        <w:rPr>
          <w:sz w:val="24"/>
          <w:szCs w:val="24"/>
        </w:rPr>
        <w:t xml:space="preserve"> en las que no cumplan el criterio de normalidad.</w:t>
      </w:r>
    </w:p>
    <w:p w14:paraId="4110CDD3" w14:textId="11E7D968" w:rsidR="0050769D" w:rsidRDefault="0050769D" w:rsidP="0050769D">
      <w:pPr>
        <w:spacing w:line="240" w:lineRule="auto"/>
        <w:jc w:val="both"/>
        <w:rPr>
          <w:sz w:val="24"/>
          <w:szCs w:val="24"/>
        </w:rPr>
      </w:pPr>
      <w:r w:rsidRPr="0050769D">
        <w:rPr>
          <w:sz w:val="24"/>
          <w:szCs w:val="24"/>
        </w:rPr>
        <w:t xml:space="preserve">Para el objetivo 5: Para comparar los desenlaces muerte en función de variables </w:t>
      </w:r>
      <w:proofErr w:type="spellStart"/>
      <w:r w:rsidRPr="0050769D">
        <w:rPr>
          <w:sz w:val="24"/>
          <w:szCs w:val="24"/>
        </w:rPr>
        <w:t>predictoras</w:t>
      </w:r>
      <w:proofErr w:type="spellEnd"/>
      <w:r w:rsidRPr="0050769D">
        <w:rPr>
          <w:sz w:val="24"/>
          <w:szCs w:val="24"/>
        </w:rPr>
        <w:t xml:space="preserve"> de los desenlaces (edad, sexo, régimen de afiliación al sistema de seguridad social, respuesta al día 8 de esteroides, clasificación por grupo de riesgo, compromiso de sistema nervioso central) se realizarán una serie de análisis </w:t>
      </w:r>
      <w:proofErr w:type="spellStart"/>
      <w:r w:rsidRPr="0050769D">
        <w:rPr>
          <w:sz w:val="24"/>
          <w:szCs w:val="24"/>
        </w:rPr>
        <w:t>bivariados</w:t>
      </w:r>
      <w:proofErr w:type="spellEnd"/>
      <w:r w:rsidRPr="0050769D">
        <w:rPr>
          <w:sz w:val="24"/>
          <w:szCs w:val="24"/>
        </w:rPr>
        <w:t xml:space="preserve"> mediante el test de Ji2 (x2) o test exacto de </w:t>
      </w:r>
      <w:proofErr w:type="spellStart"/>
      <w:r w:rsidRPr="0050769D">
        <w:rPr>
          <w:sz w:val="24"/>
          <w:szCs w:val="24"/>
        </w:rPr>
        <w:t>fisherr´s</w:t>
      </w:r>
      <w:proofErr w:type="spellEnd"/>
      <w:r w:rsidRPr="0050769D">
        <w:rPr>
          <w:sz w:val="24"/>
          <w:szCs w:val="24"/>
        </w:rPr>
        <w:t xml:space="preserve">, dependiendo del </w:t>
      </w:r>
      <w:r w:rsidRPr="0050769D">
        <w:rPr>
          <w:sz w:val="24"/>
          <w:szCs w:val="24"/>
        </w:rPr>
        <w:lastRenderedPageBreak/>
        <w:t>número de sujetos en las variables nominales y mediante t-</w:t>
      </w:r>
      <w:proofErr w:type="spellStart"/>
      <w:r w:rsidRPr="0050769D">
        <w:rPr>
          <w:sz w:val="24"/>
          <w:szCs w:val="24"/>
        </w:rPr>
        <w:t>student</w:t>
      </w:r>
      <w:proofErr w:type="spellEnd"/>
      <w:r w:rsidRPr="0050769D">
        <w:rPr>
          <w:sz w:val="24"/>
          <w:szCs w:val="24"/>
        </w:rPr>
        <w:t xml:space="preserve"> para comparar medias en variable numérica</w:t>
      </w:r>
      <w:r>
        <w:rPr>
          <w:sz w:val="24"/>
          <w:szCs w:val="24"/>
        </w:rPr>
        <w:t>s.</w:t>
      </w:r>
    </w:p>
    <w:p w14:paraId="4D529072" w14:textId="08473D60" w:rsidR="00EA6771" w:rsidRDefault="00EA6771" w:rsidP="000C0B9E">
      <w:pPr>
        <w:spacing w:line="240" w:lineRule="auto"/>
        <w:jc w:val="both"/>
        <w:rPr>
          <w:sz w:val="24"/>
          <w:szCs w:val="24"/>
        </w:rPr>
      </w:pPr>
    </w:p>
    <w:p w14:paraId="0EB6DDD2" w14:textId="77777777" w:rsidR="00EE1C53" w:rsidRDefault="00EE1C53" w:rsidP="000C0B9E">
      <w:pPr>
        <w:spacing w:line="240" w:lineRule="auto"/>
        <w:jc w:val="both"/>
        <w:rPr>
          <w:sz w:val="24"/>
          <w:szCs w:val="24"/>
        </w:rPr>
      </w:pPr>
    </w:p>
    <w:p w14:paraId="7BF801FD" w14:textId="77777777" w:rsidR="00EE1C53" w:rsidRDefault="00EE1C53" w:rsidP="000C0B9E">
      <w:pPr>
        <w:spacing w:line="240" w:lineRule="auto"/>
        <w:jc w:val="both"/>
        <w:rPr>
          <w:sz w:val="24"/>
          <w:szCs w:val="24"/>
        </w:rPr>
      </w:pPr>
    </w:p>
    <w:p w14:paraId="300A3D2E" w14:textId="18687FB5" w:rsidR="00EA6771" w:rsidRDefault="0050769D" w:rsidP="000C0B9E">
      <w:pPr>
        <w:spacing w:line="240" w:lineRule="auto"/>
        <w:jc w:val="both"/>
        <w:rPr>
          <w:sz w:val="24"/>
          <w:szCs w:val="24"/>
        </w:rPr>
      </w:pPr>
      <w:r>
        <w:rPr>
          <w:sz w:val="24"/>
          <w:szCs w:val="24"/>
        </w:rPr>
        <w:t>Variables</w:t>
      </w:r>
    </w:p>
    <w:p w14:paraId="088426F8" w14:textId="47A01E04" w:rsidR="0050769D" w:rsidRDefault="0050769D" w:rsidP="000C0B9E">
      <w:pPr>
        <w:spacing w:line="240" w:lineRule="auto"/>
        <w:jc w:val="both"/>
        <w:rPr>
          <w:sz w:val="24"/>
          <w:szCs w:val="24"/>
        </w:rPr>
      </w:pPr>
    </w:p>
    <w:p w14:paraId="64AC4A01" w14:textId="717C07C6" w:rsidR="0050769D" w:rsidRDefault="0050769D" w:rsidP="000C0B9E">
      <w:pPr>
        <w:spacing w:line="240" w:lineRule="auto"/>
        <w:jc w:val="both"/>
        <w:rPr>
          <w:sz w:val="24"/>
          <w:szCs w:val="24"/>
        </w:rPr>
      </w:pPr>
      <w:r w:rsidRPr="0050769D">
        <w:rPr>
          <w:sz w:val="24"/>
          <w:szCs w:val="24"/>
        </w:rPr>
        <w:drawing>
          <wp:inline distT="0" distB="0" distL="0" distR="0" wp14:anchorId="2CD49DDC" wp14:editId="022F73D9">
            <wp:extent cx="5733415" cy="543750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33415" cy="5437505"/>
                    </a:xfrm>
                    <a:prstGeom prst="rect">
                      <a:avLst/>
                    </a:prstGeom>
                  </pic:spPr>
                </pic:pic>
              </a:graphicData>
            </a:graphic>
          </wp:inline>
        </w:drawing>
      </w:r>
    </w:p>
    <w:p w14:paraId="3E431CC3" w14:textId="527542AD" w:rsidR="0050769D" w:rsidRDefault="0050769D" w:rsidP="000C0B9E">
      <w:pPr>
        <w:spacing w:line="240" w:lineRule="auto"/>
        <w:jc w:val="both"/>
        <w:rPr>
          <w:sz w:val="24"/>
          <w:szCs w:val="24"/>
        </w:rPr>
      </w:pPr>
      <w:r w:rsidRPr="0050769D">
        <w:rPr>
          <w:sz w:val="24"/>
          <w:szCs w:val="24"/>
        </w:rPr>
        <w:lastRenderedPageBreak/>
        <w:drawing>
          <wp:inline distT="0" distB="0" distL="0" distR="0" wp14:anchorId="249EA515" wp14:editId="00C64C99">
            <wp:extent cx="5733415" cy="739584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3415" cy="7395845"/>
                    </a:xfrm>
                    <a:prstGeom prst="rect">
                      <a:avLst/>
                    </a:prstGeom>
                  </pic:spPr>
                </pic:pic>
              </a:graphicData>
            </a:graphic>
          </wp:inline>
        </w:drawing>
      </w:r>
    </w:p>
    <w:p w14:paraId="778BD06B" w14:textId="033C4DED" w:rsidR="0050769D" w:rsidRDefault="0050769D" w:rsidP="000C0B9E">
      <w:pPr>
        <w:spacing w:line="240" w:lineRule="auto"/>
        <w:jc w:val="both"/>
        <w:rPr>
          <w:sz w:val="24"/>
          <w:szCs w:val="24"/>
        </w:rPr>
      </w:pPr>
    </w:p>
    <w:p w14:paraId="3B86403C" w14:textId="77C3FCDF" w:rsidR="0050769D" w:rsidRDefault="0050769D" w:rsidP="000C0B9E">
      <w:pPr>
        <w:spacing w:line="240" w:lineRule="auto"/>
        <w:jc w:val="both"/>
        <w:rPr>
          <w:sz w:val="24"/>
          <w:szCs w:val="24"/>
        </w:rPr>
      </w:pPr>
      <w:r w:rsidRPr="0050769D">
        <w:rPr>
          <w:sz w:val="24"/>
          <w:szCs w:val="24"/>
        </w:rPr>
        <w:lastRenderedPageBreak/>
        <w:drawing>
          <wp:inline distT="0" distB="0" distL="0" distR="0" wp14:anchorId="0B9AD6B6" wp14:editId="447242A8">
            <wp:extent cx="5733415" cy="4568825"/>
            <wp:effectExtent l="0" t="0" r="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3415" cy="4568825"/>
                    </a:xfrm>
                    <a:prstGeom prst="rect">
                      <a:avLst/>
                    </a:prstGeom>
                  </pic:spPr>
                </pic:pic>
              </a:graphicData>
            </a:graphic>
          </wp:inline>
        </w:drawing>
      </w:r>
    </w:p>
    <w:p w14:paraId="34C8FE68" w14:textId="50112E5A" w:rsidR="0050769D" w:rsidRDefault="0050769D" w:rsidP="000C0B9E">
      <w:pPr>
        <w:spacing w:line="240" w:lineRule="auto"/>
        <w:jc w:val="both"/>
        <w:rPr>
          <w:sz w:val="24"/>
          <w:szCs w:val="24"/>
        </w:rPr>
      </w:pPr>
    </w:p>
    <w:p w14:paraId="2F776D43" w14:textId="377AF03E" w:rsidR="0050769D" w:rsidRPr="0050769D" w:rsidRDefault="00EE1C53" w:rsidP="0050769D">
      <w:pPr>
        <w:spacing w:line="240" w:lineRule="auto"/>
        <w:jc w:val="both"/>
        <w:rPr>
          <w:sz w:val="24"/>
          <w:szCs w:val="24"/>
        </w:rPr>
      </w:pPr>
      <w:r w:rsidRPr="0050769D">
        <w:rPr>
          <w:sz w:val="24"/>
          <w:szCs w:val="24"/>
        </w:rPr>
        <w:t>Consideraciones éticas.</w:t>
      </w:r>
    </w:p>
    <w:p w14:paraId="13A76581" w14:textId="1A3103B6" w:rsidR="0050769D" w:rsidRDefault="0050769D" w:rsidP="0050769D">
      <w:pPr>
        <w:spacing w:line="240" w:lineRule="auto"/>
        <w:jc w:val="both"/>
        <w:rPr>
          <w:sz w:val="24"/>
          <w:szCs w:val="24"/>
        </w:rPr>
      </w:pPr>
      <w:r w:rsidRPr="0050769D">
        <w:rPr>
          <w:sz w:val="24"/>
          <w:szCs w:val="24"/>
        </w:rPr>
        <w:t>El estudio no tiene ningún riesgo ecológico o ambiental. El artículo 11 de la resolución 8430 del 4 de octubre de 1993 del Ministerio de Salud de Colombia (actualmente Ministerio de la Protección Social, resolución 002378 de 27 de junio del 2008) por la cual se establecen las normas científicas, técnicas y administrativas para la investigación en salud, son considerados estudios de investigación sin riesgo, los estudios que emplean técnicas y métodos de investigación documental retrospectivos y aquellos en los que no se realiza ninguna intervención o modificación intencionada de las variables biológicas, fisiológicas, sicológicas o sociales de los individuos que participan en el estudio, entre los que se consideran: revisión de historias clínicas, entrevistas, cuestionarios y otros en los que no se le identifique ni se traten aspectos sensibles de su conducta.</w:t>
      </w:r>
    </w:p>
    <w:p w14:paraId="65681FA7" w14:textId="77777777" w:rsidR="00EE1C53" w:rsidRPr="0050769D" w:rsidRDefault="00EE1C53" w:rsidP="0050769D">
      <w:pPr>
        <w:spacing w:line="240" w:lineRule="auto"/>
        <w:jc w:val="both"/>
        <w:rPr>
          <w:sz w:val="24"/>
          <w:szCs w:val="24"/>
        </w:rPr>
      </w:pPr>
    </w:p>
    <w:p w14:paraId="3E2C06D7" w14:textId="1C401BF6" w:rsidR="0050769D" w:rsidRDefault="0050769D" w:rsidP="0050769D">
      <w:pPr>
        <w:spacing w:line="240" w:lineRule="auto"/>
        <w:jc w:val="both"/>
        <w:rPr>
          <w:sz w:val="24"/>
          <w:szCs w:val="24"/>
        </w:rPr>
      </w:pPr>
      <w:r w:rsidRPr="0050769D">
        <w:rPr>
          <w:sz w:val="24"/>
          <w:szCs w:val="24"/>
        </w:rPr>
        <w:t>De acuerdo con el enunciado anterior y por tratarse de un estudio observacional este trabajo es considerado como una investigación sin riesgo en donde no está en peligro la seguridad de los pacientes; por lo tanto, la valoración, medición y cubrimiento de posibles eventos adversos y su procedimiento de notificación no aplican.</w:t>
      </w:r>
      <w:r w:rsidR="00EE1C53">
        <w:rPr>
          <w:sz w:val="24"/>
          <w:szCs w:val="24"/>
        </w:rPr>
        <w:t xml:space="preserve"> </w:t>
      </w:r>
      <w:r w:rsidRPr="0050769D">
        <w:rPr>
          <w:sz w:val="24"/>
          <w:szCs w:val="24"/>
        </w:rPr>
        <w:t>No se contempla la solicitud de un consentimiento informado.</w:t>
      </w:r>
    </w:p>
    <w:p w14:paraId="7A78EE98" w14:textId="0EA4DB8C" w:rsidR="00EA6771" w:rsidRDefault="00EA6771" w:rsidP="000C0B9E">
      <w:pPr>
        <w:spacing w:line="240" w:lineRule="auto"/>
        <w:jc w:val="both"/>
        <w:rPr>
          <w:sz w:val="24"/>
          <w:szCs w:val="24"/>
        </w:rPr>
      </w:pPr>
    </w:p>
    <w:p w14:paraId="65874593" w14:textId="7A691495" w:rsidR="00EA6771" w:rsidRDefault="00EA6771" w:rsidP="000C0B9E">
      <w:pPr>
        <w:spacing w:line="240" w:lineRule="auto"/>
        <w:jc w:val="both"/>
        <w:rPr>
          <w:sz w:val="24"/>
          <w:szCs w:val="24"/>
        </w:rPr>
      </w:pPr>
    </w:p>
    <w:p w14:paraId="2C478680" w14:textId="09F876E5" w:rsidR="00EA6771" w:rsidRDefault="00EA6771" w:rsidP="000C0B9E">
      <w:pPr>
        <w:spacing w:line="240" w:lineRule="auto"/>
        <w:jc w:val="both"/>
        <w:rPr>
          <w:sz w:val="24"/>
          <w:szCs w:val="24"/>
        </w:rPr>
      </w:pPr>
    </w:p>
    <w:p w14:paraId="1BF5F57A" w14:textId="0DD3E3D6" w:rsidR="00EA6771" w:rsidRDefault="00EA6771" w:rsidP="000C0B9E">
      <w:pPr>
        <w:spacing w:line="240" w:lineRule="auto"/>
        <w:jc w:val="both"/>
        <w:rPr>
          <w:sz w:val="24"/>
          <w:szCs w:val="24"/>
        </w:rPr>
      </w:pPr>
    </w:p>
    <w:p w14:paraId="1C575CE8" w14:textId="77777777" w:rsidR="00EA6771" w:rsidRPr="000C0B9E" w:rsidRDefault="00EA6771" w:rsidP="000C0B9E">
      <w:pPr>
        <w:spacing w:line="240" w:lineRule="auto"/>
        <w:jc w:val="both"/>
        <w:rPr>
          <w:sz w:val="24"/>
          <w:szCs w:val="24"/>
        </w:rPr>
      </w:pPr>
    </w:p>
    <w:p w14:paraId="6E75BE0E" w14:textId="77777777" w:rsidR="00047D47" w:rsidRPr="000C0B9E" w:rsidRDefault="00C91753" w:rsidP="00807136">
      <w:pPr>
        <w:pStyle w:val="Ttulo1"/>
        <w:spacing w:before="120"/>
      </w:pPr>
      <w:bookmarkStart w:id="6" w:name="_Toc213145984"/>
      <w:r w:rsidRPr="000C0B9E">
        <w:lastRenderedPageBreak/>
        <w:t>Resultados:</w:t>
      </w:r>
      <w:bookmarkEnd w:id="6"/>
    </w:p>
    <w:p w14:paraId="598FF404" w14:textId="77777777" w:rsidR="0050769D" w:rsidRPr="0050769D" w:rsidRDefault="0050769D" w:rsidP="0050769D">
      <w:pPr>
        <w:jc w:val="both"/>
        <w:rPr>
          <w:sz w:val="24"/>
          <w:szCs w:val="24"/>
        </w:rPr>
      </w:pPr>
      <w:r w:rsidRPr="0050769D">
        <w:rPr>
          <w:sz w:val="24"/>
          <w:szCs w:val="24"/>
        </w:rPr>
        <w:t xml:space="preserve">Se analizaron 176 pacientes menores de 18 años con diagnóstico de leucemia </w:t>
      </w:r>
      <w:proofErr w:type="spellStart"/>
      <w:r w:rsidRPr="0050769D">
        <w:rPr>
          <w:sz w:val="24"/>
          <w:szCs w:val="24"/>
        </w:rPr>
        <w:t>linfoblástica</w:t>
      </w:r>
      <w:proofErr w:type="spellEnd"/>
      <w:r w:rsidRPr="0050769D">
        <w:rPr>
          <w:sz w:val="24"/>
          <w:szCs w:val="24"/>
        </w:rPr>
        <w:t xml:space="preserve"> aguda (LLA) tratados con el protocolo BFM-ALLIC 2009 entre 2017 y 2024. De ellos, 35 (19.8%) fallecieron durante el seguimiento y 21 muertes (12%) cumplieron estrictamente criterios de mortalidad relacionada al tratamiento. </w:t>
      </w:r>
    </w:p>
    <w:p w14:paraId="02912203" w14:textId="77777777" w:rsidR="0050769D" w:rsidRPr="0050769D" w:rsidRDefault="0050769D" w:rsidP="0050769D">
      <w:pPr>
        <w:jc w:val="both"/>
        <w:rPr>
          <w:sz w:val="24"/>
          <w:szCs w:val="24"/>
        </w:rPr>
      </w:pPr>
    </w:p>
    <w:p w14:paraId="14D2776D" w14:textId="77777777" w:rsidR="0050769D" w:rsidRPr="0050769D" w:rsidRDefault="0050769D" w:rsidP="0050769D">
      <w:pPr>
        <w:jc w:val="both"/>
        <w:rPr>
          <w:sz w:val="24"/>
          <w:szCs w:val="24"/>
        </w:rPr>
      </w:pPr>
      <w:r w:rsidRPr="0050769D">
        <w:rPr>
          <w:sz w:val="24"/>
          <w:szCs w:val="24"/>
        </w:rPr>
        <w:t xml:space="preserve">De </w:t>
      </w:r>
      <w:proofErr w:type="spellStart"/>
      <w:r w:rsidRPr="0050769D">
        <w:rPr>
          <w:sz w:val="24"/>
          <w:szCs w:val="24"/>
        </w:rPr>
        <w:t>de</w:t>
      </w:r>
      <w:proofErr w:type="spellEnd"/>
      <w:r w:rsidRPr="0050769D">
        <w:rPr>
          <w:sz w:val="24"/>
          <w:szCs w:val="24"/>
        </w:rPr>
        <w:t xml:space="preserve"> las características al diagnóstico, la mayoría presentó menos de 20.000 leucocitos, con un 11,4% que debutó con </w:t>
      </w:r>
      <w:proofErr w:type="spellStart"/>
      <w:r w:rsidRPr="0050769D">
        <w:rPr>
          <w:sz w:val="24"/>
          <w:szCs w:val="24"/>
        </w:rPr>
        <w:t>hiperleucocitosis</w:t>
      </w:r>
      <w:proofErr w:type="spellEnd"/>
      <w:r w:rsidRPr="0050769D">
        <w:rPr>
          <w:sz w:val="24"/>
          <w:szCs w:val="24"/>
        </w:rPr>
        <w:t>, siendo mayor este porcentaje en el grupo de fallecimientos (23%). Tabla 1.</w:t>
      </w:r>
    </w:p>
    <w:p w14:paraId="693C5C20" w14:textId="77777777" w:rsidR="0050769D" w:rsidRDefault="0050769D" w:rsidP="0050769D">
      <w:pPr>
        <w:jc w:val="both"/>
      </w:pPr>
    </w:p>
    <w:p w14:paraId="4BA72C10" w14:textId="46405970" w:rsidR="0050769D" w:rsidRDefault="0050769D" w:rsidP="0050769D">
      <w:pPr>
        <w:jc w:val="both"/>
      </w:pPr>
      <w:r w:rsidRPr="00ED032C">
        <w:rPr>
          <w:noProof/>
        </w:rPr>
        <w:drawing>
          <wp:inline distT="0" distB="0" distL="0" distR="0" wp14:anchorId="0EF9EAC6" wp14:editId="24B071D1">
            <wp:extent cx="5612130" cy="2413635"/>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12130" cy="2413635"/>
                    </a:xfrm>
                    <a:prstGeom prst="rect">
                      <a:avLst/>
                    </a:prstGeom>
                  </pic:spPr>
                </pic:pic>
              </a:graphicData>
            </a:graphic>
          </wp:inline>
        </w:drawing>
      </w:r>
      <w:r w:rsidR="00E05B71">
        <w:t>Tabla 1.</w:t>
      </w:r>
    </w:p>
    <w:p w14:paraId="675245FD" w14:textId="77777777" w:rsidR="0050769D" w:rsidRDefault="0050769D" w:rsidP="0050769D">
      <w:pPr>
        <w:jc w:val="both"/>
      </w:pPr>
    </w:p>
    <w:p w14:paraId="5A53F57E" w14:textId="40A878D9" w:rsidR="0050769D" w:rsidRPr="0050769D" w:rsidRDefault="0050769D" w:rsidP="0050769D">
      <w:pPr>
        <w:jc w:val="both"/>
        <w:rPr>
          <w:sz w:val="24"/>
        </w:rPr>
      </w:pPr>
      <w:r w:rsidRPr="0050769D">
        <w:rPr>
          <w:sz w:val="24"/>
        </w:rPr>
        <w:t xml:space="preserve">La distribución </w:t>
      </w:r>
      <w:proofErr w:type="spellStart"/>
      <w:r w:rsidRPr="0050769D">
        <w:rPr>
          <w:sz w:val="24"/>
        </w:rPr>
        <w:t>inmunofenotípica</w:t>
      </w:r>
      <w:proofErr w:type="spellEnd"/>
      <w:r w:rsidRPr="0050769D">
        <w:rPr>
          <w:sz w:val="24"/>
        </w:rPr>
        <w:t xml:space="preserve"> mostró un predominio claro del linaje de células pre-B, que representó el 93% (164 pacientes), mientras que el linaje T correspondió al 7% (12 pacientes). Entre los fallecidos, el 97% presentó </w:t>
      </w:r>
      <w:proofErr w:type="spellStart"/>
      <w:r w:rsidRPr="0050769D">
        <w:rPr>
          <w:sz w:val="24"/>
        </w:rPr>
        <w:t>inmunofenotipo</w:t>
      </w:r>
      <w:proofErr w:type="spellEnd"/>
      <w:r w:rsidRPr="0050769D">
        <w:rPr>
          <w:sz w:val="24"/>
        </w:rPr>
        <w:t xml:space="preserve"> pre-B y solo un caso correspondió a LLA-T.  En cuanto al compromiso del sistema nervioso central al diagnóstico, la mayoría de los pacientes se clasificó como SNC-1 (86%). Los grupos SNC-2 y SNC-3 representaron el 2% y el 6% del total. Tabla 2.</w:t>
      </w:r>
    </w:p>
    <w:p w14:paraId="61FDC2E8" w14:textId="77777777" w:rsidR="0050769D" w:rsidRPr="0050769D" w:rsidRDefault="0050769D" w:rsidP="0050769D">
      <w:pPr>
        <w:jc w:val="both"/>
        <w:rPr>
          <w:sz w:val="24"/>
        </w:rPr>
      </w:pPr>
    </w:p>
    <w:p w14:paraId="5F2B19D8" w14:textId="77777777" w:rsidR="0050769D" w:rsidRPr="0050769D" w:rsidRDefault="0050769D" w:rsidP="0050769D">
      <w:pPr>
        <w:jc w:val="both"/>
        <w:rPr>
          <w:sz w:val="24"/>
        </w:rPr>
      </w:pPr>
      <w:r w:rsidRPr="0050769D">
        <w:rPr>
          <w:sz w:val="24"/>
        </w:rPr>
        <w:t>La estratificación de riesgo ubicó al 12% de los pacientes en riesgo estándar, al 54% en riesgo intermedio y al 34% en riesgo alto. Las muertes se distribuyeron de manera proporcional a esta clasificación, con una mortalidad del 3% en riesgo estándar, 57% en riesgo intermedio y 40% en riesgo alto, lo que refleja mayor letalidad en los grupos sometidos a terapias más intensivas. Tabla 2.</w:t>
      </w:r>
    </w:p>
    <w:p w14:paraId="138B4BF6" w14:textId="77777777" w:rsidR="0050769D" w:rsidRPr="0050769D" w:rsidRDefault="0050769D" w:rsidP="0050769D">
      <w:pPr>
        <w:jc w:val="both"/>
        <w:rPr>
          <w:sz w:val="24"/>
        </w:rPr>
      </w:pPr>
    </w:p>
    <w:p w14:paraId="61EDE3B2" w14:textId="2A1BCBCD" w:rsidR="0050769D" w:rsidRDefault="0050769D" w:rsidP="0050769D">
      <w:pPr>
        <w:jc w:val="both"/>
      </w:pPr>
      <w:r w:rsidRPr="00ED032C">
        <w:rPr>
          <w:noProof/>
        </w:rPr>
        <w:lastRenderedPageBreak/>
        <w:drawing>
          <wp:inline distT="0" distB="0" distL="0" distR="0" wp14:anchorId="200B2822" wp14:editId="670F6595">
            <wp:extent cx="5612130" cy="2517775"/>
            <wp:effectExtent l="0" t="0" r="127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12130" cy="2517775"/>
                    </a:xfrm>
                    <a:prstGeom prst="rect">
                      <a:avLst/>
                    </a:prstGeom>
                  </pic:spPr>
                </pic:pic>
              </a:graphicData>
            </a:graphic>
          </wp:inline>
        </w:drawing>
      </w:r>
      <w:r w:rsidR="00E05B71" w:rsidRPr="00E05B71">
        <w:t xml:space="preserve"> </w:t>
      </w:r>
      <w:r w:rsidR="00E05B71">
        <w:t xml:space="preserve">Tabla </w:t>
      </w:r>
      <w:r w:rsidR="00E05B71">
        <w:t>2</w:t>
      </w:r>
      <w:r w:rsidR="00E05B71">
        <w:t>.</w:t>
      </w:r>
    </w:p>
    <w:p w14:paraId="7E4520DE" w14:textId="77777777" w:rsidR="0050769D" w:rsidRDefault="0050769D" w:rsidP="0050769D">
      <w:pPr>
        <w:jc w:val="both"/>
      </w:pPr>
    </w:p>
    <w:p w14:paraId="3D0AD27E" w14:textId="77777777" w:rsidR="0050769D" w:rsidRPr="0050769D" w:rsidRDefault="0050769D" w:rsidP="0050769D">
      <w:pPr>
        <w:jc w:val="both"/>
        <w:rPr>
          <w:sz w:val="24"/>
        </w:rPr>
      </w:pPr>
      <w:r w:rsidRPr="0050769D">
        <w:rPr>
          <w:sz w:val="24"/>
        </w:rPr>
        <w:t xml:space="preserve">Respecto a la respuesta al tratamiento el 77% presentó buena respuesta a </w:t>
      </w:r>
      <w:proofErr w:type="spellStart"/>
      <w:r w:rsidRPr="0050769D">
        <w:rPr>
          <w:sz w:val="24"/>
        </w:rPr>
        <w:t>prenisolona</w:t>
      </w:r>
      <w:proofErr w:type="spellEnd"/>
      <w:r w:rsidRPr="0050769D">
        <w:rPr>
          <w:sz w:val="24"/>
        </w:rPr>
        <w:t xml:space="preserve"> tanto en el total de la población como en el grupo de los fallecidos. La mayoría de la población (77%) en la evaluación de médula ósea del día 15 se encontraba con menos del 25% de células </w:t>
      </w:r>
      <w:proofErr w:type="spellStart"/>
      <w:r w:rsidRPr="0050769D">
        <w:rPr>
          <w:sz w:val="24"/>
        </w:rPr>
        <w:t>blásticas</w:t>
      </w:r>
      <w:proofErr w:type="spellEnd"/>
      <w:r w:rsidRPr="0050769D">
        <w:rPr>
          <w:sz w:val="24"/>
        </w:rPr>
        <w:t>, en comparación a lo observado en el grupo de los fallecidos (68,6%). Adicionalmente 18% de la población total tenían EMR negativa por citometría de flujo. Tabla 3.</w:t>
      </w:r>
    </w:p>
    <w:p w14:paraId="633A10B3" w14:textId="77777777" w:rsidR="0050769D" w:rsidRPr="0050769D" w:rsidRDefault="0050769D" w:rsidP="0050769D">
      <w:pPr>
        <w:jc w:val="both"/>
        <w:rPr>
          <w:sz w:val="24"/>
        </w:rPr>
      </w:pPr>
    </w:p>
    <w:p w14:paraId="459F9691" w14:textId="1E751A20" w:rsidR="0050769D" w:rsidRPr="006443ED" w:rsidRDefault="0050769D" w:rsidP="0050769D">
      <w:pPr>
        <w:jc w:val="both"/>
      </w:pPr>
      <w:r w:rsidRPr="00ED032C">
        <w:rPr>
          <w:noProof/>
        </w:rPr>
        <w:drawing>
          <wp:inline distT="0" distB="0" distL="0" distR="0" wp14:anchorId="54B8FF09" wp14:editId="581CEA6A">
            <wp:extent cx="5612130" cy="2602865"/>
            <wp:effectExtent l="0" t="0" r="127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12130" cy="2602865"/>
                    </a:xfrm>
                    <a:prstGeom prst="rect">
                      <a:avLst/>
                    </a:prstGeom>
                  </pic:spPr>
                </pic:pic>
              </a:graphicData>
            </a:graphic>
          </wp:inline>
        </w:drawing>
      </w:r>
      <w:r w:rsidR="00E05B71" w:rsidRPr="00E05B71">
        <w:t xml:space="preserve"> </w:t>
      </w:r>
      <w:r w:rsidR="00E05B71">
        <w:t xml:space="preserve">Tabla </w:t>
      </w:r>
      <w:r w:rsidR="00E05B71">
        <w:t>3</w:t>
      </w:r>
      <w:r w:rsidR="00E05B71">
        <w:t>.</w:t>
      </w:r>
    </w:p>
    <w:p w14:paraId="166015F7" w14:textId="77777777" w:rsidR="0050769D" w:rsidRDefault="0050769D" w:rsidP="0050769D">
      <w:pPr>
        <w:jc w:val="both"/>
      </w:pPr>
      <w:r>
        <w:t xml:space="preserve"> </w:t>
      </w:r>
    </w:p>
    <w:p w14:paraId="7F375DAC" w14:textId="436E2CAE" w:rsidR="0050769D" w:rsidRPr="0050769D" w:rsidRDefault="0050769D" w:rsidP="0050769D">
      <w:pPr>
        <w:jc w:val="both"/>
        <w:rPr>
          <w:sz w:val="24"/>
        </w:rPr>
      </w:pPr>
      <w:r w:rsidRPr="0050769D">
        <w:rPr>
          <w:sz w:val="24"/>
        </w:rPr>
        <w:t>Al final de la inducción, se alcanzó la remisión completa en el 92% de todo el grupo frente al 67% de los fallecidos. La negativización de la EMR se logró en el 59,7% de la población, y en el 31,4% en el grupo de muertes. La mortalidad relacionada al tratamiento fue del 12%. Esta mortalidad contrib</w:t>
      </w:r>
      <w:r>
        <w:rPr>
          <w:sz w:val="24"/>
        </w:rPr>
        <w:t>u</w:t>
      </w:r>
      <w:r w:rsidRPr="0050769D">
        <w:rPr>
          <w:sz w:val="24"/>
        </w:rPr>
        <w:t>yendo al 60% del total de las muertes. Tabla 4.</w:t>
      </w:r>
    </w:p>
    <w:p w14:paraId="0A11917D" w14:textId="77777777" w:rsidR="0050769D" w:rsidRPr="0050769D" w:rsidRDefault="0050769D" w:rsidP="0050769D">
      <w:pPr>
        <w:jc w:val="both"/>
        <w:rPr>
          <w:sz w:val="24"/>
        </w:rPr>
      </w:pPr>
    </w:p>
    <w:p w14:paraId="5F072194" w14:textId="0D77F1B4" w:rsidR="0050769D" w:rsidRDefault="0050769D" w:rsidP="0050769D">
      <w:pPr>
        <w:jc w:val="both"/>
      </w:pPr>
      <w:r w:rsidRPr="00ED032C">
        <w:rPr>
          <w:noProof/>
        </w:rPr>
        <w:lastRenderedPageBreak/>
        <w:drawing>
          <wp:inline distT="0" distB="0" distL="0" distR="0" wp14:anchorId="6859BECB" wp14:editId="55F96D3A">
            <wp:extent cx="5612130" cy="2053590"/>
            <wp:effectExtent l="0" t="0" r="127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12130" cy="2053590"/>
                    </a:xfrm>
                    <a:prstGeom prst="rect">
                      <a:avLst/>
                    </a:prstGeom>
                  </pic:spPr>
                </pic:pic>
              </a:graphicData>
            </a:graphic>
          </wp:inline>
        </w:drawing>
      </w:r>
    </w:p>
    <w:p w14:paraId="4D804315" w14:textId="27535954" w:rsidR="00E05B71" w:rsidRPr="006443ED" w:rsidRDefault="00E05B71" w:rsidP="0050769D">
      <w:pPr>
        <w:jc w:val="both"/>
      </w:pPr>
      <w:r>
        <w:t xml:space="preserve">Tabla </w:t>
      </w:r>
      <w:r>
        <w:t>4</w:t>
      </w:r>
      <w:r>
        <w:t>.</w:t>
      </w:r>
    </w:p>
    <w:p w14:paraId="2FA01B4F" w14:textId="77777777" w:rsidR="0050769D" w:rsidRDefault="0050769D" w:rsidP="0050769D">
      <w:pPr>
        <w:jc w:val="both"/>
      </w:pPr>
    </w:p>
    <w:p w14:paraId="2C4478CC" w14:textId="77777777" w:rsidR="0050769D" w:rsidRPr="0050769D" w:rsidRDefault="0050769D" w:rsidP="0050769D">
      <w:pPr>
        <w:jc w:val="both"/>
        <w:rPr>
          <w:sz w:val="24"/>
        </w:rPr>
      </w:pPr>
      <w:r w:rsidRPr="0050769D">
        <w:rPr>
          <w:sz w:val="24"/>
        </w:rPr>
        <w:t xml:space="preserve">Las causas de mortalidad relacionada al tratamiento fueron predominantemente infecciosas; la sepsis asociada a neutropenia febril correspondió al 85% de las muertes, mientras que la hemorragia cerebral y la </w:t>
      </w:r>
      <w:proofErr w:type="spellStart"/>
      <w:r w:rsidRPr="0050769D">
        <w:rPr>
          <w:sz w:val="24"/>
        </w:rPr>
        <w:t>cardiotoxicidad</w:t>
      </w:r>
      <w:proofErr w:type="spellEnd"/>
      <w:r w:rsidRPr="0050769D">
        <w:rPr>
          <w:sz w:val="24"/>
        </w:rPr>
        <w:t xml:space="preserve"> aguda representaron cada una un caso. Se registraron además dos muertes cuya causa no pudo establecerse, una de ellas durante la fase de mantenimiento, lo cual se consideró un hallazgo inusual.  Tabla 5.</w:t>
      </w:r>
    </w:p>
    <w:p w14:paraId="59DAEE71" w14:textId="77777777" w:rsidR="0050769D" w:rsidRDefault="0050769D" w:rsidP="0050769D">
      <w:pPr>
        <w:jc w:val="both"/>
      </w:pPr>
    </w:p>
    <w:p w14:paraId="415C31A2" w14:textId="77777777" w:rsidR="00E05B71" w:rsidRDefault="0050769D" w:rsidP="00E05B71">
      <w:r w:rsidRPr="00E20B55">
        <w:rPr>
          <w:noProof/>
        </w:rPr>
        <w:drawing>
          <wp:inline distT="0" distB="0" distL="0" distR="0" wp14:anchorId="5CE03118" wp14:editId="1FC85C8F">
            <wp:extent cx="4979406" cy="2512239"/>
            <wp:effectExtent l="0" t="0" r="0" b="0"/>
            <wp:docPr id="7" name="Marcador de contenido 6">
              <a:extLst xmlns:a="http://schemas.openxmlformats.org/drawingml/2006/main">
                <a:ext uri="{FF2B5EF4-FFF2-40B4-BE49-F238E27FC236}">
                  <a16:creationId xmlns:a16="http://schemas.microsoft.com/office/drawing/2014/main" id="{42015096-92D6-6845-8965-ABBC8A9D736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Marcador de contenido 6">
                      <a:extLst>
                        <a:ext uri="{FF2B5EF4-FFF2-40B4-BE49-F238E27FC236}">
                          <a16:creationId xmlns:a16="http://schemas.microsoft.com/office/drawing/2014/main" id="{42015096-92D6-6845-8965-ABBC8A9D736B}"/>
                        </a:ext>
                      </a:extLst>
                    </pic:cNvPr>
                    <pic:cNvPicPr>
                      <a:picLocks noGrp="1" noChangeAspect="1"/>
                    </pic:cNvPicPr>
                  </pic:nvPicPr>
                  <pic:blipFill>
                    <a:blip r:embed="rId16"/>
                    <a:stretch>
                      <a:fillRect/>
                    </a:stretch>
                  </pic:blipFill>
                  <pic:spPr>
                    <a:xfrm>
                      <a:off x="0" y="0"/>
                      <a:ext cx="4983046" cy="2514076"/>
                    </a:xfrm>
                    <a:prstGeom prst="rect">
                      <a:avLst/>
                    </a:prstGeom>
                  </pic:spPr>
                </pic:pic>
              </a:graphicData>
            </a:graphic>
          </wp:inline>
        </w:drawing>
      </w:r>
    </w:p>
    <w:p w14:paraId="3EFA5811" w14:textId="02819C77" w:rsidR="0050769D" w:rsidRDefault="00E05B71" w:rsidP="00E05B71">
      <w:r>
        <w:t xml:space="preserve">Tabla </w:t>
      </w:r>
      <w:r>
        <w:t>5</w:t>
      </w:r>
      <w:r>
        <w:t>.</w:t>
      </w:r>
    </w:p>
    <w:p w14:paraId="2511570C" w14:textId="77777777" w:rsidR="0050769D" w:rsidRDefault="0050769D" w:rsidP="0050769D">
      <w:pPr>
        <w:jc w:val="both"/>
      </w:pPr>
    </w:p>
    <w:p w14:paraId="25453D27" w14:textId="77777777" w:rsidR="0050769D" w:rsidRPr="0050769D" w:rsidRDefault="0050769D" w:rsidP="0050769D">
      <w:pPr>
        <w:jc w:val="both"/>
        <w:rPr>
          <w:sz w:val="24"/>
        </w:rPr>
      </w:pPr>
      <w:r w:rsidRPr="0050769D">
        <w:rPr>
          <w:sz w:val="24"/>
        </w:rPr>
        <w:t xml:space="preserve">Las muertes se concentraron principalmente en las fases de inducción a la remisión e intensificación temprana, 47% en la fase IA y 9,5% en la IB, para un total de 57%. En las fases de </w:t>
      </w:r>
      <w:proofErr w:type="spellStart"/>
      <w:r w:rsidRPr="0050769D">
        <w:rPr>
          <w:sz w:val="24"/>
        </w:rPr>
        <w:t>reintensificación</w:t>
      </w:r>
      <w:proofErr w:type="spellEnd"/>
      <w:r w:rsidRPr="0050769D">
        <w:rPr>
          <w:sz w:val="24"/>
        </w:rPr>
        <w:t xml:space="preserve"> IIA y reinducción IIB se encontraron el 19% y 14% de las muertes respectivamente. También se documentaron una muerte durante el primer HR1 y una muerte inesperada en mantenimiento. Tabla 6.</w:t>
      </w:r>
    </w:p>
    <w:p w14:paraId="6C47DA2E" w14:textId="77777777" w:rsidR="0050769D" w:rsidRDefault="0050769D" w:rsidP="0050769D">
      <w:pPr>
        <w:jc w:val="both"/>
      </w:pPr>
    </w:p>
    <w:p w14:paraId="1B8A0ED3" w14:textId="08E8FABC" w:rsidR="0050769D" w:rsidRDefault="0050769D" w:rsidP="0050769D">
      <w:pPr>
        <w:jc w:val="both"/>
      </w:pPr>
      <w:r w:rsidRPr="00A57BCD">
        <w:rPr>
          <w:noProof/>
        </w:rPr>
        <w:lastRenderedPageBreak/>
        <w:drawing>
          <wp:inline distT="0" distB="0" distL="0" distR="0" wp14:anchorId="64939092" wp14:editId="0C1E1AD7">
            <wp:extent cx="5612130" cy="2231390"/>
            <wp:effectExtent l="0" t="0" r="127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612130" cy="2231390"/>
                    </a:xfrm>
                    <a:prstGeom prst="rect">
                      <a:avLst/>
                    </a:prstGeom>
                  </pic:spPr>
                </pic:pic>
              </a:graphicData>
            </a:graphic>
          </wp:inline>
        </w:drawing>
      </w:r>
    </w:p>
    <w:p w14:paraId="6CE7B178" w14:textId="2FCC91A7" w:rsidR="00E05B71" w:rsidRDefault="00E05B71" w:rsidP="0050769D">
      <w:pPr>
        <w:jc w:val="both"/>
      </w:pPr>
      <w:r>
        <w:t xml:space="preserve">Tabla </w:t>
      </w:r>
      <w:r>
        <w:t>6</w:t>
      </w:r>
      <w:r>
        <w:t>.</w:t>
      </w:r>
    </w:p>
    <w:p w14:paraId="1A676EB9" w14:textId="77777777" w:rsidR="0050769D" w:rsidRDefault="0050769D" w:rsidP="0050769D">
      <w:pPr>
        <w:jc w:val="both"/>
      </w:pPr>
    </w:p>
    <w:p w14:paraId="0D0F8048" w14:textId="77777777" w:rsidR="0050769D" w:rsidRPr="0050769D" w:rsidRDefault="0050769D" w:rsidP="0050769D">
      <w:pPr>
        <w:jc w:val="both"/>
        <w:rPr>
          <w:sz w:val="24"/>
        </w:rPr>
      </w:pPr>
      <w:r w:rsidRPr="0050769D">
        <w:rPr>
          <w:sz w:val="24"/>
        </w:rPr>
        <w:t xml:space="preserve">Para comparar el desenlace muerte en función de variables </w:t>
      </w:r>
      <w:proofErr w:type="spellStart"/>
      <w:r w:rsidRPr="0050769D">
        <w:rPr>
          <w:sz w:val="24"/>
        </w:rPr>
        <w:t>predictoras</w:t>
      </w:r>
      <w:proofErr w:type="spellEnd"/>
      <w:r w:rsidRPr="0050769D">
        <w:rPr>
          <w:sz w:val="24"/>
        </w:rPr>
        <w:t xml:space="preserve"> de este, se analizaron las que más se han asociado a esta. En un primer análisis </w:t>
      </w:r>
      <w:proofErr w:type="spellStart"/>
      <w:r w:rsidRPr="0050769D">
        <w:rPr>
          <w:sz w:val="24"/>
        </w:rPr>
        <w:t>univariado</w:t>
      </w:r>
      <w:proofErr w:type="spellEnd"/>
      <w:r w:rsidRPr="0050769D">
        <w:rPr>
          <w:sz w:val="24"/>
        </w:rPr>
        <w:t xml:space="preserve"> </w:t>
      </w:r>
      <w:proofErr w:type="spellStart"/>
      <w:r w:rsidRPr="0050769D">
        <w:rPr>
          <w:sz w:val="24"/>
        </w:rPr>
        <w:t>ningúna</w:t>
      </w:r>
      <w:proofErr w:type="spellEnd"/>
      <w:r w:rsidRPr="0050769D">
        <w:rPr>
          <w:sz w:val="24"/>
        </w:rPr>
        <w:t xml:space="preserve"> de las variables analizadas se posicionó como factor de riesgo con significancia estadística. Tabla 7.</w:t>
      </w:r>
    </w:p>
    <w:p w14:paraId="26B9122A" w14:textId="77777777" w:rsidR="0050769D" w:rsidRDefault="0050769D" w:rsidP="0050769D">
      <w:pPr>
        <w:jc w:val="both"/>
      </w:pPr>
    </w:p>
    <w:p w14:paraId="24FA9E17" w14:textId="55FC8617" w:rsidR="0050769D" w:rsidRDefault="0050769D" w:rsidP="0050769D">
      <w:pPr>
        <w:jc w:val="both"/>
      </w:pPr>
      <w:r w:rsidRPr="00E20B55">
        <w:rPr>
          <w:noProof/>
        </w:rPr>
        <w:drawing>
          <wp:inline distT="0" distB="0" distL="0" distR="0" wp14:anchorId="79F86FDC" wp14:editId="4AE84F3F">
            <wp:extent cx="5612130" cy="2364740"/>
            <wp:effectExtent l="0" t="0" r="1270" b="0"/>
            <wp:docPr id="14" name="Marcador de contenido 6">
              <a:extLst xmlns:a="http://schemas.openxmlformats.org/drawingml/2006/main">
                <a:ext uri="{FF2B5EF4-FFF2-40B4-BE49-F238E27FC236}">
                  <a16:creationId xmlns:a16="http://schemas.microsoft.com/office/drawing/2014/main" id="{F67B88CF-FDAA-1A45-948C-B5AC88DC712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Marcador de contenido 6">
                      <a:extLst>
                        <a:ext uri="{FF2B5EF4-FFF2-40B4-BE49-F238E27FC236}">
                          <a16:creationId xmlns:a16="http://schemas.microsoft.com/office/drawing/2014/main" id="{F67B88CF-FDAA-1A45-948C-B5AC88DC712A}"/>
                        </a:ext>
                      </a:extLst>
                    </pic:cNvPr>
                    <pic:cNvPicPr>
                      <a:picLocks noGrp="1" noChangeAspect="1"/>
                    </pic:cNvPicPr>
                  </pic:nvPicPr>
                  <pic:blipFill>
                    <a:blip r:embed="rId18"/>
                    <a:stretch>
                      <a:fillRect/>
                    </a:stretch>
                  </pic:blipFill>
                  <pic:spPr>
                    <a:xfrm>
                      <a:off x="0" y="0"/>
                      <a:ext cx="5612130" cy="2364740"/>
                    </a:xfrm>
                    <a:prstGeom prst="rect">
                      <a:avLst/>
                    </a:prstGeom>
                  </pic:spPr>
                </pic:pic>
              </a:graphicData>
            </a:graphic>
          </wp:inline>
        </w:drawing>
      </w:r>
    </w:p>
    <w:p w14:paraId="53B0F2B3" w14:textId="20E68E9F" w:rsidR="00E05B71" w:rsidRPr="006B411F" w:rsidRDefault="00E05B71" w:rsidP="0050769D">
      <w:pPr>
        <w:jc w:val="both"/>
      </w:pPr>
      <w:r>
        <w:t xml:space="preserve">Tabla </w:t>
      </w:r>
      <w:r>
        <w:t>7</w:t>
      </w:r>
      <w:r>
        <w:t>.</w:t>
      </w:r>
    </w:p>
    <w:p w14:paraId="3D8FA11C" w14:textId="77777777" w:rsidR="0050769D" w:rsidRPr="0050769D" w:rsidRDefault="0050769D" w:rsidP="0050769D">
      <w:pPr>
        <w:jc w:val="both"/>
        <w:rPr>
          <w:sz w:val="24"/>
        </w:rPr>
      </w:pPr>
      <w:r>
        <w:t xml:space="preserve"> </w:t>
      </w:r>
    </w:p>
    <w:p w14:paraId="4A249752" w14:textId="77777777" w:rsidR="0050769D" w:rsidRPr="0050769D" w:rsidRDefault="0050769D" w:rsidP="0050769D">
      <w:pPr>
        <w:jc w:val="both"/>
        <w:rPr>
          <w:sz w:val="24"/>
        </w:rPr>
      </w:pPr>
      <w:r w:rsidRPr="0050769D">
        <w:rPr>
          <w:sz w:val="24"/>
        </w:rPr>
        <w:t xml:space="preserve">En un segundo análisis </w:t>
      </w:r>
      <w:proofErr w:type="spellStart"/>
      <w:r w:rsidRPr="0050769D">
        <w:rPr>
          <w:sz w:val="24"/>
        </w:rPr>
        <w:t>univariado</w:t>
      </w:r>
      <w:proofErr w:type="spellEnd"/>
      <w:r w:rsidRPr="0050769D">
        <w:rPr>
          <w:sz w:val="24"/>
        </w:rPr>
        <w:t xml:space="preserve">, el </w:t>
      </w:r>
      <w:proofErr w:type="spellStart"/>
      <w:r w:rsidRPr="0050769D">
        <w:rPr>
          <w:sz w:val="24"/>
        </w:rPr>
        <w:t>inmunofenotipo</w:t>
      </w:r>
      <w:proofErr w:type="spellEnd"/>
      <w:r w:rsidRPr="0050769D">
        <w:rPr>
          <w:sz w:val="24"/>
        </w:rPr>
        <w:t xml:space="preserve"> T mostró asociación estadísticamente significativa con mortalidad relacionada al tratamiento, con un HR de 5.326 y un valor de p de 0.049; sin embargo, debido al tamaño reducido del subgrupo, este hallazgo debe interpretarse con cautela, aunque se reconoce su potencial relevancia clínica. La respuesta al día 15 se asoció de manera significativa con mayor riesgo de mortalidad, con un HR de 1.582 y p de 0.005, evidenciando la importancia de la respuesta temprana. Tabla 8.</w:t>
      </w:r>
    </w:p>
    <w:p w14:paraId="78CE110F" w14:textId="77777777" w:rsidR="0050769D" w:rsidRDefault="0050769D" w:rsidP="0050769D">
      <w:pPr>
        <w:jc w:val="both"/>
      </w:pPr>
    </w:p>
    <w:p w14:paraId="14715859" w14:textId="47FA2AA7" w:rsidR="0050769D" w:rsidRDefault="0050769D" w:rsidP="0050769D">
      <w:pPr>
        <w:jc w:val="both"/>
      </w:pPr>
      <w:r w:rsidRPr="00E20B55">
        <w:rPr>
          <w:noProof/>
        </w:rPr>
        <w:lastRenderedPageBreak/>
        <w:drawing>
          <wp:inline distT="0" distB="0" distL="0" distR="0" wp14:anchorId="4D34F555" wp14:editId="03B4A8BB">
            <wp:extent cx="5612130" cy="2014220"/>
            <wp:effectExtent l="0" t="0" r="1270" b="0"/>
            <wp:docPr id="15" name="Marcador de contenido 2">
              <a:extLst xmlns:a="http://schemas.openxmlformats.org/drawingml/2006/main">
                <a:ext uri="{FF2B5EF4-FFF2-40B4-BE49-F238E27FC236}">
                  <a16:creationId xmlns:a16="http://schemas.microsoft.com/office/drawing/2014/main" id="{7CEB4B5A-431D-8D48-B4EE-059BE83FEAC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 name="Marcador de contenido 2">
                      <a:extLst>
                        <a:ext uri="{FF2B5EF4-FFF2-40B4-BE49-F238E27FC236}">
                          <a16:creationId xmlns:a16="http://schemas.microsoft.com/office/drawing/2014/main" id="{7CEB4B5A-431D-8D48-B4EE-059BE83FEACF}"/>
                        </a:ext>
                      </a:extLst>
                    </pic:cNvPr>
                    <pic:cNvPicPr>
                      <a:picLocks noGrp="1" noChangeAspect="1"/>
                    </pic:cNvPicPr>
                  </pic:nvPicPr>
                  <pic:blipFill>
                    <a:blip r:embed="rId19"/>
                    <a:stretch>
                      <a:fillRect/>
                    </a:stretch>
                  </pic:blipFill>
                  <pic:spPr>
                    <a:xfrm>
                      <a:off x="0" y="0"/>
                      <a:ext cx="5612130" cy="2014220"/>
                    </a:xfrm>
                    <a:prstGeom prst="rect">
                      <a:avLst/>
                    </a:prstGeom>
                  </pic:spPr>
                </pic:pic>
              </a:graphicData>
            </a:graphic>
          </wp:inline>
        </w:drawing>
      </w:r>
    </w:p>
    <w:p w14:paraId="6343132F" w14:textId="646FE5F8" w:rsidR="00E05B71" w:rsidRDefault="00E05B71" w:rsidP="0050769D">
      <w:pPr>
        <w:jc w:val="both"/>
      </w:pPr>
      <w:r>
        <w:t xml:space="preserve">Tabla </w:t>
      </w:r>
      <w:r>
        <w:t>8</w:t>
      </w:r>
      <w:r>
        <w:t>.</w:t>
      </w:r>
    </w:p>
    <w:p w14:paraId="5B571763" w14:textId="77777777" w:rsidR="0050769D" w:rsidRDefault="0050769D" w:rsidP="0050769D">
      <w:pPr>
        <w:jc w:val="both"/>
      </w:pPr>
    </w:p>
    <w:p w14:paraId="37290EA0" w14:textId="77777777" w:rsidR="0050769D" w:rsidRPr="0050769D" w:rsidRDefault="0050769D" w:rsidP="0050769D">
      <w:pPr>
        <w:jc w:val="both"/>
        <w:rPr>
          <w:sz w:val="24"/>
        </w:rPr>
      </w:pPr>
      <w:r w:rsidRPr="0050769D">
        <w:rPr>
          <w:sz w:val="24"/>
        </w:rPr>
        <w:t>En el análisis multivariado, la única variable que conservó significancia estadística fue la respuesta al día 15, con un HR de 1.669 y p de 0.002, estableciendo a este parámetro como el principal predictor independiente de mortalidad atribuible al tratamiento en esta cohorte. Tabla 9.</w:t>
      </w:r>
    </w:p>
    <w:p w14:paraId="3D22EBEA" w14:textId="77777777" w:rsidR="0050769D" w:rsidRDefault="0050769D" w:rsidP="0050769D">
      <w:pPr>
        <w:jc w:val="both"/>
      </w:pPr>
    </w:p>
    <w:p w14:paraId="7FC13709" w14:textId="33D658AD" w:rsidR="0050769D" w:rsidRDefault="0050769D" w:rsidP="0050769D">
      <w:pPr>
        <w:jc w:val="both"/>
      </w:pPr>
      <w:r w:rsidRPr="00E20B55">
        <w:rPr>
          <w:noProof/>
        </w:rPr>
        <w:drawing>
          <wp:inline distT="0" distB="0" distL="0" distR="0" wp14:anchorId="44B9C229" wp14:editId="255A6986">
            <wp:extent cx="5612130" cy="2195195"/>
            <wp:effectExtent l="0" t="0" r="1270" b="0"/>
            <wp:docPr id="16" name="Marcador de contenido 2">
              <a:extLst xmlns:a="http://schemas.openxmlformats.org/drawingml/2006/main">
                <a:ext uri="{FF2B5EF4-FFF2-40B4-BE49-F238E27FC236}">
                  <a16:creationId xmlns:a16="http://schemas.microsoft.com/office/drawing/2014/main" id="{1C44262C-E4F1-7445-A187-D6F1F63AB89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 name="Marcador de contenido 2">
                      <a:extLst>
                        <a:ext uri="{FF2B5EF4-FFF2-40B4-BE49-F238E27FC236}">
                          <a16:creationId xmlns:a16="http://schemas.microsoft.com/office/drawing/2014/main" id="{1C44262C-E4F1-7445-A187-D6F1F63AB899}"/>
                        </a:ext>
                      </a:extLst>
                    </pic:cNvPr>
                    <pic:cNvPicPr>
                      <a:picLocks noGrp="1" noChangeAspect="1"/>
                    </pic:cNvPicPr>
                  </pic:nvPicPr>
                  <pic:blipFill>
                    <a:blip r:embed="rId20"/>
                    <a:stretch>
                      <a:fillRect/>
                    </a:stretch>
                  </pic:blipFill>
                  <pic:spPr>
                    <a:xfrm>
                      <a:off x="0" y="0"/>
                      <a:ext cx="5612130" cy="2195195"/>
                    </a:xfrm>
                    <a:prstGeom prst="rect">
                      <a:avLst/>
                    </a:prstGeom>
                  </pic:spPr>
                </pic:pic>
              </a:graphicData>
            </a:graphic>
          </wp:inline>
        </w:drawing>
      </w:r>
    </w:p>
    <w:p w14:paraId="4114A8CF" w14:textId="398724A4" w:rsidR="00E05B71" w:rsidRDefault="00E05B71" w:rsidP="0050769D">
      <w:pPr>
        <w:jc w:val="both"/>
      </w:pPr>
      <w:r>
        <w:t xml:space="preserve">Tabla </w:t>
      </w:r>
      <w:r>
        <w:t>9</w:t>
      </w:r>
      <w:r>
        <w:t>.</w:t>
      </w:r>
    </w:p>
    <w:p w14:paraId="32695BF7" w14:textId="77777777" w:rsidR="0050769D" w:rsidRDefault="0050769D" w:rsidP="0050769D">
      <w:pPr>
        <w:jc w:val="both"/>
      </w:pPr>
    </w:p>
    <w:p w14:paraId="61D10F79" w14:textId="0B5E4C3E" w:rsidR="00EA6771" w:rsidRDefault="00EA6771" w:rsidP="00EA6771"/>
    <w:p w14:paraId="3B9FA876" w14:textId="770E8AB5" w:rsidR="00EA6771" w:rsidRDefault="00EA6771" w:rsidP="00EA6771"/>
    <w:p w14:paraId="03EC4BC7" w14:textId="62DACBBA" w:rsidR="00EA6771" w:rsidRDefault="00EA6771" w:rsidP="00EA6771"/>
    <w:p w14:paraId="7EC69075" w14:textId="22A0DC4E" w:rsidR="00EA6771" w:rsidRDefault="00EA6771" w:rsidP="00EA6771"/>
    <w:p w14:paraId="1030634C" w14:textId="2B5E0E9C" w:rsidR="00EA6771" w:rsidRDefault="00EA6771" w:rsidP="00EA6771"/>
    <w:p w14:paraId="526352C2" w14:textId="476ABF62" w:rsidR="00EA6771" w:rsidRDefault="00EA6771" w:rsidP="00EA6771"/>
    <w:p w14:paraId="653CE372" w14:textId="6BEE8C3D" w:rsidR="00EA6771" w:rsidRDefault="00EA6771" w:rsidP="00EA6771"/>
    <w:p w14:paraId="3986FBB8" w14:textId="0A73898E" w:rsidR="00EA6771" w:rsidRDefault="00EA6771" w:rsidP="00EA6771"/>
    <w:p w14:paraId="0D70B98C" w14:textId="388AE2BD" w:rsidR="00EA6771" w:rsidRDefault="00EA6771" w:rsidP="00EA6771"/>
    <w:p w14:paraId="43292CF3" w14:textId="1DAE3A46" w:rsidR="00EA6771" w:rsidRDefault="00EA6771" w:rsidP="00EA6771"/>
    <w:p w14:paraId="3FFE5AA8" w14:textId="1BE8C6F6" w:rsidR="00EA6771" w:rsidRDefault="00EA6771" w:rsidP="00EA6771"/>
    <w:p w14:paraId="4C257C5F" w14:textId="55211A68" w:rsidR="00EA6771" w:rsidRDefault="00EA6771" w:rsidP="00EA6771"/>
    <w:p w14:paraId="71FEF613" w14:textId="5D331F20" w:rsidR="00EA6771" w:rsidRDefault="00EA6771" w:rsidP="00EA6771"/>
    <w:p w14:paraId="0D3E01F1" w14:textId="1EDD42EF" w:rsidR="00EA6771" w:rsidRDefault="00EA6771" w:rsidP="00EA6771"/>
    <w:p w14:paraId="295D9022" w14:textId="056F42DE" w:rsidR="00EA6771" w:rsidRDefault="00EA6771" w:rsidP="00EA6771"/>
    <w:p w14:paraId="7D1D7ACD" w14:textId="6EFD037B" w:rsidR="00EA6771" w:rsidRDefault="00EA6771" w:rsidP="00EA6771"/>
    <w:p w14:paraId="52EFEFD0" w14:textId="2F93473B" w:rsidR="00047D47" w:rsidRDefault="00C91753" w:rsidP="00807136">
      <w:pPr>
        <w:pStyle w:val="Ttulo1"/>
        <w:spacing w:before="120"/>
      </w:pPr>
      <w:bookmarkStart w:id="7" w:name="_Toc213145985"/>
      <w:r w:rsidRPr="000C0B9E">
        <w:t>Discusión:</w:t>
      </w:r>
      <w:bookmarkEnd w:id="7"/>
    </w:p>
    <w:p w14:paraId="3814C46D" w14:textId="166979F9" w:rsidR="0050769D" w:rsidRPr="0050769D" w:rsidRDefault="0050769D" w:rsidP="0050769D">
      <w:pPr>
        <w:jc w:val="both"/>
        <w:rPr>
          <w:sz w:val="24"/>
        </w:rPr>
      </w:pPr>
      <w:r w:rsidRPr="0050769D">
        <w:rPr>
          <w:sz w:val="24"/>
        </w:rPr>
        <w:t xml:space="preserve">La mortalidad relacionada al tratamiento observada en esta cohorte, correspondiente al 12%, es superior a la reportada en países de altos ingresos, donde la mortalidad durante la inducción se sitúa entre el 2 y el 3% y la mortalidad en remisión completa alrededor del 5% 13-12. Sin embargo, nuestros resultados se encuentran dentro de los rangos descritos en países de ingresos medios y bajos, donde la supervivencia global continúa siendo menor debido a tasas más altas de recaída y mortalidad por toxicidad 5,6,10. En este sentido, la mortalidad encontrada en nuestro estudio coincide con lo observado en Latinoamérica, particularmente en los análisis del grupo centroamericano AHOPCA, donde la mortalidad relacionada al tratamiento alcanzó el 9.3% con predominio de muertes infecciosas durante la inducción </w:t>
      </w:r>
      <w:r w:rsidR="00A10373">
        <w:rPr>
          <w:sz w:val="24"/>
        </w:rPr>
        <w:t>(</w:t>
      </w:r>
      <w:r w:rsidRPr="0050769D">
        <w:rPr>
          <w:sz w:val="24"/>
        </w:rPr>
        <w:t>18</w:t>
      </w:r>
      <w:r w:rsidR="00A10373">
        <w:rPr>
          <w:sz w:val="24"/>
        </w:rPr>
        <w:t>)</w:t>
      </w:r>
      <w:r w:rsidRPr="0050769D">
        <w:rPr>
          <w:sz w:val="24"/>
        </w:rPr>
        <w:t>.</w:t>
      </w:r>
    </w:p>
    <w:p w14:paraId="0FC063AA" w14:textId="77777777" w:rsidR="0050769D" w:rsidRPr="0050769D" w:rsidRDefault="0050769D" w:rsidP="0050769D">
      <w:pPr>
        <w:jc w:val="both"/>
        <w:rPr>
          <w:sz w:val="24"/>
        </w:rPr>
      </w:pPr>
    </w:p>
    <w:p w14:paraId="62BC30F8" w14:textId="13BD624B" w:rsidR="0050769D" w:rsidRPr="0050769D" w:rsidRDefault="0050769D" w:rsidP="0050769D">
      <w:pPr>
        <w:jc w:val="both"/>
        <w:rPr>
          <w:sz w:val="24"/>
        </w:rPr>
      </w:pPr>
      <w:r w:rsidRPr="0050769D">
        <w:rPr>
          <w:sz w:val="24"/>
        </w:rPr>
        <w:t xml:space="preserve">Al comparar nuestros resultados con el grupo colombiano HOMI-ACHOP 2006, que reportó mortalidades entre 8 y 10% 9, se identifica una tendencia ligeramente superior en nuestro centro, aunque en un escenario clínico y estructural similar. Esto sugiere que, aun dentro de un mismo país, las diferencias en capacidad instalada, acceso a soporte crítico y recursos de infraestructura pueden influir significativamente en los desenlaces. El predominio de la sepsis con neutropenia febril como causa del 85% de las muertes coincide con múltiples series de países de ingresos limitados donde la sepsis constituye entre el 60 y el 90% de las muertes relacionadas al tratamiento </w:t>
      </w:r>
      <w:r w:rsidR="00A10373">
        <w:rPr>
          <w:sz w:val="24"/>
        </w:rPr>
        <w:t>)</w:t>
      </w:r>
      <w:r w:rsidRPr="0050769D">
        <w:rPr>
          <w:sz w:val="24"/>
        </w:rPr>
        <w:t>17-18</w:t>
      </w:r>
      <w:r w:rsidR="00A10373">
        <w:rPr>
          <w:sz w:val="24"/>
        </w:rPr>
        <w:t>)</w:t>
      </w:r>
      <w:r w:rsidRPr="0050769D">
        <w:rPr>
          <w:sz w:val="24"/>
        </w:rPr>
        <w:t xml:space="preserve">. Este patrón confirma la vulnerabilidad de los pacientes durante los periodos de neutropenia profunda inducida por quimioterapia, especialmente en contextos donde pueden existir retrasos en la atención, dificultades para acceder de manera temprana a antibióticos de amplio espectro y limitaciones en cuidados intensivos pediátricos </w:t>
      </w:r>
      <w:r w:rsidR="00A10373">
        <w:rPr>
          <w:sz w:val="24"/>
        </w:rPr>
        <w:t>(</w:t>
      </w:r>
      <w:r w:rsidRPr="0050769D">
        <w:rPr>
          <w:sz w:val="24"/>
        </w:rPr>
        <w:t>10-11</w:t>
      </w:r>
      <w:r w:rsidR="00A10373">
        <w:rPr>
          <w:sz w:val="24"/>
        </w:rPr>
        <w:t>)</w:t>
      </w:r>
      <w:r w:rsidRPr="0050769D">
        <w:rPr>
          <w:sz w:val="24"/>
        </w:rPr>
        <w:t>.</w:t>
      </w:r>
    </w:p>
    <w:p w14:paraId="68AF8D7B" w14:textId="77777777" w:rsidR="0050769D" w:rsidRPr="0050769D" w:rsidRDefault="0050769D" w:rsidP="0050769D">
      <w:pPr>
        <w:jc w:val="both"/>
        <w:rPr>
          <w:sz w:val="24"/>
        </w:rPr>
      </w:pPr>
    </w:p>
    <w:p w14:paraId="31D39D66" w14:textId="1269064E" w:rsidR="0050769D" w:rsidRPr="0050769D" w:rsidRDefault="0050769D" w:rsidP="0050769D">
      <w:pPr>
        <w:jc w:val="both"/>
        <w:rPr>
          <w:sz w:val="24"/>
        </w:rPr>
      </w:pPr>
      <w:r w:rsidRPr="0050769D">
        <w:rPr>
          <w:sz w:val="24"/>
        </w:rPr>
        <w:t xml:space="preserve">El hecho de que la mayoría de las muertes ocurrieran durante las fases IA, IIA y IIB es coherente con la toxicidad esperada en las etapas de mayor intensidad terapéutica de los protocolos BFM, que históricamente han descrito la inducción y la reinducción como los periodos con mayor riesgo de complicaciones graves y mortalidad por toxicidad </w:t>
      </w:r>
      <w:r w:rsidR="00A10373">
        <w:rPr>
          <w:sz w:val="24"/>
        </w:rPr>
        <w:t>(</w:t>
      </w:r>
      <w:r w:rsidRPr="0050769D">
        <w:rPr>
          <w:sz w:val="24"/>
        </w:rPr>
        <w:t>13,15</w:t>
      </w:r>
      <w:r w:rsidR="00A10373">
        <w:rPr>
          <w:sz w:val="24"/>
        </w:rPr>
        <w:t>)</w:t>
      </w:r>
      <w:r w:rsidRPr="0050769D">
        <w:rPr>
          <w:sz w:val="24"/>
        </w:rPr>
        <w:t xml:space="preserve">. De manera similar, el estudio intercontinental ALL IC-BFM 2002 demostró </w:t>
      </w:r>
      <w:proofErr w:type="gramStart"/>
      <w:r w:rsidRPr="0050769D">
        <w:rPr>
          <w:sz w:val="24"/>
        </w:rPr>
        <w:t>que</w:t>
      </w:r>
      <w:proofErr w:type="gramEnd"/>
      <w:r w:rsidRPr="0050769D">
        <w:rPr>
          <w:sz w:val="24"/>
        </w:rPr>
        <w:t xml:space="preserve"> pese a que el 97% de los pacientes logra la remisión completa, la mortalidad en inducción alcanza el 2.1% y la mortalidad relacionada al tratamiento llega al 5.1% </w:t>
      </w:r>
      <w:r w:rsidR="00A10373">
        <w:rPr>
          <w:sz w:val="24"/>
        </w:rPr>
        <w:t>(</w:t>
      </w:r>
      <w:r w:rsidRPr="0050769D">
        <w:rPr>
          <w:sz w:val="24"/>
        </w:rPr>
        <w:t>16</w:t>
      </w:r>
      <w:r w:rsidR="00A10373">
        <w:rPr>
          <w:sz w:val="24"/>
        </w:rPr>
        <w:t>)</w:t>
      </w:r>
      <w:r w:rsidRPr="0050769D">
        <w:rPr>
          <w:sz w:val="24"/>
        </w:rPr>
        <w:t>. Esto evidencia que incluso con protocolos estandarizados, el riesgo de muerte por toxicidad persiste fuera de los sistemas de salud de altos ingresos.</w:t>
      </w:r>
    </w:p>
    <w:p w14:paraId="1E4A133F" w14:textId="77777777" w:rsidR="0050769D" w:rsidRPr="0050769D" w:rsidRDefault="0050769D" w:rsidP="0050769D">
      <w:pPr>
        <w:jc w:val="both"/>
        <w:rPr>
          <w:sz w:val="24"/>
        </w:rPr>
      </w:pPr>
    </w:p>
    <w:p w14:paraId="1AD10C6A" w14:textId="0C1EAD66" w:rsidR="0050769D" w:rsidRPr="0050769D" w:rsidRDefault="0050769D" w:rsidP="0050769D">
      <w:pPr>
        <w:jc w:val="both"/>
        <w:rPr>
          <w:sz w:val="24"/>
        </w:rPr>
      </w:pPr>
      <w:r w:rsidRPr="0050769D">
        <w:rPr>
          <w:sz w:val="24"/>
        </w:rPr>
        <w:t xml:space="preserve">El hallazgo más importante de nuestro análisis fue la identificación de la respuesta al día 15 como predictor independiente de mortalidad. La importancia </w:t>
      </w:r>
      <w:proofErr w:type="spellStart"/>
      <w:r w:rsidRPr="0050769D">
        <w:rPr>
          <w:sz w:val="24"/>
        </w:rPr>
        <w:t>pronóstica</w:t>
      </w:r>
      <w:proofErr w:type="spellEnd"/>
      <w:r w:rsidRPr="0050769D">
        <w:rPr>
          <w:sz w:val="24"/>
        </w:rPr>
        <w:t xml:space="preserve"> de la respuesta temprana —incluyendo el conteo de blastos en sangre periférica al día 8 y la médula ósea al día 15— ha sido ampliamente demostrada en los estudios del grupo BFM, donde constituye un pilar fundamental para la estratificación de riesgo </w:t>
      </w:r>
      <w:r w:rsidR="00A10373">
        <w:rPr>
          <w:sz w:val="24"/>
        </w:rPr>
        <w:t>(</w:t>
      </w:r>
      <w:r w:rsidRPr="0050769D">
        <w:rPr>
          <w:sz w:val="24"/>
        </w:rPr>
        <w:t>14-15</w:t>
      </w:r>
      <w:r w:rsidR="00A10373">
        <w:rPr>
          <w:sz w:val="24"/>
        </w:rPr>
        <w:t>)</w:t>
      </w:r>
      <w:r w:rsidRPr="0050769D">
        <w:rPr>
          <w:sz w:val="24"/>
        </w:rPr>
        <w:t xml:space="preserve">. Nuestros resultados complementan esta evidencia al mostrar que una respuesta lenta </w:t>
      </w:r>
      <w:r w:rsidRPr="0050769D">
        <w:rPr>
          <w:sz w:val="24"/>
        </w:rPr>
        <w:lastRenderedPageBreak/>
        <w:t>no solo predice recaída sino incrementa la probabilidad de morir por toxicidad, lo que subraya la necesidad de vigilancia intensificada y soporte temprano en estos pacientes.</w:t>
      </w:r>
    </w:p>
    <w:p w14:paraId="60D5FEA5" w14:textId="77777777" w:rsidR="0050769D" w:rsidRPr="0050769D" w:rsidRDefault="0050769D" w:rsidP="0050769D">
      <w:pPr>
        <w:jc w:val="both"/>
        <w:rPr>
          <w:sz w:val="24"/>
        </w:rPr>
      </w:pPr>
    </w:p>
    <w:p w14:paraId="0C96EC5E" w14:textId="53D2FAB4" w:rsidR="0050769D" w:rsidRPr="0050769D" w:rsidRDefault="0050769D" w:rsidP="0050769D">
      <w:pPr>
        <w:jc w:val="both"/>
        <w:rPr>
          <w:sz w:val="24"/>
        </w:rPr>
      </w:pPr>
      <w:r w:rsidRPr="0050769D">
        <w:rPr>
          <w:sz w:val="24"/>
        </w:rPr>
        <w:t xml:space="preserve">En cuanto al </w:t>
      </w:r>
      <w:proofErr w:type="spellStart"/>
      <w:r w:rsidRPr="0050769D">
        <w:rPr>
          <w:sz w:val="24"/>
        </w:rPr>
        <w:t>inmunofenotipo</w:t>
      </w:r>
      <w:proofErr w:type="spellEnd"/>
      <w:r w:rsidRPr="0050769D">
        <w:rPr>
          <w:sz w:val="24"/>
        </w:rPr>
        <w:t xml:space="preserve"> T, aunque mostró una asociación significativa en el análisis </w:t>
      </w:r>
      <w:proofErr w:type="spellStart"/>
      <w:r w:rsidRPr="0050769D">
        <w:rPr>
          <w:sz w:val="24"/>
        </w:rPr>
        <w:t>univariado</w:t>
      </w:r>
      <w:proofErr w:type="spellEnd"/>
      <w:r w:rsidRPr="0050769D">
        <w:rPr>
          <w:sz w:val="24"/>
        </w:rPr>
        <w:t xml:space="preserve">, su baja frecuencia en la muestra obliga a interpretarlo con cautela. Sin embargo, estudios previos han documentado que la LLA-T puede asociarse a mayor carga tumoral inicial y mayor riesgo de complicaciones tempranas, lo que podría explicar esta tendencia </w:t>
      </w:r>
      <w:r w:rsidR="00A10373">
        <w:rPr>
          <w:sz w:val="24"/>
        </w:rPr>
        <w:t>(</w:t>
      </w:r>
      <w:r w:rsidRPr="0050769D">
        <w:rPr>
          <w:sz w:val="24"/>
        </w:rPr>
        <w:t>3-4</w:t>
      </w:r>
      <w:r w:rsidR="00A10373">
        <w:rPr>
          <w:sz w:val="24"/>
        </w:rPr>
        <w:t>)</w:t>
      </w:r>
      <w:r w:rsidRPr="0050769D">
        <w:rPr>
          <w:sz w:val="24"/>
        </w:rPr>
        <w:t>. Este hallazgo enfatiza la necesidad de investigaciones futuras orientadas a identificar determinantes biológicos y clínicos de la vulnerabilidad temprana en este subgrupo.</w:t>
      </w:r>
    </w:p>
    <w:p w14:paraId="14F67F42" w14:textId="77777777" w:rsidR="0050769D" w:rsidRPr="0050769D" w:rsidRDefault="0050769D" w:rsidP="0050769D">
      <w:pPr>
        <w:jc w:val="both"/>
        <w:rPr>
          <w:sz w:val="24"/>
        </w:rPr>
      </w:pPr>
    </w:p>
    <w:p w14:paraId="4F7CC7CA" w14:textId="58B371E1" w:rsidR="0050769D" w:rsidRPr="0050769D" w:rsidRDefault="0050769D" w:rsidP="0050769D">
      <w:pPr>
        <w:jc w:val="both"/>
        <w:rPr>
          <w:sz w:val="24"/>
        </w:rPr>
      </w:pPr>
      <w:r w:rsidRPr="0050769D">
        <w:rPr>
          <w:sz w:val="24"/>
        </w:rPr>
        <w:t xml:space="preserve">Finalmente, la presencia de muertes por causas desconocidas, incluida una durante la fase de mantenimiento, constituye un hallazgo inusual en series de países de altos ingresos </w:t>
      </w:r>
      <w:r w:rsidR="00A10373">
        <w:rPr>
          <w:sz w:val="24"/>
        </w:rPr>
        <w:t>(</w:t>
      </w:r>
      <w:r w:rsidRPr="0050769D">
        <w:rPr>
          <w:sz w:val="24"/>
        </w:rPr>
        <w:t>13</w:t>
      </w:r>
      <w:r w:rsidR="00A10373">
        <w:rPr>
          <w:sz w:val="24"/>
        </w:rPr>
        <w:t>)</w:t>
      </w:r>
      <w:r w:rsidRPr="0050769D">
        <w:rPr>
          <w:sz w:val="24"/>
        </w:rPr>
        <w:t xml:space="preserve"> y subraya la importancia de fortalecer el seguimiento domiciliario, la educación de cuidadores y los sistemas de alerta temprana para intervenir complicaciones en fases subclínicas.</w:t>
      </w:r>
    </w:p>
    <w:p w14:paraId="01096ECC" w14:textId="77777777" w:rsidR="0050769D" w:rsidRPr="0050769D" w:rsidRDefault="0050769D" w:rsidP="0050769D">
      <w:pPr>
        <w:jc w:val="both"/>
        <w:rPr>
          <w:sz w:val="24"/>
        </w:rPr>
      </w:pPr>
    </w:p>
    <w:p w14:paraId="61EC367D" w14:textId="77777777" w:rsidR="0050769D" w:rsidRPr="0050769D" w:rsidRDefault="0050769D" w:rsidP="0050769D">
      <w:pPr>
        <w:jc w:val="both"/>
        <w:rPr>
          <w:sz w:val="24"/>
        </w:rPr>
      </w:pPr>
      <w:r w:rsidRPr="0050769D">
        <w:rPr>
          <w:sz w:val="24"/>
        </w:rPr>
        <w:t xml:space="preserve">En conjunto, los resultados reflejan que la mortalidad en entornos de recursos intermedios está fuertemente influenciada por limitaciones estructurales y por la capacidad de respuesta del sistema de salud. La identificación de predictores tempranos como la respuesta al día 15 ofrece una oportunidad concreta para reducir la mortalidad prevenible mediante estrategias dirigidas a vigilancia intensificada, soporte integral y manejo oportuno de la fiebre </w:t>
      </w:r>
      <w:proofErr w:type="spellStart"/>
      <w:r w:rsidRPr="0050769D">
        <w:rPr>
          <w:sz w:val="24"/>
        </w:rPr>
        <w:t>neutropénica</w:t>
      </w:r>
      <w:proofErr w:type="spellEnd"/>
      <w:r w:rsidRPr="0050769D">
        <w:rPr>
          <w:sz w:val="24"/>
        </w:rPr>
        <w:t>.</w:t>
      </w:r>
    </w:p>
    <w:p w14:paraId="0A7A61A9" w14:textId="3B29D00F" w:rsidR="00EA6771" w:rsidRDefault="00EA6771" w:rsidP="00EA6771"/>
    <w:p w14:paraId="4E1FB1E8" w14:textId="1453615E" w:rsidR="00EA6771" w:rsidRDefault="00EA6771" w:rsidP="00EA6771"/>
    <w:p w14:paraId="5DCB098B" w14:textId="3ED194A2" w:rsidR="00EA6771" w:rsidRDefault="00EA6771" w:rsidP="00EA6771"/>
    <w:p w14:paraId="093FE6B8" w14:textId="12067089" w:rsidR="00EA6771" w:rsidRDefault="00EA6771" w:rsidP="00EA6771"/>
    <w:p w14:paraId="1C17F13E" w14:textId="73341C0D" w:rsidR="00EA6771" w:rsidRDefault="00EA6771" w:rsidP="00EA6771"/>
    <w:p w14:paraId="312503A7" w14:textId="232B5E77" w:rsidR="00EA6771" w:rsidRDefault="00EA6771" w:rsidP="00EA6771"/>
    <w:p w14:paraId="51D3BED1" w14:textId="44E197B9" w:rsidR="00EA6771" w:rsidRDefault="00EA6771" w:rsidP="00EA6771"/>
    <w:p w14:paraId="1D865ACB" w14:textId="640E3DB9" w:rsidR="00EA6771" w:rsidRDefault="00EA6771" w:rsidP="00EA6771"/>
    <w:p w14:paraId="1162C4AA" w14:textId="151F7B29" w:rsidR="00EA6771" w:rsidRDefault="00EA6771" w:rsidP="00EA6771"/>
    <w:p w14:paraId="73C49FB8" w14:textId="59304F27" w:rsidR="00EA6771" w:rsidRDefault="00EA6771" w:rsidP="00EA6771"/>
    <w:p w14:paraId="2D596801" w14:textId="59F7CA39" w:rsidR="00EA6771" w:rsidRDefault="00EA6771" w:rsidP="00EA6771"/>
    <w:p w14:paraId="1215E113" w14:textId="6C684CBF" w:rsidR="00EA6771" w:rsidRDefault="00EA6771" w:rsidP="00EA6771"/>
    <w:p w14:paraId="78553A16" w14:textId="78A26430" w:rsidR="00EA6771" w:rsidRDefault="00EA6771" w:rsidP="00EA6771"/>
    <w:p w14:paraId="08EA6B92" w14:textId="242D6355" w:rsidR="00EA6771" w:rsidRDefault="00EA6771" w:rsidP="00EA6771"/>
    <w:p w14:paraId="7C487C8E" w14:textId="03DF5B23" w:rsidR="00EA6771" w:rsidRDefault="00EA6771" w:rsidP="00EA6771"/>
    <w:p w14:paraId="2AB7F175" w14:textId="6DB6E1A1" w:rsidR="00EA6771" w:rsidRDefault="00EA6771" w:rsidP="00EA6771"/>
    <w:p w14:paraId="1BFACC4F" w14:textId="7F7CBF0C" w:rsidR="00EA6771" w:rsidRDefault="00EA6771" w:rsidP="00EA6771"/>
    <w:p w14:paraId="6FBA3315" w14:textId="5546930E" w:rsidR="00EA6771" w:rsidRDefault="00EA6771" w:rsidP="00EA6771"/>
    <w:p w14:paraId="0F84659E" w14:textId="653B1698" w:rsidR="00EA6771" w:rsidRDefault="00EA6771" w:rsidP="00EA6771"/>
    <w:p w14:paraId="26DEA7E7" w14:textId="46DC04DC" w:rsidR="00EA6771" w:rsidRDefault="00EA6771" w:rsidP="00EA6771"/>
    <w:p w14:paraId="01B351C1" w14:textId="575406D2" w:rsidR="00EA6771" w:rsidRDefault="00EA6771" w:rsidP="00EA6771"/>
    <w:p w14:paraId="3B4474DF" w14:textId="404EFD45" w:rsidR="0050769D" w:rsidRDefault="00C91753" w:rsidP="0050769D">
      <w:pPr>
        <w:pStyle w:val="Ttulo1"/>
        <w:spacing w:before="120"/>
      </w:pPr>
      <w:bookmarkStart w:id="8" w:name="_Toc213145986"/>
      <w:bookmarkStart w:id="9" w:name="_GoBack"/>
      <w:bookmarkEnd w:id="9"/>
      <w:r w:rsidRPr="004D445B">
        <w:lastRenderedPageBreak/>
        <w:t>Conclusiones:</w:t>
      </w:r>
      <w:bookmarkEnd w:id="8"/>
      <w:r w:rsidRPr="004D445B">
        <w:t xml:space="preserve"> </w:t>
      </w:r>
    </w:p>
    <w:p w14:paraId="4C4458AA" w14:textId="77777777" w:rsidR="0050769D" w:rsidRPr="0050769D" w:rsidRDefault="0050769D" w:rsidP="0050769D">
      <w:pPr>
        <w:jc w:val="both"/>
        <w:rPr>
          <w:sz w:val="24"/>
        </w:rPr>
      </w:pPr>
      <w:r w:rsidRPr="0050769D">
        <w:rPr>
          <w:sz w:val="24"/>
        </w:rPr>
        <w:t xml:space="preserve">La mortalidad relacionada al tratamiento en esta cohorte fue del 12%, una cifra superior a la descrita en países de altos ingresos y comparable a estudios latinoamericanos y al grupo local HOMI-ACHOP 2006. </w:t>
      </w:r>
    </w:p>
    <w:p w14:paraId="750A60CC" w14:textId="77777777" w:rsidR="0050769D" w:rsidRPr="0050769D" w:rsidRDefault="0050769D" w:rsidP="0050769D">
      <w:pPr>
        <w:jc w:val="both"/>
        <w:rPr>
          <w:sz w:val="24"/>
        </w:rPr>
      </w:pPr>
    </w:p>
    <w:p w14:paraId="2A3079A8" w14:textId="77777777" w:rsidR="0050769D" w:rsidRPr="0050769D" w:rsidRDefault="0050769D" w:rsidP="0050769D">
      <w:pPr>
        <w:jc w:val="both"/>
        <w:rPr>
          <w:sz w:val="24"/>
        </w:rPr>
      </w:pPr>
      <w:r w:rsidRPr="0050769D">
        <w:rPr>
          <w:sz w:val="24"/>
        </w:rPr>
        <w:t xml:space="preserve">La sepsis con neutropenia febril constituyó la principal causa de muerte, lo que destaca la necesidad de fortalecer las estrategias institucionales de manejo de fiebre </w:t>
      </w:r>
      <w:proofErr w:type="spellStart"/>
      <w:r w:rsidRPr="0050769D">
        <w:rPr>
          <w:sz w:val="24"/>
        </w:rPr>
        <w:t>neutropénica</w:t>
      </w:r>
      <w:proofErr w:type="spellEnd"/>
      <w:r w:rsidRPr="0050769D">
        <w:rPr>
          <w:sz w:val="24"/>
        </w:rPr>
        <w:t xml:space="preserve"> y el acceso oportuno a soporte crítico. Las fases IA, IIA e IIB concentraron la mayor proporción de muertes, lo que concuerda con la mayor intensidad terapéutica de estas etapas. Los grupos de riesgo intermedio y alto fueron los que acumularon la mayor mortalidad, aunque el principal predictor independiente identificado fue la respuesta temprana al día 15, que mostró significancia estadística en el análisis multivariado. El </w:t>
      </w:r>
      <w:proofErr w:type="spellStart"/>
      <w:r w:rsidRPr="0050769D">
        <w:rPr>
          <w:sz w:val="24"/>
        </w:rPr>
        <w:t>inmunofenotipo</w:t>
      </w:r>
      <w:proofErr w:type="spellEnd"/>
      <w:r w:rsidRPr="0050769D">
        <w:rPr>
          <w:sz w:val="24"/>
        </w:rPr>
        <w:t xml:space="preserve"> T se asoció con mortalidad en el análisis </w:t>
      </w:r>
      <w:proofErr w:type="spellStart"/>
      <w:r w:rsidRPr="0050769D">
        <w:rPr>
          <w:sz w:val="24"/>
        </w:rPr>
        <w:t>univariado</w:t>
      </w:r>
      <w:proofErr w:type="spellEnd"/>
      <w:r w:rsidRPr="0050769D">
        <w:rPr>
          <w:sz w:val="24"/>
        </w:rPr>
        <w:t xml:space="preserve">, pero su interpretación debe ser cautelosa debido al tamaño </w:t>
      </w:r>
      <w:proofErr w:type="spellStart"/>
      <w:r w:rsidRPr="0050769D">
        <w:rPr>
          <w:sz w:val="24"/>
        </w:rPr>
        <w:t>muestral</w:t>
      </w:r>
      <w:proofErr w:type="spellEnd"/>
      <w:r w:rsidRPr="0050769D">
        <w:rPr>
          <w:sz w:val="24"/>
        </w:rPr>
        <w:t xml:space="preserve"> reducido. </w:t>
      </w:r>
    </w:p>
    <w:p w14:paraId="20B7EC23" w14:textId="77777777" w:rsidR="0050769D" w:rsidRPr="0050769D" w:rsidRDefault="0050769D" w:rsidP="0050769D">
      <w:pPr>
        <w:jc w:val="both"/>
        <w:rPr>
          <w:sz w:val="24"/>
        </w:rPr>
      </w:pPr>
    </w:p>
    <w:p w14:paraId="4AEAC6D7" w14:textId="77777777" w:rsidR="0050769D" w:rsidRPr="0050769D" w:rsidRDefault="0050769D" w:rsidP="0050769D">
      <w:pPr>
        <w:jc w:val="both"/>
        <w:rPr>
          <w:sz w:val="24"/>
        </w:rPr>
      </w:pPr>
      <w:r w:rsidRPr="0050769D">
        <w:rPr>
          <w:sz w:val="24"/>
        </w:rPr>
        <w:t xml:space="preserve">La ocurrencia de muertes de causa desconocida, incluida una en mantenimiento, evidencia la necesidad de fortalecer los sistemas de monitoreo ambulatorio y educación familiar. </w:t>
      </w:r>
    </w:p>
    <w:p w14:paraId="2BDB14ED" w14:textId="77777777" w:rsidR="0050769D" w:rsidRPr="0050769D" w:rsidRDefault="0050769D" w:rsidP="0050769D">
      <w:pPr>
        <w:jc w:val="both"/>
        <w:rPr>
          <w:sz w:val="24"/>
        </w:rPr>
      </w:pPr>
    </w:p>
    <w:p w14:paraId="4FE42B84" w14:textId="0EBE9461" w:rsidR="0050769D" w:rsidRPr="0050769D" w:rsidRDefault="0050769D" w:rsidP="0050769D">
      <w:pPr>
        <w:jc w:val="both"/>
        <w:rPr>
          <w:sz w:val="24"/>
        </w:rPr>
      </w:pPr>
      <w:r w:rsidRPr="0050769D">
        <w:rPr>
          <w:sz w:val="24"/>
        </w:rPr>
        <w:t>En conclusión, los hallazgos resaltan la urgencia de implementar intervenciones específicas para entornos de ingresos intermedios dirigidas a mejorar la prevención, detección y manejo temprano de complicaciones infecciosas, con el fin de reducir la mortalidad prevenible y mejorar los desenlaces globales.</w:t>
      </w:r>
    </w:p>
    <w:p w14:paraId="7519AB19" w14:textId="77777777" w:rsidR="00807136" w:rsidRDefault="00807136" w:rsidP="004D445B">
      <w:pPr>
        <w:pStyle w:val="NormalWeb"/>
        <w:spacing w:before="0" w:beforeAutospacing="0" w:after="0" w:afterAutospacing="0"/>
        <w:jc w:val="both"/>
        <w:rPr>
          <w:rFonts w:ascii="Arial" w:hAnsi="Arial" w:cs="Arial"/>
          <w:bCs/>
          <w:color w:val="000000"/>
        </w:rPr>
      </w:pPr>
    </w:p>
    <w:p w14:paraId="5C6080FD" w14:textId="72A6CC59" w:rsidR="00807136" w:rsidRDefault="00807136" w:rsidP="004D445B">
      <w:pPr>
        <w:pStyle w:val="NormalWeb"/>
        <w:spacing w:before="0" w:beforeAutospacing="0" w:after="0" w:afterAutospacing="0"/>
        <w:jc w:val="both"/>
        <w:rPr>
          <w:rFonts w:ascii="Arial" w:hAnsi="Arial" w:cs="Arial"/>
          <w:bCs/>
          <w:color w:val="000000"/>
        </w:rPr>
      </w:pPr>
    </w:p>
    <w:p w14:paraId="03FA716A" w14:textId="39DDA562" w:rsidR="00EA6771" w:rsidRDefault="00EA6771" w:rsidP="004D445B">
      <w:pPr>
        <w:pStyle w:val="NormalWeb"/>
        <w:spacing w:before="0" w:beforeAutospacing="0" w:after="0" w:afterAutospacing="0"/>
        <w:jc w:val="both"/>
        <w:rPr>
          <w:rFonts w:ascii="Arial" w:hAnsi="Arial" w:cs="Arial"/>
          <w:bCs/>
          <w:color w:val="000000"/>
        </w:rPr>
      </w:pPr>
    </w:p>
    <w:p w14:paraId="071E6B16" w14:textId="5C74AE3D" w:rsidR="00EA6771" w:rsidRDefault="00EA6771" w:rsidP="004D445B">
      <w:pPr>
        <w:pStyle w:val="NormalWeb"/>
        <w:spacing w:before="0" w:beforeAutospacing="0" w:after="0" w:afterAutospacing="0"/>
        <w:jc w:val="both"/>
        <w:rPr>
          <w:rFonts w:ascii="Arial" w:hAnsi="Arial" w:cs="Arial"/>
          <w:bCs/>
          <w:color w:val="000000"/>
        </w:rPr>
      </w:pPr>
    </w:p>
    <w:p w14:paraId="034D4550" w14:textId="0D2BB572" w:rsidR="00EA6771" w:rsidRDefault="00EA6771" w:rsidP="004D445B">
      <w:pPr>
        <w:pStyle w:val="NormalWeb"/>
        <w:spacing w:before="0" w:beforeAutospacing="0" w:after="0" w:afterAutospacing="0"/>
        <w:jc w:val="both"/>
        <w:rPr>
          <w:rFonts w:ascii="Arial" w:hAnsi="Arial" w:cs="Arial"/>
          <w:bCs/>
          <w:color w:val="000000"/>
        </w:rPr>
      </w:pPr>
    </w:p>
    <w:p w14:paraId="60DC913B" w14:textId="2058C0ED" w:rsidR="00EA6771" w:rsidRDefault="00EA6771" w:rsidP="004D445B">
      <w:pPr>
        <w:pStyle w:val="NormalWeb"/>
        <w:spacing w:before="0" w:beforeAutospacing="0" w:after="0" w:afterAutospacing="0"/>
        <w:jc w:val="both"/>
        <w:rPr>
          <w:rFonts w:ascii="Arial" w:hAnsi="Arial" w:cs="Arial"/>
          <w:bCs/>
          <w:color w:val="000000"/>
        </w:rPr>
      </w:pPr>
    </w:p>
    <w:p w14:paraId="07EE1001" w14:textId="0C950B94" w:rsidR="00EA6771" w:rsidRDefault="00EA6771" w:rsidP="004D445B">
      <w:pPr>
        <w:pStyle w:val="NormalWeb"/>
        <w:spacing w:before="0" w:beforeAutospacing="0" w:after="0" w:afterAutospacing="0"/>
        <w:jc w:val="both"/>
        <w:rPr>
          <w:rFonts w:ascii="Arial" w:hAnsi="Arial" w:cs="Arial"/>
          <w:bCs/>
          <w:color w:val="000000"/>
        </w:rPr>
      </w:pPr>
    </w:p>
    <w:p w14:paraId="4CE9D500" w14:textId="5A520E65" w:rsidR="00EA6771" w:rsidRDefault="00EA6771" w:rsidP="004D445B">
      <w:pPr>
        <w:pStyle w:val="NormalWeb"/>
        <w:spacing w:before="0" w:beforeAutospacing="0" w:after="0" w:afterAutospacing="0"/>
        <w:jc w:val="both"/>
        <w:rPr>
          <w:rFonts w:ascii="Arial" w:hAnsi="Arial" w:cs="Arial"/>
          <w:bCs/>
          <w:color w:val="000000"/>
        </w:rPr>
      </w:pPr>
    </w:p>
    <w:p w14:paraId="18FF21F8" w14:textId="67236206" w:rsidR="00EA6771" w:rsidRDefault="00EA6771" w:rsidP="004D445B">
      <w:pPr>
        <w:pStyle w:val="NormalWeb"/>
        <w:spacing w:before="0" w:beforeAutospacing="0" w:after="0" w:afterAutospacing="0"/>
        <w:jc w:val="both"/>
        <w:rPr>
          <w:rFonts w:ascii="Arial" w:hAnsi="Arial" w:cs="Arial"/>
          <w:bCs/>
          <w:color w:val="000000"/>
        </w:rPr>
      </w:pPr>
    </w:p>
    <w:p w14:paraId="537475E4" w14:textId="16CA7121" w:rsidR="00EA6771" w:rsidRDefault="00EA6771" w:rsidP="004D445B">
      <w:pPr>
        <w:pStyle w:val="NormalWeb"/>
        <w:spacing w:before="0" w:beforeAutospacing="0" w:after="0" w:afterAutospacing="0"/>
        <w:jc w:val="both"/>
        <w:rPr>
          <w:rFonts w:ascii="Arial" w:hAnsi="Arial" w:cs="Arial"/>
          <w:bCs/>
          <w:color w:val="000000"/>
        </w:rPr>
      </w:pPr>
    </w:p>
    <w:p w14:paraId="6F62C50B" w14:textId="7C9021F3" w:rsidR="00EA6771" w:rsidRDefault="00EA6771" w:rsidP="004D445B">
      <w:pPr>
        <w:pStyle w:val="NormalWeb"/>
        <w:spacing w:before="0" w:beforeAutospacing="0" w:after="0" w:afterAutospacing="0"/>
        <w:jc w:val="both"/>
        <w:rPr>
          <w:rFonts w:ascii="Arial" w:hAnsi="Arial" w:cs="Arial"/>
          <w:bCs/>
          <w:color w:val="000000"/>
        </w:rPr>
      </w:pPr>
    </w:p>
    <w:p w14:paraId="40735A4B" w14:textId="79769F34" w:rsidR="00EA6771" w:rsidRDefault="00EA6771" w:rsidP="004D445B">
      <w:pPr>
        <w:pStyle w:val="NormalWeb"/>
        <w:spacing w:before="0" w:beforeAutospacing="0" w:after="0" w:afterAutospacing="0"/>
        <w:jc w:val="both"/>
        <w:rPr>
          <w:rFonts w:ascii="Arial" w:hAnsi="Arial" w:cs="Arial"/>
          <w:bCs/>
          <w:color w:val="000000"/>
        </w:rPr>
      </w:pPr>
    </w:p>
    <w:p w14:paraId="56C68673" w14:textId="02B73748" w:rsidR="00EA6771" w:rsidRDefault="00EA6771" w:rsidP="004D445B">
      <w:pPr>
        <w:pStyle w:val="NormalWeb"/>
        <w:spacing w:before="0" w:beforeAutospacing="0" w:after="0" w:afterAutospacing="0"/>
        <w:jc w:val="both"/>
        <w:rPr>
          <w:rFonts w:ascii="Arial" w:hAnsi="Arial" w:cs="Arial"/>
          <w:bCs/>
          <w:color w:val="000000"/>
        </w:rPr>
      </w:pPr>
    </w:p>
    <w:p w14:paraId="49D078DB" w14:textId="385B8FAC" w:rsidR="00EA6771" w:rsidRDefault="00EA6771" w:rsidP="004D445B">
      <w:pPr>
        <w:pStyle w:val="NormalWeb"/>
        <w:spacing w:before="0" w:beforeAutospacing="0" w:after="0" w:afterAutospacing="0"/>
        <w:jc w:val="both"/>
        <w:rPr>
          <w:rFonts w:ascii="Arial" w:hAnsi="Arial" w:cs="Arial"/>
          <w:bCs/>
          <w:color w:val="000000"/>
        </w:rPr>
      </w:pPr>
    </w:p>
    <w:p w14:paraId="2BA37B7F" w14:textId="341553BE" w:rsidR="00EA6771" w:rsidRDefault="00EA6771" w:rsidP="004D445B">
      <w:pPr>
        <w:pStyle w:val="NormalWeb"/>
        <w:spacing w:before="0" w:beforeAutospacing="0" w:after="0" w:afterAutospacing="0"/>
        <w:jc w:val="both"/>
        <w:rPr>
          <w:rFonts w:ascii="Arial" w:hAnsi="Arial" w:cs="Arial"/>
          <w:bCs/>
          <w:color w:val="000000"/>
        </w:rPr>
      </w:pPr>
    </w:p>
    <w:p w14:paraId="313A7345" w14:textId="2671B313" w:rsidR="00EA6771" w:rsidRDefault="00EA6771" w:rsidP="004D445B">
      <w:pPr>
        <w:pStyle w:val="NormalWeb"/>
        <w:spacing w:before="0" w:beforeAutospacing="0" w:after="0" w:afterAutospacing="0"/>
        <w:jc w:val="both"/>
        <w:rPr>
          <w:rFonts w:ascii="Arial" w:hAnsi="Arial" w:cs="Arial"/>
          <w:bCs/>
          <w:color w:val="000000"/>
        </w:rPr>
      </w:pPr>
    </w:p>
    <w:p w14:paraId="72EFAEA6" w14:textId="7579AE1D" w:rsidR="00EA6771" w:rsidRDefault="00EA6771" w:rsidP="004D445B">
      <w:pPr>
        <w:pStyle w:val="NormalWeb"/>
        <w:spacing w:before="0" w:beforeAutospacing="0" w:after="0" w:afterAutospacing="0"/>
        <w:jc w:val="both"/>
        <w:rPr>
          <w:rFonts w:ascii="Arial" w:hAnsi="Arial" w:cs="Arial"/>
          <w:bCs/>
          <w:color w:val="000000"/>
        </w:rPr>
      </w:pPr>
    </w:p>
    <w:p w14:paraId="581995DB" w14:textId="1DD64457" w:rsidR="00EA6771" w:rsidRDefault="00EA6771" w:rsidP="004D445B">
      <w:pPr>
        <w:pStyle w:val="NormalWeb"/>
        <w:spacing w:before="0" w:beforeAutospacing="0" w:after="0" w:afterAutospacing="0"/>
        <w:jc w:val="both"/>
        <w:rPr>
          <w:rFonts w:ascii="Arial" w:hAnsi="Arial" w:cs="Arial"/>
          <w:bCs/>
          <w:color w:val="000000"/>
        </w:rPr>
      </w:pPr>
    </w:p>
    <w:p w14:paraId="40086E89" w14:textId="6EDC321D" w:rsidR="00EA6771" w:rsidRDefault="00EA6771" w:rsidP="004D445B">
      <w:pPr>
        <w:pStyle w:val="NormalWeb"/>
        <w:spacing w:before="0" w:beforeAutospacing="0" w:after="0" w:afterAutospacing="0"/>
        <w:jc w:val="both"/>
        <w:rPr>
          <w:rFonts w:ascii="Arial" w:hAnsi="Arial" w:cs="Arial"/>
          <w:bCs/>
          <w:color w:val="000000"/>
        </w:rPr>
      </w:pPr>
    </w:p>
    <w:p w14:paraId="107B7973" w14:textId="19D10231" w:rsidR="00EA6771" w:rsidRDefault="00EA6771" w:rsidP="004D445B">
      <w:pPr>
        <w:pStyle w:val="NormalWeb"/>
        <w:spacing w:before="0" w:beforeAutospacing="0" w:after="0" w:afterAutospacing="0"/>
        <w:jc w:val="both"/>
        <w:rPr>
          <w:rFonts w:ascii="Arial" w:hAnsi="Arial" w:cs="Arial"/>
          <w:bCs/>
          <w:color w:val="000000"/>
        </w:rPr>
      </w:pPr>
    </w:p>
    <w:p w14:paraId="024DD431" w14:textId="21A8FD6B" w:rsidR="00EA6771" w:rsidRDefault="00EA6771" w:rsidP="004D445B">
      <w:pPr>
        <w:pStyle w:val="NormalWeb"/>
        <w:spacing w:before="0" w:beforeAutospacing="0" w:after="0" w:afterAutospacing="0"/>
        <w:jc w:val="both"/>
        <w:rPr>
          <w:rFonts w:ascii="Arial" w:hAnsi="Arial" w:cs="Arial"/>
          <w:bCs/>
          <w:color w:val="000000"/>
        </w:rPr>
      </w:pPr>
    </w:p>
    <w:p w14:paraId="6722786D" w14:textId="77777777" w:rsidR="00EA6771" w:rsidRDefault="00EA6771" w:rsidP="004D445B">
      <w:pPr>
        <w:pStyle w:val="NormalWeb"/>
        <w:spacing w:before="0" w:beforeAutospacing="0" w:after="0" w:afterAutospacing="0"/>
        <w:jc w:val="both"/>
        <w:rPr>
          <w:rFonts w:ascii="Arial" w:hAnsi="Arial" w:cs="Arial"/>
          <w:bCs/>
          <w:color w:val="000000"/>
        </w:rPr>
      </w:pPr>
    </w:p>
    <w:p w14:paraId="4DA6FC86" w14:textId="30F324DB" w:rsidR="00047D47" w:rsidRDefault="00C91753" w:rsidP="00807136">
      <w:pPr>
        <w:pStyle w:val="Ttulo1"/>
        <w:spacing w:before="120"/>
      </w:pPr>
      <w:bookmarkStart w:id="10" w:name="_Toc213145987"/>
      <w:r w:rsidRPr="004D445B">
        <w:lastRenderedPageBreak/>
        <w:t>Bibliografía:</w:t>
      </w:r>
      <w:bookmarkEnd w:id="10"/>
    </w:p>
    <w:p w14:paraId="096B01A1" w14:textId="37A9CECC" w:rsidR="0050769D" w:rsidRDefault="0050769D" w:rsidP="00751733">
      <w:pPr>
        <w:jc w:val="both"/>
      </w:pPr>
      <w:r>
        <w:t>1.</w:t>
      </w:r>
      <w:r>
        <w:t xml:space="preserve"> </w:t>
      </w:r>
      <w:r>
        <w:t>Estadísticas Vitales de Colombia, Dane.gov.co -URL: http://www.dane.gov.co/index.php/poblacion-y-demografia/nacimientos-y-defunciones/118-demograficas/estadisticas-vitales/2877-defunciones-no-fetales.</w:t>
      </w:r>
    </w:p>
    <w:p w14:paraId="10BC9B64" w14:textId="2DE8E878" w:rsidR="0050769D" w:rsidRPr="0050769D" w:rsidRDefault="0050769D" w:rsidP="00751733">
      <w:pPr>
        <w:jc w:val="both"/>
        <w:rPr>
          <w:lang w:val="en-US"/>
        </w:rPr>
      </w:pPr>
      <w:r w:rsidRPr="0050769D">
        <w:rPr>
          <w:lang w:val="en-US"/>
        </w:rPr>
        <w:t>2.</w:t>
      </w:r>
      <w:r>
        <w:rPr>
          <w:lang w:val="en-US"/>
        </w:rPr>
        <w:t xml:space="preserve"> </w:t>
      </w:r>
      <w:r w:rsidRPr="0050769D">
        <w:rPr>
          <w:lang w:val="en-US"/>
        </w:rPr>
        <w:t xml:space="preserve">Gutierrez A and Silverman LB. Acute Lymphoblastic Leukemia. In: Nathan and </w:t>
      </w:r>
      <w:proofErr w:type="spellStart"/>
      <w:r w:rsidRPr="0050769D">
        <w:rPr>
          <w:lang w:val="en-US"/>
        </w:rPr>
        <w:t>Oski´s</w:t>
      </w:r>
      <w:proofErr w:type="spellEnd"/>
      <w:r w:rsidRPr="0050769D">
        <w:rPr>
          <w:lang w:val="en-US"/>
        </w:rPr>
        <w:t xml:space="preserve">, Editors. Hematology and </w:t>
      </w:r>
      <w:proofErr w:type="spellStart"/>
      <w:r w:rsidRPr="0050769D">
        <w:rPr>
          <w:lang w:val="en-US"/>
        </w:rPr>
        <w:t>Oncoloy</w:t>
      </w:r>
      <w:proofErr w:type="spellEnd"/>
      <w:r w:rsidRPr="0050769D">
        <w:rPr>
          <w:lang w:val="en-US"/>
        </w:rPr>
        <w:t xml:space="preserve"> of Infancy and </w:t>
      </w:r>
      <w:proofErr w:type="spellStart"/>
      <w:r w:rsidRPr="0050769D">
        <w:rPr>
          <w:lang w:val="en-US"/>
        </w:rPr>
        <w:t>Chilhood</w:t>
      </w:r>
      <w:proofErr w:type="spellEnd"/>
      <w:r w:rsidRPr="0050769D">
        <w:rPr>
          <w:lang w:val="en-US"/>
        </w:rPr>
        <w:t>. Eighth Edition. Ed. Philadelphia: Elsevier; 2015. P 1527 – 1554.</w:t>
      </w:r>
    </w:p>
    <w:p w14:paraId="1928E5F5" w14:textId="1F62C504" w:rsidR="0050769D" w:rsidRPr="0050769D" w:rsidRDefault="0050769D" w:rsidP="00751733">
      <w:pPr>
        <w:jc w:val="both"/>
        <w:rPr>
          <w:lang w:val="en-US"/>
        </w:rPr>
      </w:pPr>
      <w:r w:rsidRPr="0050769D">
        <w:rPr>
          <w:lang w:val="en-US"/>
        </w:rPr>
        <w:t>3.</w:t>
      </w:r>
      <w:r>
        <w:rPr>
          <w:lang w:val="en-US"/>
        </w:rPr>
        <w:t xml:space="preserve"> </w:t>
      </w:r>
      <w:proofErr w:type="spellStart"/>
      <w:r w:rsidRPr="0050769D">
        <w:rPr>
          <w:lang w:val="en-US"/>
        </w:rPr>
        <w:t>Gramatges</w:t>
      </w:r>
      <w:proofErr w:type="spellEnd"/>
      <w:r w:rsidRPr="0050769D">
        <w:rPr>
          <w:lang w:val="en-US"/>
        </w:rPr>
        <w:t xml:space="preserve"> MM, O´Brien MM and Rabin KR. Acute Lymphoblastic Leukemia. In: </w:t>
      </w:r>
      <w:proofErr w:type="spellStart"/>
      <w:r w:rsidRPr="0050769D">
        <w:rPr>
          <w:lang w:val="en-US"/>
        </w:rPr>
        <w:t>Pizzo</w:t>
      </w:r>
      <w:proofErr w:type="spellEnd"/>
      <w:r w:rsidRPr="0050769D">
        <w:rPr>
          <w:lang w:val="en-US"/>
        </w:rPr>
        <w:t xml:space="preserve"> PA, </w:t>
      </w:r>
      <w:proofErr w:type="spellStart"/>
      <w:r w:rsidRPr="0050769D">
        <w:rPr>
          <w:lang w:val="en-US"/>
        </w:rPr>
        <w:t>Poplack</w:t>
      </w:r>
      <w:proofErr w:type="spellEnd"/>
      <w:r w:rsidRPr="0050769D">
        <w:rPr>
          <w:lang w:val="en-US"/>
        </w:rPr>
        <w:t xml:space="preserve"> DC, editors. Principles and Practices of Pediatric Oncology. </w:t>
      </w:r>
      <w:proofErr w:type="spellStart"/>
      <w:r>
        <w:t>Eighth</w:t>
      </w:r>
      <w:proofErr w:type="spellEnd"/>
      <w:r>
        <w:t xml:space="preserve"> </w:t>
      </w:r>
      <w:proofErr w:type="spellStart"/>
      <w:r>
        <w:t>edition</w:t>
      </w:r>
      <w:proofErr w:type="spellEnd"/>
      <w:r>
        <w:t xml:space="preserve">. Ed. </w:t>
      </w:r>
      <w:proofErr w:type="spellStart"/>
      <w:r>
        <w:t>Philadelphia</w:t>
      </w:r>
      <w:proofErr w:type="spellEnd"/>
      <w:r>
        <w:t xml:space="preserve">: </w:t>
      </w:r>
      <w:proofErr w:type="spellStart"/>
      <w:r>
        <w:t>Wolters</w:t>
      </w:r>
      <w:proofErr w:type="spellEnd"/>
      <w:r>
        <w:t xml:space="preserve"> </w:t>
      </w:r>
      <w:proofErr w:type="spellStart"/>
      <w:r>
        <w:t>Kluwer</w:t>
      </w:r>
      <w:proofErr w:type="spellEnd"/>
      <w:r>
        <w:t>; 2021. P 419 – 453.</w:t>
      </w:r>
    </w:p>
    <w:p w14:paraId="2E61AB19" w14:textId="77051A32" w:rsidR="00807136" w:rsidRPr="0050769D" w:rsidRDefault="0050769D" w:rsidP="00751733">
      <w:pPr>
        <w:jc w:val="both"/>
      </w:pPr>
      <w:r>
        <w:t>4.</w:t>
      </w:r>
      <w:r>
        <w:t xml:space="preserve"> </w:t>
      </w:r>
      <w:r w:rsidRPr="0050769D">
        <w:rPr>
          <w:lang w:val="en-US"/>
        </w:rPr>
        <w:t xml:space="preserve">Silverman LB. Acute Lymphoblastic Leukemia. In: Orkin S, Fisher D, Look AT, Lux S, Ginsburg D, Nathan DG, editors. Oncology of infancy and childhood. Ed. Philadelphia: Saunders </w:t>
      </w:r>
      <w:proofErr w:type="spellStart"/>
      <w:r w:rsidRPr="0050769D">
        <w:rPr>
          <w:lang w:val="en-US"/>
        </w:rPr>
        <w:t>Elsevieer</w:t>
      </w:r>
      <w:proofErr w:type="spellEnd"/>
      <w:r w:rsidRPr="0050769D">
        <w:rPr>
          <w:lang w:val="en-US"/>
        </w:rPr>
        <w:t>; 2009. p 297 – 330.</w:t>
      </w:r>
    </w:p>
    <w:p w14:paraId="78E514A4" w14:textId="159184A5" w:rsidR="0050769D" w:rsidRPr="0050769D" w:rsidRDefault="0050769D" w:rsidP="00751733">
      <w:pPr>
        <w:jc w:val="both"/>
        <w:rPr>
          <w:lang w:val="en-US"/>
        </w:rPr>
      </w:pPr>
      <w:r w:rsidRPr="0050769D">
        <w:rPr>
          <w:lang w:val="en-US"/>
        </w:rPr>
        <w:t>5.</w:t>
      </w:r>
      <w:r>
        <w:rPr>
          <w:lang w:val="en-US"/>
        </w:rPr>
        <w:t xml:space="preserve"> </w:t>
      </w:r>
      <w:r w:rsidRPr="0050769D">
        <w:rPr>
          <w:lang w:val="en-US"/>
        </w:rPr>
        <w:t xml:space="preserve">Ward ZJ, </w:t>
      </w:r>
      <w:proofErr w:type="spellStart"/>
      <w:r w:rsidRPr="0050769D">
        <w:rPr>
          <w:lang w:val="en-US"/>
        </w:rPr>
        <w:t>Yeh</w:t>
      </w:r>
      <w:proofErr w:type="spellEnd"/>
      <w:r w:rsidRPr="0050769D">
        <w:rPr>
          <w:lang w:val="en-US"/>
        </w:rPr>
        <w:t xml:space="preserve"> JM, Bhakta N, Frazier AL, Girardi F, </w:t>
      </w:r>
      <w:proofErr w:type="spellStart"/>
      <w:r w:rsidRPr="0050769D">
        <w:rPr>
          <w:lang w:val="en-US"/>
        </w:rPr>
        <w:t>Atun</w:t>
      </w:r>
      <w:proofErr w:type="spellEnd"/>
      <w:r w:rsidRPr="0050769D">
        <w:rPr>
          <w:lang w:val="en-US"/>
        </w:rPr>
        <w:t xml:space="preserve"> R. Global childhood cancer survival </w:t>
      </w:r>
      <w:proofErr w:type="spellStart"/>
      <w:r w:rsidRPr="0050769D">
        <w:rPr>
          <w:lang w:val="en-US"/>
        </w:rPr>
        <w:t>estimatesand</w:t>
      </w:r>
      <w:proofErr w:type="spellEnd"/>
      <w:r w:rsidRPr="0050769D">
        <w:rPr>
          <w:lang w:val="en-US"/>
        </w:rPr>
        <w:t xml:space="preserve"> priority-setting: a simulation-based analysis. The Lancet Oncology. 2019; 20(7):972–83. https://doi.org/10.1016/S1470-2045(19)30273-6 PMID: 31129029.</w:t>
      </w:r>
    </w:p>
    <w:p w14:paraId="7F5B9268" w14:textId="6189612B" w:rsidR="0050769D" w:rsidRPr="0050769D" w:rsidRDefault="0050769D" w:rsidP="00751733">
      <w:pPr>
        <w:jc w:val="both"/>
        <w:rPr>
          <w:lang w:val="en-US"/>
        </w:rPr>
      </w:pPr>
      <w:r w:rsidRPr="0050769D">
        <w:rPr>
          <w:lang w:val="en-US"/>
        </w:rPr>
        <w:t>6.</w:t>
      </w:r>
      <w:r>
        <w:rPr>
          <w:lang w:val="en-US"/>
        </w:rPr>
        <w:t xml:space="preserve"> </w:t>
      </w:r>
      <w:proofErr w:type="spellStart"/>
      <w:r w:rsidRPr="0050769D">
        <w:rPr>
          <w:lang w:val="en-US"/>
        </w:rPr>
        <w:t>Farrag</w:t>
      </w:r>
      <w:proofErr w:type="spellEnd"/>
      <w:r w:rsidRPr="0050769D">
        <w:rPr>
          <w:lang w:val="en-US"/>
        </w:rPr>
        <w:t xml:space="preserve"> A, </w:t>
      </w:r>
      <w:proofErr w:type="spellStart"/>
      <w:r w:rsidRPr="0050769D">
        <w:rPr>
          <w:lang w:val="en-US"/>
        </w:rPr>
        <w:t>Ghazaly</w:t>
      </w:r>
      <w:proofErr w:type="spellEnd"/>
      <w:r w:rsidRPr="0050769D">
        <w:rPr>
          <w:lang w:val="en-US"/>
        </w:rPr>
        <w:t xml:space="preserve"> MH, Mohammed K, </w:t>
      </w:r>
      <w:proofErr w:type="spellStart"/>
      <w:r w:rsidRPr="0050769D">
        <w:rPr>
          <w:lang w:val="en-US"/>
        </w:rPr>
        <w:t>Volland</w:t>
      </w:r>
      <w:proofErr w:type="spellEnd"/>
      <w:r w:rsidRPr="0050769D">
        <w:rPr>
          <w:lang w:val="en-US"/>
        </w:rPr>
        <w:t xml:space="preserve"> R, Hero B, Berthold F. Comparing presentations and outcomes of children with cancer: a study between a lower-middle-income country and a high-income country. </w:t>
      </w:r>
      <w:r w:rsidRPr="0050769D">
        <w:rPr>
          <w:lang w:val="es-CO"/>
        </w:rPr>
        <w:t>BMC pediatrics. 2023; 23(1):443. https://doi.org/10.1186/s12887-023-04214-8 PMID: 37670249.</w:t>
      </w:r>
    </w:p>
    <w:p w14:paraId="37D015FC" w14:textId="310FEDC5" w:rsidR="0050769D" w:rsidRPr="0050769D" w:rsidRDefault="0050769D" w:rsidP="00751733">
      <w:pPr>
        <w:jc w:val="both"/>
        <w:rPr>
          <w:lang w:val="es-CO"/>
        </w:rPr>
      </w:pPr>
      <w:r w:rsidRPr="0050769D">
        <w:rPr>
          <w:lang w:val="es-CO"/>
        </w:rPr>
        <w:t>7.</w:t>
      </w:r>
      <w:r>
        <w:rPr>
          <w:lang w:val="es-CO"/>
        </w:rPr>
        <w:t xml:space="preserve"> </w:t>
      </w:r>
      <w:r w:rsidRPr="0050769D">
        <w:rPr>
          <w:lang w:val="es-CO"/>
        </w:rPr>
        <w:t xml:space="preserve">Cervio C, Barsotti D, Ibanez J,Paganini H, Sara Felice M, Chantada GL. </w:t>
      </w:r>
      <w:r w:rsidRPr="0050769D">
        <w:rPr>
          <w:lang w:val="en-US"/>
        </w:rPr>
        <w:t xml:space="preserve">Early mortality in children with advanced mature B-cell malignancies in a middle-income country. J </w:t>
      </w:r>
      <w:proofErr w:type="spellStart"/>
      <w:r w:rsidRPr="0050769D">
        <w:rPr>
          <w:lang w:val="en-US"/>
        </w:rPr>
        <w:t>Pediatr</w:t>
      </w:r>
      <w:proofErr w:type="spellEnd"/>
      <w:r w:rsidRPr="0050769D">
        <w:rPr>
          <w:lang w:val="en-US"/>
        </w:rPr>
        <w:t xml:space="preserve"> </w:t>
      </w:r>
      <w:proofErr w:type="spellStart"/>
      <w:r w:rsidRPr="0050769D">
        <w:rPr>
          <w:lang w:val="en-US"/>
        </w:rPr>
        <w:t>Hematol</w:t>
      </w:r>
      <w:proofErr w:type="spellEnd"/>
      <w:r w:rsidRPr="0050769D">
        <w:rPr>
          <w:lang w:val="en-US"/>
        </w:rPr>
        <w:t xml:space="preserve"> Oncol. 2012 Oct;34(7</w:t>
      </w:r>
      <w:proofErr w:type="gramStart"/>
      <w:r w:rsidRPr="0050769D">
        <w:rPr>
          <w:lang w:val="en-US"/>
        </w:rPr>
        <w:t>):e</w:t>
      </w:r>
      <w:proofErr w:type="gramEnd"/>
      <w:r w:rsidRPr="0050769D">
        <w:rPr>
          <w:lang w:val="en-US"/>
        </w:rPr>
        <w:t>266-70.</w:t>
      </w:r>
    </w:p>
    <w:p w14:paraId="1C6930BE" w14:textId="5CAACFBF" w:rsidR="0050769D" w:rsidRPr="0050769D" w:rsidRDefault="0050769D" w:rsidP="00751733">
      <w:pPr>
        <w:jc w:val="both"/>
        <w:rPr>
          <w:lang w:val="en-US"/>
        </w:rPr>
      </w:pPr>
      <w:r w:rsidRPr="0050769D">
        <w:rPr>
          <w:lang w:val="en-US"/>
        </w:rPr>
        <w:t>8.</w:t>
      </w:r>
      <w:r>
        <w:rPr>
          <w:lang w:val="en-US"/>
        </w:rPr>
        <w:t xml:space="preserve"> </w:t>
      </w:r>
      <w:r w:rsidRPr="0050769D">
        <w:rPr>
          <w:lang w:val="en-US"/>
        </w:rPr>
        <w:t xml:space="preserve">Gupta S, </w:t>
      </w:r>
      <w:proofErr w:type="spellStart"/>
      <w:r w:rsidRPr="0050769D">
        <w:rPr>
          <w:lang w:val="en-US"/>
        </w:rPr>
        <w:t>Antillon</w:t>
      </w:r>
      <w:proofErr w:type="spellEnd"/>
      <w:r w:rsidRPr="0050769D">
        <w:rPr>
          <w:lang w:val="en-US"/>
        </w:rPr>
        <w:t xml:space="preserve"> FA, Bonilla M, Fu L, Howard SC, Ribeiro RC, Sung L. Treatment-related mortality in children with acute lymphoblastic leukemia in Central America. </w:t>
      </w:r>
      <w:r w:rsidRPr="0050769D">
        <w:rPr>
          <w:lang w:val="es-CO"/>
        </w:rPr>
        <w:t>Cancer. 2011 Oct 15;117(20):4788-95.</w:t>
      </w:r>
    </w:p>
    <w:p w14:paraId="5FE546AA" w14:textId="720E5C15" w:rsidR="0050769D" w:rsidRPr="0050769D" w:rsidRDefault="0050769D" w:rsidP="00751733">
      <w:pPr>
        <w:jc w:val="both"/>
        <w:rPr>
          <w:lang w:val="es-CO"/>
        </w:rPr>
      </w:pPr>
      <w:r w:rsidRPr="0050769D">
        <w:rPr>
          <w:lang w:val="es-CO"/>
        </w:rPr>
        <w:t>9.</w:t>
      </w:r>
      <w:r>
        <w:rPr>
          <w:lang w:val="es-CO"/>
        </w:rPr>
        <w:t xml:space="preserve"> </w:t>
      </w:r>
      <w:r w:rsidRPr="0050769D">
        <w:rPr>
          <w:lang w:val="es-CO"/>
        </w:rPr>
        <w:t>Vera Anyul Milena, Pardo Constanza, Duarte María Cristina, Suárez Amaranto. Análisis de la mortalidad por leucemia aguda pediátrica en el Instituto Nacional de Cancerología Biomedica. 2012;22(3):355-364.</w:t>
      </w:r>
    </w:p>
    <w:p w14:paraId="76E224E6" w14:textId="1C1FDF27" w:rsidR="0050769D" w:rsidRPr="0050769D" w:rsidRDefault="0050769D" w:rsidP="00751733">
      <w:pPr>
        <w:jc w:val="both"/>
        <w:rPr>
          <w:lang w:val="es-CO"/>
        </w:rPr>
      </w:pPr>
      <w:r w:rsidRPr="0050769D">
        <w:rPr>
          <w:lang w:val="es-CO"/>
        </w:rPr>
        <w:t>10.</w:t>
      </w:r>
      <w:r>
        <w:rPr>
          <w:lang w:val="es-CO"/>
        </w:rPr>
        <w:t xml:space="preserve"> </w:t>
      </w:r>
      <w:r w:rsidRPr="0050769D">
        <w:rPr>
          <w:lang w:val="es-CO"/>
        </w:rPr>
        <w:t xml:space="preserve">Loeffen EAH, Knops RRG, Boerhof J, Feijen E, Merks JHM, Reedijk AMJ, et al. </w:t>
      </w:r>
      <w:r w:rsidRPr="0050769D">
        <w:rPr>
          <w:lang w:val="en-US"/>
        </w:rPr>
        <w:t>Treatment-related mortality in children with cancer: Prevalence and risk factors. European journal of cancer. 2019; 121:113–22. https://doi.org/10.1016/j.ejca.2019.08.008 PMID: 31569066.</w:t>
      </w:r>
    </w:p>
    <w:p w14:paraId="2F4B6231" w14:textId="30667385" w:rsidR="0050769D" w:rsidRPr="0050769D" w:rsidRDefault="0050769D" w:rsidP="00751733">
      <w:pPr>
        <w:jc w:val="both"/>
        <w:rPr>
          <w:lang w:val="en-US"/>
        </w:rPr>
      </w:pPr>
      <w:r w:rsidRPr="0050769D">
        <w:rPr>
          <w:lang w:val="en-US"/>
        </w:rPr>
        <w:t>11.</w:t>
      </w:r>
      <w:r>
        <w:rPr>
          <w:lang w:val="en-US"/>
        </w:rPr>
        <w:t xml:space="preserve"> </w:t>
      </w:r>
      <w:r w:rsidRPr="0050769D">
        <w:rPr>
          <w:lang w:val="en-US"/>
        </w:rPr>
        <w:t>Liu K, Shao J, Cai J, Tang J, Shen S, Xu F, et al. Causes of death and treatment-related mortality in newly diagnosed childhood acute lymphoblastic leukemia treatment with Chinese Children’s Cancer Group study ALL-2015. Annals of hematology. 2023.</w:t>
      </w:r>
    </w:p>
    <w:p w14:paraId="545471E7" w14:textId="3FDE12ED" w:rsidR="0050769D" w:rsidRPr="0050769D" w:rsidRDefault="0050769D" w:rsidP="00751733">
      <w:pPr>
        <w:jc w:val="both"/>
        <w:rPr>
          <w:lang w:val="en-US"/>
        </w:rPr>
      </w:pPr>
      <w:r w:rsidRPr="0050769D">
        <w:rPr>
          <w:lang w:val="en-US"/>
        </w:rPr>
        <w:t>12.</w:t>
      </w:r>
      <w:r>
        <w:rPr>
          <w:lang w:val="en-US"/>
        </w:rPr>
        <w:t xml:space="preserve"> </w:t>
      </w:r>
      <w:proofErr w:type="spellStart"/>
      <w:r w:rsidRPr="0050769D">
        <w:rPr>
          <w:lang w:val="en-US"/>
        </w:rPr>
        <w:t>Prucker</w:t>
      </w:r>
      <w:proofErr w:type="spellEnd"/>
      <w:r w:rsidRPr="0050769D">
        <w:rPr>
          <w:lang w:val="en-US"/>
        </w:rPr>
        <w:t xml:space="preserve"> C, </w:t>
      </w:r>
      <w:proofErr w:type="spellStart"/>
      <w:r w:rsidRPr="0050769D">
        <w:rPr>
          <w:lang w:val="en-US"/>
        </w:rPr>
        <w:t>Attarbaschi</w:t>
      </w:r>
      <w:proofErr w:type="spellEnd"/>
      <w:r w:rsidRPr="0050769D">
        <w:rPr>
          <w:lang w:val="en-US"/>
        </w:rPr>
        <w:t xml:space="preserve"> A, Peters C, </w:t>
      </w:r>
      <w:proofErr w:type="spellStart"/>
      <w:r w:rsidRPr="0050769D">
        <w:rPr>
          <w:lang w:val="en-US"/>
        </w:rPr>
        <w:t>Dworzak</w:t>
      </w:r>
      <w:proofErr w:type="spellEnd"/>
      <w:r w:rsidRPr="0050769D">
        <w:rPr>
          <w:lang w:val="en-US"/>
        </w:rPr>
        <w:t xml:space="preserve"> MN, </w:t>
      </w:r>
      <w:proofErr w:type="spellStart"/>
      <w:r w:rsidRPr="0050769D">
        <w:rPr>
          <w:lang w:val="en-US"/>
        </w:rPr>
        <w:t>Po¨tschger</w:t>
      </w:r>
      <w:proofErr w:type="spellEnd"/>
      <w:r w:rsidRPr="0050769D">
        <w:rPr>
          <w:lang w:val="en-US"/>
        </w:rPr>
        <w:t xml:space="preserve"> U, Urban C, et all, on behalf of the Austrian Berlin-Frankfurt-Mu¨ </w:t>
      </w:r>
      <w:proofErr w:type="spellStart"/>
      <w:r w:rsidRPr="0050769D">
        <w:rPr>
          <w:lang w:val="en-US"/>
        </w:rPr>
        <w:t>nster</w:t>
      </w:r>
      <w:proofErr w:type="spellEnd"/>
      <w:r w:rsidRPr="0050769D">
        <w:rPr>
          <w:lang w:val="en-US"/>
        </w:rPr>
        <w:t xml:space="preserve"> (BFM) Study Group. Induction death and treatment-related mortality in first remission of children with acute lymphoblastic leukemia: a population-based analysis of the Austrian </w:t>
      </w:r>
      <w:proofErr w:type="spellStart"/>
      <w:r w:rsidRPr="0050769D">
        <w:rPr>
          <w:lang w:val="en-US"/>
        </w:rPr>
        <w:t>Berlin-Frankfurt-Mu¨nster</w:t>
      </w:r>
      <w:proofErr w:type="spellEnd"/>
      <w:r w:rsidRPr="0050769D">
        <w:rPr>
          <w:lang w:val="en-US"/>
        </w:rPr>
        <w:t xml:space="preserve"> study group. Leukemia 2009; 23: 1264–1269; doi:10.1038/leu.2009.12</w:t>
      </w:r>
    </w:p>
    <w:p w14:paraId="63479E18" w14:textId="2E11AC90" w:rsidR="0050769D" w:rsidRPr="0050769D" w:rsidRDefault="0050769D" w:rsidP="00751733">
      <w:pPr>
        <w:jc w:val="both"/>
        <w:rPr>
          <w:lang w:val="en-US"/>
        </w:rPr>
      </w:pPr>
      <w:r w:rsidRPr="0050769D">
        <w:rPr>
          <w:lang w:val="en-US"/>
        </w:rPr>
        <w:t>13.</w:t>
      </w:r>
      <w:r>
        <w:rPr>
          <w:lang w:val="en-US"/>
        </w:rPr>
        <w:t xml:space="preserve"> </w:t>
      </w:r>
      <w:r w:rsidRPr="0050769D">
        <w:rPr>
          <w:lang w:val="en-US"/>
        </w:rPr>
        <w:t xml:space="preserve">Mo¨ </w:t>
      </w:r>
      <w:proofErr w:type="spellStart"/>
      <w:r w:rsidRPr="0050769D">
        <w:rPr>
          <w:lang w:val="en-US"/>
        </w:rPr>
        <w:t>ricke</w:t>
      </w:r>
      <w:proofErr w:type="spellEnd"/>
      <w:r w:rsidRPr="0050769D">
        <w:rPr>
          <w:lang w:val="en-US"/>
        </w:rPr>
        <w:t xml:space="preserve"> A, Zimmermann M, Reiter A, et al: Long-term results of five consecutive trials in childhood acute lymphoblastic leukemia performed by the ALL-BFM study group from 1981 to 2000. Leukemia 2010; 24:265-284.</w:t>
      </w:r>
    </w:p>
    <w:p w14:paraId="1B40FA11" w14:textId="1BED6C90" w:rsidR="0050769D" w:rsidRPr="0050769D" w:rsidRDefault="0050769D" w:rsidP="00751733">
      <w:pPr>
        <w:jc w:val="both"/>
        <w:rPr>
          <w:lang w:val="en-US"/>
        </w:rPr>
      </w:pPr>
      <w:r w:rsidRPr="0050769D">
        <w:rPr>
          <w:lang w:val="en-US"/>
        </w:rPr>
        <w:t>14.</w:t>
      </w:r>
      <w:r>
        <w:rPr>
          <w:lang w:val="en-US"/>
        </w:rPr>
        <w:t xml:space="preserve"> </w:t>
      </w:r>
      <w:proofErr w:type="spellStart"/>
      <w:r w:rsidRPr="0050769D">
        <w:rPr>
          <w:lang w:val="en-US"/>
        </w:rPr>
        <w:t>Riehm</w:t>
      </w:r>
      <w:proofErr w:type="spellEnd"/>
      <w:r w:rsidRPr="0050769D">
        <w:rPr>
          <w:lang w:val="en-US"/>
        </w:rPr>
        <w:t xml:space="preserve"> H, Reiter A, </w:t>
      </w:r>
      <w:proofErr w:type="spellStart"/>
      <w:r w:rsidRPr="0050769D">
        <w:rPr>
          <w:lang w:val="en-US"/>
        </w:rPr>
        <w:t>Schrappe</w:t>
      </w:r>
      <w:proofErr w:type="spellEnd"/>
      <w:r w:rsidRPr="0050769D">
        <w:rPr>
          <w:lang w:val="en-US"/>
        </w:rPr>
        <w:t xml:space="preserve"> M, et al: Corticosteroid-dependent reduction of leukocyte count in blood as a prognostic factor in acute lymphoblastic leukemia in childhood (therapy study ALL-BFM 83) [in German]. </w:t>
      </w:r>
      <w:proofErr w:type="spellStart"/>
      <w:r w:rsidRPr="0050769D">
        <w:rPr>
          <w:lang w:val="en-US"/>
        </w:rPr>
        <w:t>Klin</w:t>
      </w:r>
      <w:proofErr w:type="spellEnd"/>
      <w:r w:rsidRPr="0050769D">
        <w:rPr>
          <w:lang w:val="en-US"/>
        </w:rPr>
        <w:t xml:space="preserve"> Pa¨ </w:t>
      </w:r>
      <w:proofErr w:type="spellStart"/>
      <w:r w:rsidRPr="0050769D">
        <w:rPr>
          <w:lang w:val="en-US"/>
        </w:rPr>
        <w:t>diatr</w:t>
      </w:r>
      <w:proofErr w:type="spellEnd"/>
      <w:r w:rsidRPr="0050769D">
        <w:rPr>
          <w:lang w:val="en-US"/>
        </w:rPr>
        <w:t xml:space="preserve"> 1987; 199:151-160,</w:t>
      </w:r>
    </w:p>
    <w:p w14:paraId="16CB4EEA" w14:textId="5845E2EE" w:rsidR="0050769D" w:rsidRPr="0050769D" w:rsidRDefault="0050769D" w:rsidP="00751733">
      <w:pPr>
        <w:jc w:val="both"/>
        <w:rPr>
          <w:lang w:val="en-US"/>
        </w:rPr>
      </w:pPr>
      <w:r w:rsidRPr="0050769D">
        <w:rPr>
          <w:lang w:val="en-US"/>
        </w:rPr>
        <w:lastRenderedPageBreak/>
        <w:t>15.</w:t>
      </w:r>
      <w:r>
        <w:rPr>
          <w:lang w:val="en-US"/>
        </w:rPr>
        <w:t xml:space="preserve"> </w:t>
      </w:r>
      <w:r w:rsidRPr="0050769D">
        <w:rPr>
          <w:lang w:val="en-US"/>
        </w:rPr>
        <w:t xml:space="preserve">Mo¨ </w:t>
      </w:r>
      <w:proofErr w:type="spellStart"/>
      <w:r w:rsidRPr="0050769D">
        <w:rPr>
          <w:lang w:val="en-US"/>
        </w:rPr>
        <w:t>ricke</w:t>
      </w:r>
      <w:proofErr w:type="spellEnd"/>
      <w:r w:rsidRPr="0050769D">
        <w:rPr>
          <w:lang w:val="en-US"/>
        </w:rPr>
        <w:t xml:space="preserve"> A, Reiter A, Zimmermann M, et al: Risk-adjusted therapy of acute lymphoblastic leukemia can decrease treatment burden and improve survival: Treatment results of 2169 unselected pediatric and adolescent patients enrolled in the trial ALL-BFM 95. Blood 2008; 111:4477-4489.</w:t>
      </w:r>
    </w:p>
    <w:p w14:paraId="319995BE" w14:textId="38588FFC" w:rsidR="0050769D" w:rsidRDefault="0050769D" w:rsidP="00751733">
      <w:pPr>
        <w:jc w:val="both"/>
        <w:rPr>
          <w:lang w:val="en-US"/>
        </w:rPr>
      </w:pPr>
      <w:r w:rsidRPr="0050769D">
        <w:rPr>
          <w:lang w:val="en-US"/>
        </w:rPr>
        <w:t>16.</w:t>
      </w:r>
      <w:r>
        <w:rPr>
          <w:lang w:val="en-US"/>
        </w:rPr>
        <w:t xml:space="preserve"> </w:t>
      </w:r>
      <w:proofErr w:type="spellStart"/>
      <w:r w:rsidRPr="0050769D">
        <w:rPr>
          <w:lang w:val="en-US"/>
        </w:rPr>
        <w:t>Stary</w:t>
      </w:r>
      <w:proofErr w:type="spellEnd"/>
      <w:r w:rsidRPr="0050769D">
        <w:rPr>
          <w:lang w:val="en-US"/>
        </w:rPr>
        <w:t xml:space="preserve"> J, Zimmermann M, Campbell M, Castillo L, </w:t>
      </w:r>
      <w:proofErr w:type="spellStart"/>
      <w:r w:rsidRPr="0050769D">
        <w:rPr>
          <w:lang w:val="en-US"/>
        </w:rPr>
        <w:t>Dibar</w:t>
      </w:r>
      <w:proofErr w:type="spellEnd"/>
      <w:r w:rsidRPr="0050769D">
        <w:rPr>
          <w:lang w:val="en-US"/>
        </w:rPr>
        <w:t xml:space="preserve"> E, </w:t>
      </w:r>
      <w:proofErr w:type="spellStart"/>
      <w:r w:rsidRPr="0050769D">
        <w:rPr>
          <w:lang w:val="en-US"/>
        </w:rPr>
        <w:t>Donska</w:t>
      </w:r>
      <w:proofErr w:type="spellEnd"/>
      <w:r w:rsidRPr="0050769D">
        <w:rPr>
          <w:lang w:val="en-US"/>
        </w:rPr>
        <w:t xml:space="preserve"> S, and Et Al. Intensive Chemotherapy for Childhood Acute Lymphoblastic Leukemia: Results of the Randomized Intercontinental Trial ALL IC-BFM 2002. J </w:t>
      </w:r>
      <w:proofErr w:type="spellStart"/>
      <w:r w:rsidRPr="0050769D">
        <w:rPr>
          <w:lang w:val="en-US"/>
        </w:rPr>
        <w:t>Clin</w:t>
      </w:r>
      <w:proofErr w:type="spellEnd"/>
      <w:r w:rsidRPr="0050769D">
        <w:rPr>
          <w:lang w:val="en-US"/>
        </w:rPr>
        <w:t xml:space="preserve"> Oncol </w:t>
      </w:r>
      <w:proofErr w:type="gramStart"/>
      <w:r w:rsidRPr="0050769D">
        <w:rPr>
          <w:lang w:val="en-US"/>
        </w:rPr>
        <w:t>20013;32:174</w:t>
      </w:r>
      <w:proofErr w:type="gramEnd"/>
      <w:r w:rsidRPr="0050769D">
        <w:rPr>
          <w:lang w:val="en-US"/>
        </w:rPr>
        <w:t>-184. DOI: 10.1200/JCO.2013.48.6522.</w:t>
      </w:r>
    </w:p>
    <w:p w14:paraId="3E50D7EF" w14:textId="4E66C8F7" w:rsidR="0050769D" w:rsidRPr="0050769D" w:rsidRDefault="0050769D" w:rsidP="00751733">
      <w:pPr>
        <w:jc w:val="both"/>
        <w:rPr>
          <w:lang w:val="en-US"/>
        </w:rPr>
      </w:pPr>
      <w:r w:rsidRPr="0050769D">
        <w:rPr>
          <w:lang w:val="en-US"/>
        </w:rPr>
        <w:t>17.</w:t>
      </w:r>
      <w:r>
        <w:rPr>
          <w:lang w:val="en-US"/>
        </w:rPr>
        <w:t xml:space="preserve"> </w:t>
      </w:r>
      <w:proofErr w:type="spellStart"/>
      <w:r w:rsidRPr="0050769D">
        <w:rPr>
          <w:lang w:val="en-US"/>
        </w:rPr>
        <w:t>Rahat</w:t>
      </w:r>
      <w:proofErr w:type="spellEnd"/>
      <w:r w:rsidRPr="0050769D">
        <w:rPr>
          <w:lang w:val="en-US"/>
        </w:rPr>
        <w:t>-</w:t>
      </w:r>
      <w:proofErr w:type="spellStart"/>
      <w:r w:rsidRPr="0050769D">
        <w:rPr>
          <w:lang w:val="en-US"/>
        </w:rPr>
        <w:t>Ul</w:t>
      </w:r>
      <w:proofErr w:type="spellEnd"/>
      <w:r w:rsidRPr="0050769D">
        <w:rPr>
          <w:lang w:val="en-US"/>
        </w:rPr>
        <w:t xml:space="preserve">-Ain, </w:t>
      </w:r>
      <w:proofErr w:type="spellStart"/>
      <w:r w:rsidRPr="0050769D">
        <w:rPr>
          <w:lang w:val="en-US"/>
        </w:rPr>
        <w:t>Mahwish</w:t>
      </w:r>
      <w:proofErr w:type="spellEnd"/>
      <w:r w:rsidRPr="0050769D">
        <w:rPr>
          <w:lang w:val="en-US"/>
        </w:rPr>
        <w:t xml:space="preserve"> </w:t>
      </w:r>
      <w:proofErr w:type="spellStart"/>
      <w:r w:rsidRPr="0050769D">
        <w:rPr>
          <w:lang w:val="en-US"/>
        </w:rPr>
        <w:t>Faizan</w:t>
      </w:r>
      <w:proofErr w:type="spellEnd"/>
      <w:r w:rsidRPr="0050769D">
        <w:rPr>
          <w:lang w:val="en-US"/>
        </w:rPr>
        <w:t xml:space="preserve">, </w:t>
      </w:r>
      <w:proofErr w:type="spellStart"/>
      <w:r w:rsidRPr="0050769D">
        <w:rPr>
          <w:lang w:val="en-US"/>
        </w:rPr>
        <w:t>Wasila</w:t>
      </w:r>
      <w:proofErr w:type="spellEnd"/>
      <w:r w:rsidRPr="0050769D">
        <w:rPr>
          <w:lang w:val="en-US"/>
        </w:rPr>
        <w:t xml:space="preserve"> </w:t>
      </w:r>
      <w:proofErr w:type="spellStart"/>
      <w:r w:rsidRPr="0050769D">
        <w:rPr>
          <w:lang w:val="en-US"/>
        </w:rPr>
        <w:t>Shamim.Treatment</w:t>
      </w:r>
      <w:proofErr w:type="spellEnd"/>
      <w:r w:rsidRPr="0050769D">
        <w:rPr>
          <w:lang w:val="en-US"/>
        </w:rPr>
        <w:t xml:space="preserve">-related mortality in children with acute lymphoblastic </w:t>
      </w:r>
      <w:proofErr w:type="spellStart"/>
      <w:r w:rsidRPr="0050769D">
        <w:rPr>
          <w:lang w:val="en-US"/>
        </w:rPr>
        <w:t>leukaemia</w:t>
      </w:r>
      <w:proofErr w:type="spellEnd"/>
      <w:r w:rsidRPr="0050769D">
        <w:rPr>
          <w:lang w:val="en-US"/>
        </w:rPr>
        <w:t xml:space="preserve"> in a low-middle income country. Pak Med </w:t>
      </w:r>
      <w:proofErr w:type="spellStart"/>
      <w:r w:rsidRPr="0050769D">
        <w:rPr>
          <w:lang w:val="en-US"/>
        </w:rPr>
        <w:t>Assoc</w:t>
      </w:r>
      <w:proofErr w:type="spellEnd"/>
      <w:r w:rsidRPr="0050769D">
        <w:rPr>
          <w:lang w:val="en-US"/>
        </w:rPr>
        <w:t xml:space="preserve"> 2021;71: 2373 DOI: https://doi.org/10.47391/JPMA.79671: 2373; 2021.</w:t>
      </w:r>
    </w:p>
    <w:p w14:paraId="30A39989" w14:textId="0D9C6A5E" w:rsidR="0050769D" w:rsidRPr="0050769D" w:rsidRDefault="0050769D" w:rsidP="00751733">
      <w:pPr>
        <w:jc w:val="both"/>
        <w:rPr>
          <w:lang w:val="en-US"/>
        </w:rPr>
      </w:pPr>
      <w:r w:rsidRPr="0050769D">
        <w:rPr>
          <w:lang w:val="en-US"/>
        </w:rPr>
        <w:t>18.</w:t>
      </w:r>
      <w:r>
        <w:rPr>
          <w:lang w:val="en-US"/>
        </w:rPr>
        <w:t xml:space="preserve"> </w:t>
      </w:r>
      <w:r w:rsidRPr="0050769D">
        <w:rPr>
          <w:lang w:val="en-US"/>
        </w:rPr>
        <w:t xml:space="preserve">Treatment-Related Mortality in Children </w:t>
      </w:r>
      <w:proofErr w:type="gramStart"/>
      <w:r w:rsidRPr="0050769D">
        <w:rPr>
          <w:lang w:val="en-US"/>
        </w:rPr>
        <w:t>With</w:t>
      </w:r>
      <w:proofErr w:type="gramEnd"/>
      <w:r w:rsidRPr="0050769D">
        <w:rPr>
          <w:lang w:val="en-US"/>
        </w:rPr>
        <w:t xml:space="preserve"> Acute Lymphoblastic Leukemia in Central America. Gupta S, </w:t>
      </w:r>
      <w:proofErr w:type="spellStart"/>
      <w:r w:rsidRPr="0050769D">
        <w:rPr>
          <w:lang w:val="en-US"/>
        </w:rPr>
        <w:t>Antillon</w:t>
      </w:r>
      <w:proofErr w:type="spellEnd"/>
      <w:r w:rsidRPr="0050769D">
        <w:rPr>
          <w:lang w:val="en-US"/>
        </w:rPr>
        <w:t xml:space="preserve"> FA, Bonilla M, Fu L, Howard SC, Ribeiro RC, and Sung L. Cancer 2011;117:4788–95. DOI: 10.1002/cncr.26107.</w:t>
      </w:r>
    </w:p>
    <w:sectPr w:rsidR="0050769D" w:rsidRPr="0050769D">
      <w:footerReference w:type="even" r:id="rId21"/>
      <w:footerReference w:type="default" r:id="rId22"/>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94C33A" w14:textId="77777777" w:rsidR="00F2597A" w:rsidRDefault="00F2597A">
      <w:pPr>
        <w:spacing w:line="240" w:lineRule="auto"/>
      </w:pPr>
      <w:r>
        <w:separator/>
      </w:r>
    </w:p>
  </w:endnote>
  <w:endnote w:type="continuationSeparator" w:id="0">
    <w:p w14:paraId="391D6F7D" w14:textId="77777777" w:rsidR="00F2597A" w:rsidRDefault="00F259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altName w:val="Calibri"/>
    <w:panose1 w:val="020B06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454637418"/>
      <w:docPartObj>
        <w:docPartGallery w:val="Page Numbers (Bottom of Page)"/>
        <w:docPartUnique/>
      </w:docPartObj>
    </w:sdtPr>
    <w:sdtEndPr>
      <w:rPr>
        <w:rStyle w:val="Nmerodepgina"/>
      </w:rPr>
    </w:sdtEndPr>
    <w:sdtContent>
      <w:p w14:paraId="4828D8E8" w14:textId="0424D765" w:rsidR="002377B5" w:rsidRDefault="002377B5" w:rsidP="009A0507">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521B5FAB" w14:textId="77777777" w:rsidR="002377B5" w:rsidRDefault="002377B5" w:rsidP="002377B5">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9CF393" w14:textId="77EA8082" w:rsidR="002377B5" w:rsidRDefault="002377B5">
    <w:pPr>
      <w:pStyle w:val="Piedepgina"/>
      <w:jc w:val="center"/>
      <w:rPr>
        <w:caps/>
        <w:color w:val="4F81BD" w:themeColor="accen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71724C" w14:textId="77777777" w:rsidR="00F2597A" w:rsidRDefault="00F2597A">
      <w:pPr>
        <w:spacing w:line="240" w:lineRule="auto"/>
      </w:pPr>
      <w:r>
        <w:separator/>
      </w:r>
    </w:p>
  </w:footnote>
  <w:footnote w:type="continuationSeparator" w:id="0">
    <w:p w14:paraId="7335DEE5" w14:textId="77777777" w:rsidR="00F2597A" w:rsidRDefault="00F2597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677B15"/>
    <w:multiLevelType w:val="hybridMultilevel"/>
    <w:tmpl w:val="D2D245F8"/>
    <w:lvl w:ilvl="0" w:tplc="A01869F2">
      <w:numFmt w:val="bullet"/>
      <w:lvlText w:val="•"/>
      <w:lvlJc w:val="left"/>
      <w:pPr>
        <w:ind w:left="720" w:hanging="360"/>
      </w:pPr>
      <w:rPr>
        <w:rFonts w:ascii="Arial" w:eastAsia="Arial"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79B3BCC"/>
    <w:multiLevelType w:val="multilevel"/>
    <w:tmpl w:val="686A15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17006F1"/>
    <w:multiLevelType w:val="hybridMultilevel"/>
    <w:tmpl w:val="082E1062"/>
    <w:lvl w:ilvl="0" w:tplc="A01869F2">
      <w:numFmt w:val="bullet"/>
      <w:lvlText w:val="•"/>
      <w:lvlJc w:val="left"/>
      <w:pPr>
        <w:ind w:left="720" w:hanging="360"/>
      </w:pPr>
      <w:rPr>
        <w:rFonts w:ascii="Arial" w:eastAsia="Arial"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1950D36"/>
    <w:multiLevelType w:val="multilevel"/>
    <w:tmpl w:val="18E8F5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3AE1306"/>
    <w:multiLevelType w:val="hybridMultilevel"/>
    <w:tmpl w:val="DD8E3C4C"/>
    <w:lvl w:ilvl="0" w:tplc="A01869F2">
      <w:numFmt w:val="bullet"/>
      <w:lvlText w:val="•"/>
      <w:lvlJc w:val="left"/>
      <w:pPr>
        <w:ind w:left="720" w:hanging="360"/>
      </w:pPr>
      <w:rPr>
        <w:rFonts w:ascii="Arial" w:eastAsia="Arial"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914157E"/>
    <w:multiLevelType w:val="multilevel"/>
    <w:tmpl w:val="740080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30EA3F50"/>
    <w:multiLevelType w:val="multilevel"/>
    <w:tmpl w:val="4C1C30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 w15:restartNumberingAfterBreak="0">
    <w:nsid w:val="343D5449"/>
    <w:multiLevelType w:val="hybridMultilevel"/>
    <w:tmpl w:val="5C8AB426"/>
    <w:lvl w:ilvl="0" w:tplc="D51A009C">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47071E58"/>
    <w:multiLevelType w:val="multilevel"/>
    <w:tmpl w:val="82F8F8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4E05D7A"/>
    <w:multiLevelType w:val="multilevel"/>
    <w:tmpl w:val="9114176C"/>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B175DE0"/>
    <w:multiLevelType w:val="hybridMultilevel"/>
    <w:tmpl w:val="5A7487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683E58A5"/>
    <w:multiLevelType w:val="hybridMultilevel"/>
    <w:tmpl w:val="0E4E3F82"/>
    <w:lvl w:ilvl="0" w:tplc="6FDEF150">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2" w15:restartNumberingAfterBreak="0">
    <w:nsid w:val="6AB03305"/>
    <w:multiLevelType w:val="hybridMultilevel"/>
    <w:tmpl w:val="E7EAB5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6DB1644B"/>
    <w:multiLevelType w:val="hybridMultilevel"/>
    <w:tmpl w:val="C248EB5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15:restartNumberingAfterBreak="0">
    <w:nsid w:val="6E103DBB"/>
    <w:multiLevelType w:val="hybridMultilevel"/>
    <w:tmpl w:val="EC4472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6"/>
  </w:num>
  <w:num w:numId="4">
    <w:abstractNumId w:val="9"/>
  </w:num>
  <w:num w:numId="5">
    <w:abstractNumId w:val="8"/>
  </w:num>
  <w:num w:numId="6">
    <w:abstractNumId w:val="3"/>
  </w:num>
  <w:num w:numId="7">
    <w:abstractNumId w:val="14"/>
  </w:num>
  <w:num w:numId="8">
    <w:abstractNumId w:val="12"/>
  </w:num>
  <w:num w:numId="9">
    <w:abstractNumId w:val="10"/>
  </w:num>
  <w:num w:numId="10">
    <w:abstractNumId w:val="0"/>
  </w:num>
  <w:num w:numId="11">
    <w:abstractNumId w:val="2"/>
  </w:num>
  <w:num w:numId="12">
    <w:abstractNumId w:val="4"/>
  </w:num>
  <w:num w:numId="13">
    <w:abstractNumId w:val="11"/>
  </w:num>
  <w:num w:numId="14">
    <w:abstractNumId w:val="13"/>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7D47"/>
    <w:rsid w:val="0004759F"/>
    <w:rsid w:val="00047D47"/>
    <w:rsid w:val="000C0B9E"/>
    <w:rsid w:val="001628CF"/>
    <w:rsid w:val="002377B5"/>
    <w:rsid w:val="00262194"/>
    <w:rsid w:val="0034149E"/>
    <w:rsid w:val="003F5955"/>
    <w:rsid w:val="004151AE"/>
    <w:rsid w:val="00453FAB"/>
    <w:rsid w:val="00472D8E"/>
    <w:rsid w:val="004D3A6F"/>
    <w:rsid w:val="004D445B"/>
    <w:rsid w:val="004F275F"/>
    <w:rsid w:val="0050769D"/>
    <w:rsid w:val="005B3B86"/>
    <w:rsid w:val="005F7B3A"/>
    <w:rsid w:val="00641786"/>
    <w:rsid w:val="0072119C"/>
    <w:rsid w:val="00751733"/>
    <w:rsid w:val="00807136"/>
    <w:rsid w:val="008949D1"/>
    <w:rsid w:val="009542C4"/>
    <w:rsid w:val="00962B03"/>
    <w:rsid w:val="009F2812"/>
    <w:rsid w:val="00A02C02"/>
    <w:rsid w:val="00A10373"/>
    <w:rsid w:val="00A93FB1"/>
    <w:rsid w:val="00B40DC2"/>
    <w:rsid w:val="00C91753"/>
    <w:rsid w:val="00DE2BF9"/>
    <w:rsid w:val="00E05B71"/>
    <w:rsid w:val="00E2327E"/>
    <w:rsid w:val="00E61FBD"/>
    <w:rsid w:val="00E6428B"/>
    <w:rsid w:val="00E863A3"/>
    <w:rsid w:val="00EA6771"/>
    <w:rsid w:val="00EE1C53"/>
    <w:rsid w:val="00F2597A"/>
    <w:rsid w:val="00F8361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D3B1F"/>
  <w15:docId w15:val="{640FB04A-6D14-9741-BBE4-B79EF7B74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MX"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rsid w:val="0004759F"/>
    <w:pPr>
      <w:keepNext/>
      <w:keepLines/>
      <w:spacing w:before="400" w:after="120"/>
      <w:outlineLvl w:val="0"/>
    </w:pPr>
    <w:rPr>
      <w:b/>
      <w:sz w:val="24"/>
      <w:szCs w:val="40"/>
    </w:rPr>
  </w:style>
  <w:style w:type="paragraph" w:styleId="Ttulo2">
    <w:name w:val="heading 2"/>
    <w:basedOn w:val="Normal"/>
    <w:next w:val="Normal"/>
    <w:uiPriority w:val="9"/>
    <w:unhideWhenUsed/>
    <w:qFormat/>
    <w:rsid w:val="0004759F"/>
    <w:pPr>
      <w:keepNext/>
      <w:keepLines/>
      <w:spacing w:before="120"/>
      <w:outlineLvl w:val="1"/>
    </w:pPr>
    <w:rPr>
      <w:sz w:val="24"/>
      <w:szCs w:val="32"/>
      <w:u w:val="single"/>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paragraph" w:styleId="Prrafodelista">
    <w:name w:val="List Paragraph"/>
    <w:basedOn w:val="Normal"/>
    <w:uiPriority w:val="34"/>
    <w:qFormat/>
    <w:rsid w:val="008949D1"/>
    <w:pPr>
      <w:ind w:left="720"/>
      <w:contextualSpacing/>
    </w:pPr>
  </w:style>
  <w:style w:type="character" w:customStyle="1" w:styleId="apple-converted-space">
    <w:name w:val="apple-converted-space"/>
    <w:basedOn w:val="Fuentedeprrafopredeter"/>
    <w:rsid w:val="000C0B9E"/>
  </w:style>
  <w:style w:type="character" w:styleId="Textoennegrita">
    <w:name w:val="Strong"/>
    <w:basedOn w:val="Fuentedeprrafopredeter"/>
    <w:uiPriority w:val="22"/>
    <w:qFormat/>
    <w:rsid w:val="000C0B9E"/>
    <w:rPr>
      <w:b/>
      <w:bCs/>
    </w:rPr>
  </w:style>
  <w:style w:type="paragraph" w:styleId="NormalWeb">
    <w:name w:val="Normal (Web)"/>
    <w:basedOn w:val="Normal"/>
    <w:uiPriority w:val="99"/>
    <w:unhideWhenUsed/>
    <w:rsid w:val="004D445B"/>
    <w:pPr>
      <w:spacing w:before="100" w:beforeAutospacing="1" w:after="100" w:afterAutospacing="1" w:line="240" w:lineRule="auto"/>
    </w:pPr>
    <w:rPr>
      <w:rFonts w:ascii="Times New Roman" w:eastAsia="Times New Roman" w:hAnsi="Times New Roman" w:cs="Times New Roman"/>
      <w:sz w:val="24"/>
      <w:szCs w:val="24"/>
      <w:lang w:val="es-CO"/>
    </w:rPr>
  </w:style>
  <w:style w:type="paragraph" w:styleId="Encabezado">
    <w:name w:val="header"/>
    <w:basedOn w:val="Normal"/>
    <w:link w:val="EncabezadoCar"/>
    <w:uiPriority w:val="99"/>
    <w:unhideWhenUsed/>
    <w:rsid w:val="002377B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377B5"/>
  </w:style>
  <w:style w:type="paragraph" w:styleId="Piedepgina">
    <w:name w:val="footer"/>
    <w:basedOn w:val="Normal"/>
    <w:link w:val="PiedepginaCar"/>
    <w:uiPriority w:val="99"/>
    <w:unhideWhenUsed/>
    <w:rsid w:val="002377B5"/>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377B5"/>
  </w:style>
  <w:style w:type="character" w:styleId="Nmerodepgina">
    <w:name w:val="page number"/>
    <w:basedOn w:val="Fuentedeprrafopredeter"/>
    <w:uiPriority w:val="99"/>
    <w:semiHidden/>
    <w:unhideWhenUsed/>
    <w:rsid w:val="002377B5"/>
  </w:style>
  <w:style w:type="paragraph" w:styleId="TtuloTDC">
    <w:name w:val="TOC Heading"/>
    <w:basedOn w:val="Ttulo1"/>
    <w:next w:val="Normal"/>
    <w:uiPriority w:val="39"/>
    <w:unhideWhenUsed/>
    <w:qFormat/>
    <w:rsid w:val="0004759F"/>
    <w:pPr>
      <w:spacing w:before="480" w:after="0"/>
      <w:outlineLvl w:val="9"/>
    </w:pPr>
    <w:rPr>
      <w:rFonts w:asciiTheme="majorHAnsi" w:eastAsiaTheme="majorEastAsia" w:hAnsiTheme="majorHAnsi" w:cstheme="majorBidi"/>
      <w:bCs/>
      <w:color w:val="365F91" w:themeColor="accent1" w:themeShade="BF"/>
      <w:sz w:val="28"/>
      <w:szCs w:val="28"/>
      <w:lang w:val="es-CO"/>
    </w:rPr>
  </w:style>
  <w:style w:type="paragraph" w:styleId="TDC1">
    <w:name w:val="toc 1"/>
    <w:basedOn w:val="Normal"/>
    <w:next w:val="Normal"/>
    <w:autoRedefine/>
    <w:uiPriority w:val="39"/>
    <w:unhideWhenUsed/>
    <w:rsid w:val="0004759F"/>
    <w:pPr>
      <w:spacing w:before="120"/>
    </w:pPr>
    <w:rPr>
      <w:rFonts w:asciiTheme="minorHAnsi" w:hAnsiTheme="minorHAnsi"/>
      <w:b/>
      <w:bCs/>
      <w:i/>
      <w:iCs/>
      <w:sz w:val="24"/>
      <w:szCs w:val="24"/>
    </w:rPr>
  </w:style>
  <w:style w:type="paragraph" w:styleId="TDC3">
    <w:name w:val="toc 3"/>
    <w:basedOn w:val="Normal"/>
    <w:next w:val="Normal"/>
    <w:autoRedefine/>
    <w:uiPriority w:val="39"/>
    <w:unhideWhenUsed/>
    <w:rsid w:val="0004759F"/>
    <w:pPr>
      <w:ind w:left="440"/>
    </w:pPr>
    <w:rPr>
      <w:rFonts w:asciiTheme="minorHAnsi" w:hAnsiTheme="minorHAnsi"/>
      <w:sz w:val="20"/>
      <w:szCs w:val="20"/>
    </w:rPr>
  </w:style>
  <w:style w:type="character" w:styleId="Hipervnculo">
    <w:name w:val="Hyperlink"/>
    <w:basedOn w:val="Fuentedeprrafopredeter"/>
    <w:uiPriority w:val="99"/>
    <w:unhideWhenUsed/>
    <w:rsid w:val="0004759F"/>
    <w:rPr>
      <w:color w:val="0000FF" w:themeColor="hyperlink"/>
      <w:u w:val="single"/>
    </w:rPr>
  </w:style>
  <w:style w:type="paragraph" w:styleId="TDC2">
    <w:name w:val="toc 2"/>
    <w:basedOn w:val="Normal"/>
    <w:next w:val="Normal"/>
    <w:autoRedefine/>
    <w:uiPriority w:val="39"/>
    <w:unhideWhenUsed/>
    <w:rsid w:val="0004759F"/>
    <w:pPr>
      <w:spacing w:before="120"/>
      <w:ind w:left="220"/>
    </w:pPr>
    <w:rPr>
      <w:rFonts w:asciiTheme="minorHAnsi" w:hAnsiTheme="minorHAnsi"/>
      <w:b/>
      <w:bCs/>
    </w:rPr>
  </w:style>
  <w:style w:type="paragraph" w:styleId="TDC4">
    <w:name w:val="toc 4"/>
    <w:basedOn w:val="Normal"/>
    <w:next w:val="Normal"/>
    <w:autoRedefine/>
    <w:uiPriority w:val="39"/>
    <w:semiHidden/>
    <w:unhideWhenUsed/>
    <w:rsid w:val="0004759F"/>
    <w:pPr>
      <w:ind w:left="660"/>
    </w:pPr>
    <w:rPr>
      <w:rFonts w:asciiTheme="minorHAnsi" w:hAnsiTheme="minorHAnsi"/>
      <w:sz w:val="20"/>
      <w:szCs w:val="20"/>
    </w:rPr>
  </w:style>
  <w:style w:type="paragraph" w:styleId="TDC5">
    <w:name w:val="toc 5"/>
    <w:basedOn w:val="Normal"/>
    <w:next w:val="Normal"/>
    <w:autoRedefine/>
    <w:uiPriority w:val="39"/>
    <w:semiHidden/>
    <w:unhideWhenUsed/>
    <w:rsid w:val="0004759F"/>
    <w:pPr>
      <w:ind w:left="880"/>
    </w:pPr>
    <w:rPr>
      <w:rFonts w:asciiTheme="minorHAnsi" w:hAnsiTheme="minorHAnsi"/>
      <w:sz w:val="20"/>
      <w:szCs w:val="20"/>
    </w:rPr>
  </w:style>
  <w:style w:type="paragraph" w:styleId="TDC6">
    <w:name w:val="toc 6"/>
    <w:basedOn w:val="Normal"/>
    <w:next w:val="Normal"/>
    <w:autoRedefine/>
    <w:uiPriority w:val="39"/>
    <w:semiHidden/>
    <w:unhideWhenUsed/>
    <w:rsid w:val="0004759F"/>
    <w:pPr>
      <w:ind w:left="1100"/>
    </w:pPr>
    <w:rPr>
      <w:rFonts w:asciiTheme="minorHAnsi" w:hAnsiTheme="minorHAnsi"/>
      <w:sz w:val="20"/>
      <w:szCs w:val="20"/>
    </w:rPr>
  </w:style>
  <w:style w:type="paragraph" w:styleId="TDC7">
    <w:name w:val="toc 7"/>
    <w:basedOn w:val="Normal"/>
    <w:next w:val="Normal"/>
    <w:autoRedefine/>
    <w:uiPriority w:val="39"/>
    <w:semiHidden/>
    <w:unhideWhenUsed/>
    <w:rsid w:val="0004759F"/>
    <w:pPr>
      <w:ind w:left="1320"/>
    </w:pPr>
    <w:rPr>
      <w:rFonts w:asciiTheme="minorHAnsi" w:hAnsiTheme="minorHAnsi"/>
      <w:sz w:val="20"/>
      <w:szCs w:val="20"/>
    </w:rPr>
  </w:style>
  <w:style w:type="paragraph" w:styleId="TDC8">
    <w:name w:val="toc 8"/>
    <w:basedOn w:val="Normal"/>
    <w:next w:val="Normal"/>
    <w:autoRedefine/>
    <w:uiPriority w:val="39"/>
    <w:semiHidden/>
    <w:unhideWhenUsed/>
    <w:rsid w:val="0004759F"/>
    <w:pPr>
      <w:ind w:left="1540"/>
    </w:pPr>
    <w:rPr>
      <w:rFonts w:asciiTheme="minorHAnsi" w:hAnsiTheme="minorHAnsi"/>
      <w:sz w:val="20"/>
      <w:szCs w:val="20"/>
    </w:rPr>
  </w:style>
  <w:style w:type="paragraph" w:styleId="TDC9">
    <w:name w:val="toc 9"/>
    <w:basedOn w:val="Normal"/>
    <w:next w:val="Normal"/>
    <w:autoRedefine/>
    <w:uiPriority w:val="39"/>
    <w:semiHidden/>
    <w:unhideWhenUsed/>
    <w:rsid w:val="0004759F"/>
    <w:pPr>
      <w:ind w:left="176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384389">
      <w:bodyDiv w:val="1"/>
      <w:marLeft w:val="0"/>
      <w:marRight w:val="0"/>
      <w:marTop w:val="0"/>
      <w:marBottom w:val="0"/>
      <w:divBdr>
        <w:top w:val="none" w:sz="0" w:space="0" w:color="auto"/>
        <w:left w:val="none" w:sz="0" w:space="0" w:color="auto"/>
        <w:bottom w:val="none" w:sz="0" w:space="0" w:color="auto"/>
        <w:right w:val="none" w:sz="0" w:space="0" w:color="auto"/>
      </w:divBdr>
    </w:div>
    <w:div w:id="190343309">
      <w:bodyDiv w:val="1"/>
      <w:marLeft w:val="0"/>
      <w:marRight w:val="0"/>
      <w:marTop w:val="0"/>
      <w:marBottom w:val="0"/>
      <w:divBdr>
        <w:top w:val="none" w:sz="0" w:space="0" w:color="auto"/>
        <w:left w:val="none" w:sz="0" w:space="0" w:color="auto"/>
        <w:bottom w:val="none" w:sz="0" w:space="0" w:color="auto"/>
        <w:right w:val="none" w:sz="0" w:space="0" w:color="auto"/>
      </w:divBdr>
    </w:div>
    <w:div w:id="594361072">
      <w:bodyDiv w:val="1"/>
      <w:marLeft w:val="0"/>
      <w:marRight w:val="0"/>
      <w:marTop w:val="0"/>
      <w:marBottom w:val="0"/>
      <w:divBdr>
        <w:top w:val="none" w:sz="0" w:space="0" w:color="auto"/>
        <w:left w:val="none" w:sz="0" w:space="0" w:color="auto"/>
        <w:bottom w:val="none" w:sz="0" w:space="0" w:color="auto"/>
        <w:right w:val="none" w:sz="0" w:space="0" w:color="auto"/>
      </w:divBdr>
    </w:div>
    <w:div w:id="786240106">
      <w:bodyDiv w:val="1"/>
      <w:marLeft w:val="0"/>
      <w:marRight w:val="0"/>
      <w:marTop w:val="0"/>
      <w:marBottom w:val="0"/>
      <w:divBdr>
        <w:top w:val="none" w:sz="0" w:space="0" w:color="auto"/>
        <w:left w:val="none" w:sz="0" w:space="0" w:color="auto"/>
        <w:bottom w:val="none" w:sz="0" w:space="0" w:color="auto"/>
        <w:right w:val="none" w:sz="0" w:space="0" w:color="auto"/>
      </w:divBdr>
    </w:div>
    <w:div w:id="1201015974">
      <w:bodyDiv w:val="1"/>
      <w:marLeft w:val="0"/>
      <w:marRight w:val="0"/>
      <w:marTop w:val="0"/>
      <w:marBottom w:val="0"/>
      <w:divBdr>
        <w:top w:val="none" w:sz="0" w:space="0" w:color="auto"/>
        <w:left w:val="none" w:sz="0" w:space="0" w:color="auto"/>
        <w:bottom w:val="none" w:sz="0" w:space="0" w:color="auto"/>
        <w:right w:val="none" w:sz="0" w:space="0" w:color="auto"/>
      </w:divBdr>
    </w:div>
    <w:div w:id="1378432911">
      <w:bodyDiv w:val="1"/>
      <w:marLeft w:val="0"/>
      <w:marRight w:val="0"/>
      <w:marTop w:val="0"/>
      <w:marBottom w:val="0"/>
      <w:divBdr>
        <w:top w:val="none" w:sz="0" w:space="0" w:color="auto"/>
        <w:left w:val="none" w:sz="0" w:space="0" w:color="auto"/>
        <w:bottom w:val="none" w:sz="0" w:space="0" w:color="auto"/>
        <w:right w:val="none" w:sz="0" w:space="0" w:color="auto"/>
      </w:divBdr>
    </w:div>
    <w:div w:id="1378550932">
      <w:bodyDiv w:val="1"/>
      <w:marLeft w:val="0"/>
      <w:marRight w:val="0"/>
      <w:marTop w:val="0"/>
      <w:marBottom w:val="0"/>
      <w:divBdr>
        <w:top w:val="none" w:sz="0" w:space="0" w:color="auto"/>
        <w:left w:val="none" w:sz="0" w:space="0" w:color="auto"/>
        <w:bottom w:val="none" w:sz="0" w:space="0" w:color="auto"/>
        <w:right w:val="none" w:sz="0" w:space="0" w:color="auto"/>
      </w:divBdr>
    </w:div>
    <w:div w:id="1784687612">
      <w:bodyDiv w:val="1"/>
      <w:marLeft w:val="0"/>
      <w:marRight w:val="0"/>
      <w:marTop w:val="0"/>
      <w:marBottom w:val="0"/>
      <w:divBdr>
        <w:top w:val="none" w:sz="0" w:space="0" w:color="auto"/>
        <w:left w:val="none" w:sz="0" w:space="0" w:color="auto"/>
        <w:bottom w:val="none" w:sz="0" w:space="0" w:color="auto"/>
        <w:right w:val="none" w:sz="0" w:space="0" w:color="auto"/>
      </w:divBdr>
    </w:div>
    <w:div w:id="1901745546">
      <w:bodyDiv w:val="1"/>
      <w:marLeft w:val="0"/>
      <w:marRight w:val="0"/>
      <w:marTop w:val="0"/>
      <w:marBottom w:val="0"/>
      <w:divBdr>
        <w:top w:val="none" w:sz="0" w:space="0" w:color="auto"/>
        <w:left w:val="none" w:sz="0" w:space="0" w:color="auto"/>
        <w:bottom w:val="none" w:sz="0" w:space="0" w:color="auto"/>
        <w:right w:val="none" w:sz="0" w:space="0" w:color="auto"/>
      </w:divBdr>
    </w:div>
    <w:div w:id="1981154772">
      <w:bodyDiv w:val="1"/>
      <w:marLeft w:val="0"/>
      <w:marRight w:val="0"/>
      <w:marTop w:val="0"/>
      <w:marBottom w:val="0"/>
      <w:divBdr>
        <w:top w:val="none" w:sz="0" w:space="0" w:color="auto"/>
        <w:left w:val="none" w:sz="0" w:space="0" w:color="auto"/>
        <w:bottom w:val="none" w:sz="0" w:space="0" w:color="auto"/>
        <w:right w:val="none" w:sz="0" w:space="0" w:color="auto"/>
      </w:divBdr>
    </w:div>
    <w:div w:id="20754211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tiff"/><Relationship Id="rId18"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tiff"/><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34B532-0F53-E84B-90D3-A01865664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29</Pages>
  <Words>7516</Words>
  <Characters>41340</Characters>
  <Application>Microsoft Office Word</Application>
  <DocSecurity>0</DocSecurity>
  <Lines>344</Lines>
  <Paragraphs>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Maria Alejandra Agredo Lucio</cp:lastModifiedBy>
  <cp:revision>19</cp:revision>
  <cp:lastPrinted>2025-10-11T02:23:00Z</cp:lastPrinted>
  <dcterms:created xsi:type="dcterms:W3CDTF">2025-10-11T02:22:00Z</dcterms:created>
  <dcterms:modified xsi:type="dcterms:W3CDTF">2025-12-01T21:01:00Z</dcterms:modified>
</cp:coreProperties>
</file>