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87BE90" w14:textId="77777777" w:rsidR="007463F8" w:rsidRPr="007463F8" w:rsidRDefault="007463F8" w:rsidP="007463F8">
      <w:pPr>
        <w:spacing w:line="480" w:lineRule="auto"/>
        <w:jc w:val="center"/>
        <w:rPr>
          <w:rFonts w:ascii="Times New Roman" w:hAnsi="Times New Roman" w:cs="Times New Roman"/>
          <w:b/>
          <w:bCs/>
        </w:rPr>
      </w:pPr>
      <w:r w:rsidRPr="007463F8">
        <w:rPr>
          <w:rFonts w:ascii="Times New Roman" w:hAnsi="Times New Roman" w:cs="Times New Roman"/>
          <w:b/>
          <w:bCs/>
          <w:color w:val="000000"/>
        </w:rPr>
        <w:t>USO DE INFUSIÓN DE LIDOCAÍNA EN DOLOR ONCOLÓGICO DE DIFÍCIL MANEJO: REVISIÓN SISTEMÁTICA</w:t>
      </w:r>
    </w:p>
    <w:p w14:paraId="0BA6938D" w14:textId="77777777" w:rsidR="007463F8" w:rsidRPr="007463F8" w:rsidRDefault="007463F8" w:rsidP="007463F8">
      <w:pPr>
        <w:spacing w:line="480" w:lineRule="auto"/>
        <w:jc w:val="both"/>
        <w:rPr>
          <w:rFonts w:ascii="Times New Roman" w:hAnsi="Times New Roman" w:cs="Times New Roman"/>
        </w:rPr>
      </w:pPr>
    </w:p>
    <w:p w14:paraId="107737CE" w14:textId="77777777" w:rsidR="007463F8" w:rsidRPr="007463F8" w:rsidRDefault="007463F8" w:rsidP="007463F8">
      <w:pPr>
        <w:spacing w:after="240" w:line="480" w:lineRule="auto"/>
        <w:jc w:val="both"/>
        <w:rPr>
          <w:rFonts w:ascii="Times New Roman" w:hAnsi="Times New Roman" w:cs="Times New Roman"/>
          <w:color w:val="000000"/>
          <w:lang w:eastAsia="es-MX"/>
        </w:rPr>
      </w:pPr>
      <w:r w:rsidRPr="007463F8">
        <w:rPr>
          <w:rFonts w:ascii="Times New Roman" w:hAnsi="Times New Roman" w:cs="Times New Roman"/>
          <w:color w:val="000000"/>
          <w:lang w:eastAsia="es-MX"/>
        </w:rPr>
        <w:br/>
      </w:r>
    </w:p>
    <w:p w14:paraId="48A49A6D" w14:textId="77777777" w:rsidR="007463F8" w:rsidRPr="007463F8" w:rsidRDefault="007463F8" w:rsidP="007463F8">
      <w:pPr>
        <w:spacing w:after="240" w:line="480" w:lineRule="auto"/>
        <w:jc w:val="both"/>
        <w:rPr>
          <w:rFonts w:ascii="Times New Roman" w:hAnsi="Times New Roman" w:cs="Times New Roman"/>
          <w:color w:val="000000"/>
          <w:lang w:eastAsia="es-MX"/>
        </w:rPr>
      </w:pPr>
    </w:p>
    <w:p w14:paraId="0123606C" w14:textId="753E5544" w:rsidR="007463F8" w:rsidRPr="0009354B" w:rsidRDefault="007463F8" w:rsidP="0009354B">
      <w:pPr>
        <w:spacing w:line="480" w:lineRule="auto"/>
        <w:jc w:val="center"/>
        <w:rPr>
          <w:rFonts w:ascii="Times New Roman" w:hAnsi="Times New Roman" w:cs="Times New Roman"/>
          <w:color w:val="000000"/>
          <w:lang w:eastAsia="es-MX"/>
        </w:rPr>
      </w:pPr>
      <w:r w:rsidRPr="0009354B">
        <w:rPr>
          <w:rFonts w:ascii="Times New Roman" w:hAnsi="Times New Roman" w:cs="Times New Roman"/>
          <w:b/>
          <w:bCs/>
          <w:color w:val="000000"/>
          <w:lang w:eastAsia="es-MX"/>
        </w:rPr>
        <w:t>INVESTIGADOR PRINCIPAL</w:t>
      </w:r>
      <w:r w:rsidR="0009354B" w:rsidRPr="0009354B">
        <w:rPr>
          <w:rFonts w:ascii="Times New Roman" w:hAnsi="Times New Roman" w:cs="Times New Roman"/>
          <w:b/>
          <w:bCs/>
          <w:color w:val="000000"/>
          <w:lang w:eastAsia="es-MX"/>
        </w:rPr>
        <w:t xml:space="preserve">, </w:t>
      </w:r>
      <w:r w:rsidR="0009354B" w:rsidRPr="0009354B">
        <w:rPr>
          <w:rFonts w:ascii="Times New Roman" w:hAnsi="Times New Roman" w:cs="Times New Roman"/>
          <w:b/>
          <w:bCs/>
          <w:color w:val="000000"/>
          <w:lang w:eastAsia="es-MX"/>
        </w:rPr>
        <w:t>TUTOR METODOLÓGICO Y TEMÁTICO</w:t>
      </w:r>
    </w:p>
    <w:p w14:paraId="49E551A5" w14:textId="77777777" w:rsidR="007463F8" w:rsidRDefault="007463F8" w:rsidP="007463F8">
      <w:pPr>
        <w:spacing w:line="480" w:lineRule="auto"/>
        <w:jc w:val="center"/>
        <w:rPr>
          <w:rFonts w:ascii="Times New Roman" w:hAnsi="Times New Roman" w:cs="Times New Roman"/>
          <w:b/>
          <w:bCs/>
          <w:color w:val="000000"/>
          <w:lang w:eastAsia="es-MX"/>
        </w:rPr>
      </w:pPr>
      <w:r w:rsidRPr="007463F8">
        <w:rPr>
          <w:rFonts w:ascii="Times New Roman" w:hAnsi="Times New Roman" w:cs="Times New Roman"/>
          <w:b/>
          <w:bCs/>
          <w:color w:val="000000"/>
          <w:lang w:eastAsia="es-MX"/>
        </w:rPr>
        <w:t>DRA. BILENA MOLINA ARTETA</w:t>
      </w:r>
    </w:p>
    <w:p w14:paraId="3FC774A7" w14:textId="77777777" w:rsidR="007463F8" w:rsidRPr="007463F8" w:rsidRDefault="007463F8" w:rsidP="007463F8">
      <w:pPr>
        <w:spacing w:line="480" w:lineRule="auto"/>
        <w:jc w:val="center"/>
        <w:rPr>
          <w:rFonts w:ascii="Times New Roman" w:hAnsi="Times New Roman" w:cs="Times New Roman"/>
          <w:color w:val="000000"/>
          <w:lang w:eastAsia="es-MX"/>
        </w:rPr>
      </w:pPr>
    </w:p>
    <w:p w14:paraId="7D7A1695" w14:textId="7543675F" w:rsidR="007463F8" w:rsidRPr="007463F8" w:rsidRDefault="007463F8" w:rsidP="007463F8">
      <w:pPr>
        <w:spacing w:line="480" w:lineRule="auto"/>
        <w:jc w:val="center"/>
        <w:rPr>
          <w:rFonts w:ascii="Times New Roman" w:hAnsi="Times New Roman" w:cs="Times New Roman"/>
          <w:b/>
          <w:bCs/>
          <w:color w:val="000000"/>
          <w:lang w:val="es-ES" w:eastAsia="es-MX"/>
        </w:rPr>
      </w:pPr>
      <w:r w:rsidRPr="007463F8">
        <w:rPr>
          <w:rFonts w:ascii="Times New Roman" w:hAnsi="Times New Roman" w:cs="Times New Roman"/>
          <w:b/>
          <w:bCs/>
          <w:color w:val="000000"/>
          <w:lang w:val="es-ES" w:eastAsia="es-MX"/>
        </w:rPr>
        <w:t>CO INVESTIGADOR</w:t>
      </w:r>
      <w:r>
        <w:rPr>
          <w:rFonts w:ascii="Times New Roman" w:hAnsi="Times New Roman" w:cs="Times New Roman"/>
          <w:b/>
          <w:bCs/>
          <w:color w:val="000000"/>
          <w:lang w:val="es-ES" w:eastAsia="es-MX"/>
        </w:rPr>
        <w:t>ES</w:t>
      </w:r>
    </w:p>
    <w:p w14:paraId="4FC144B2" w14:textId="77777777" w:rsidR="007463F8" w:rsidRDefault="007463F8" w:rsidP="007463F8">
      <w:pPr>
        <w:spacing w:line="480" w:lineRule="auto"/>
        <w:jc w:val="center"/>
        <w:rPr>
          <w:rFonts w:ascii="Times New Roman" w:hAnsi="Times New Roman" w:cs="Times New Roman"/>
          <w:b/>
          <w:bCs/>
          <w:color w:val="000000"/>
          <w:lang w:eastAsia="es-MX"/>
        </w:rPr>
      </w:pPr>
      <w:r w:rsidRPr="007463F8">
        <w:rPr>
          <w:rFonts w:ascii="Times New Roman" w:hAnsi="Times New Roman" w:cs="Times New Roman"/>
          <w:b/>
          <w:bCs/>
          <w:color w:val="000000"/>
          <w:lang w:eastAsia="es-MX"/>
        </w:rPr>
        <w:t>DRA. VERÓNICA</w:t>
      </w:r>
      <w:r w:rsidRPr="007463F8">
        <w:rPr>
          <w:rFonts w:ascii="Times New Roman" w:hAnsi="Times New Roman" w:cs="Times New Roman"/>
          <w:b/>
          <w:bCs/>
          <w:color w:val="000000"/>
          <w:lang w:val="es-ES" w:eastAsia="es-MX"/>
        </w:rPr>
        <w:t xml:space="preserve"> </w:t>
      </w:r>
      <w:r w:rsidRPr="007463F8">
        <w:rPr>
          <w:rFonts w:ascii="Times New Roman" w:hAnsi="Times New Roman" w:cs="Times New Roman"/>
          <w:b/>
          <w:bCs/>
          <w:color w:val="000000"/>
          <w:lang w:eastAsia="es-MX"/>
        </w:rPr>
        <w:t>PÁEZ AVENDAÑO</w:t>
      </w:r>
    </w:p>
    <w:p w14:paraId="489AEA4A" w14:textId="4DB892E7" w:rsidR="007463F8" w:rsidRPr="007463F8" w:rsidRDefault="007463F8" w:rsidP="007463F8">
      <w:pPr>
        <w:spacing w:line="480" w:lineRule="auto"/>
        <w:jc w:val="center"/>
        <w:rPr>
          <w:rFonts w:ascii="Times New Roman" w:hAnsi="Times New Roman" w:cs="Times New Roman"/>
          <w:b/>
          <w:bCs/>
          <w:color w:val="000000"/>
          <w:lang w:eastAsia="es-MX"/>
        </w:rPr>
      </w:pPr>
      <w:r>
        <w:rPr>
          <w:rFonts w:ascii="Times New Roman" w:hAnsi="Times New Roman" w:cs="Times New Roman"/>
          <w:b/>
          <w:bCs/>
          <w:color w:val="000000"/>
          <w:lang w:eastAsia="es-MX"/>
        </w:rPr>
        <w:t>DRA. LAURA MANUELA RAMÍREZ RODRÍGUEZ</w:t>
      </w:r>
    </w:p>
    <w:p w14:paraId="4475302A" w14:textId="77777777" w:rsidR="007463F8" w:rsidRPr="007463F8" w:rsidRDefault="007463F8" w:rsidP="007463F8">
      <w:pPr>
        <w:spacing w:line="480" w:lineRule="auto"/>
        <w:jc w:val="both"/>
        <w:rPr>
          <w:rFonts w:ascii="Times New Roman" w:hAnsi="Times New Roman" w:cs="Times New Roman"/>
          <w:color w:val="000000"/>
          <w:lang w:eastAsia="es-MX"/>
        </w:rPr>
      </w:pPr>
    </w:p>
    <w:p w14:paraId="5267C957" w14:textId="77777777" w:rsidR="007463F8" w:rsidRDefault="007463F8" w:rsidP="007463F8">
      <w:pPr>
        <w:spacing w:line="480" w:lineRule="auto"/>
        <w:jc w:val="both"/>
        <w:rPr>
          <w:rFonts w:ascii="Times New Roman" w:hAnsi="Times New Roman" w:cs="Times New Roman"/>
          <w:color w:val="000000"/>
          <w:lang w:eastAsia="es-MX"/>
        </w:rPr>
      </w:pPr>
    </w:p>
    <w:p w14:paraId="6C16330C" w14:textId="77777777" w:rsidR="007463F8" w:rsidRDefault="007463F8" w:rsidP="007463F8">
      <w:pPr>
        <w:spacing w:line="480" w:lineRule="auto"/>
        <w:jc w:val="both"/>
        <w:rPr>
          <w:color w:val="000000"/>
          <w:lang w:eastAsia="es-MX"/>
        </w:rPr>
      </w:pPr>
    </w:p>
    <w:p w14:paraId="72A3F986" w14:textId="77777777" w:rsidR="007463F8" w:rsidRPr="0084000F" w:rsidRDefault="007463F8" w:rsidP="007463F8">
      <w:pPr>
        <w:spacing w:line="480" w:lineRule="auto"/>
        <w:jc w:val="both"/>
        <w:rPr>
          <w:color w:val="000000"/>
          <w:lang w:eastAsia="es-MX"/>
        </w:rPr>
      </w:pPr>
    </w:p>
    <w:p w14:paraId="17A8919A" w14:textId="77777777" w:rsidR="007463F8" w:rsidRPr="007463F8" w:rsidRDefault="007463F8" w:rsidP="007463F8">
      <w:pPr>
        <w:spacing w:line="480" w:lineRule="auto"/>
        <w:jc w:val="center"/>
        <w:rPr>
          <w:rFonts w:ascii="Times New Roman" w:hAnsi="Times New Roman" w:cs="Times New Roman"/>
          <w:lang w:val="es-ES"/>
        </w:rPr>
      </w:pPr>
      <w:r w:rsidRPr="007463F8">
        <w:rPr>
          <w:rFonts w:ascii="Times New Roman" w:hAnsi="Times New Roman" w:cs="Times New Roman"/>
          <w:b/>
          <w:bCs/>
        </w:rPr>
        <w:t>TRABAJO DE INVESTIGACIÓN PARA OPTAR AL TÍTULO DE</w:t>
      </w:r>
    </w:p>
    <w:p w14:paraId="38E6879A" w14:textId="77777777" w:rsidR="007463F8" w:rsidRPr="007463F8" w:rsidRDefault="007463F8" w:rsidP="007463F8">
      <w:pPr>
        <w:tabs>
          <w:tab w:val="right" w:pos="8837"/>
        </w:tabs>
        <w:spacing w:line="480" w:lineRule="auto"/>
        <w:jc w:val="center"/>
        <w:rPr>
          <w:rFonts w:ascii="Times New Roman" w:hAnsi="Times New Roman" w:cs="Times New Roman"/>
          <w:b/>
          <w:bCs/>
        </w:rPr>
      </w:pPr>
      <w:r w:rsidRPr="007463F8">
        <w:rPr>
          <w:rFonts w:ascii="Times New Roman" w:hAnsi="Times New Roman" w:cs="Times New Roman"/>
          <w:b/>
          <w:bCs/>
        </w:rPr>
        <w:t>ESPECIALISTA EN MEDICINA DOLOR Y CUIDADOS PALIATIVOS</w:t>
      </w:r>
    </w:p>
    <w:p w14:paraId="7EED03CC" w14:textId="77777777" w:rsidR="007463F8" w:rsidRPr="006A523F" w:rsidRDefault="007463F8" w:rsidP="007463F8">
      <w:pPr>
        <w:tabs>
          <w:tab w:val="right" w:pos="8837"/>
        </w:tabs>
        <w:spacing w:line="480" w:lineRule="auto"/>
        <w:jc w:val="center"/>
        <w:rPr>
          <w:b/>
          <w:bCs/>
          <w:lang w:val="es-ES"/>
        </w:rPr>
      </w:pPr>
    </w:p>
    <w:p w14:paraId="65B795AE" w14:textId="77777777" w:rsidR="007463F8" w:rsidRPr="007463F8" w:rsidRDefault="007463F8" w:rsidP="007463F8">
      <w:pPr>
        <w:spacing w:line="480" w:lineRule="auto"/>
        <w:jc w:val="center"/>
        <w:rPr>
          <w:rFonts w:ascii="Times New Roman" w:hAnsi="Times New Roman" w:cs="Times New Roman"/>
          <w:b/>
          <w:bCs/>
        </w:rPr>
      </w:pPr>
      <w:r w:rsidRPr="007463F8">
        <w:rPr>
          <w:rFonts w:ascii="Times New Roman" w:hAnsi="Times New Roman" w:cs="Times New Roman"/>
          <w:b/>
          <w:bCs/>
          <w:color w:val="000000"/>
        </w:rPr>
        <w:t>USO DE INFUSIÓN DE LIDOCAÍNA EN DOLOR ONCOLÓGICO DE DIFÍCIL MANEJO: REVISIÓN SISTEMÁTICA</w:t>
      </w:r>
    </w:p>
    <w:p w14:paraId="4EF615B1" w14:textId="77777777" w:rsidR="007463F8" w:rsidRDefault="007463F8" w:rsidP="007463F8">
      <w:pPr>
        <w:spacing w:line="480" w:lineRule="auto"/>
        <w:ind w:right="13"/>
        <w:jc w:val="both"/>
        <w:outlineLvl w:val="0"/>
        <w:rPr>
          <w:rFonts w:eastAsia="Arial"/>
          <w:b/>
        </w:rPr>
      </w:pPr>
    </w:p>
    <w:p w14:paraId="51AB0D34" w14:textId="77777777" w:rsidR="007463F8" w:rsidRPr="0084000F" w:rsidRDefault="007463F8" w:rsidP="007463F8">
      <w:pPr>
        <w:spacing w:line="480" w:lineRule="auto"/>
        <w:ind w:right="13"/>
        <w:jc w:val="both"/>
        <w:outlineLvl w:val="0"/>
        <w:rPr>
          <w:rFonts w:eastAsia="Arial"/>
          <w:b/>
        </w:rPr>
      </w:pPr>
    </w:p>
    <w:p w14:paraId="2A265EEE" w14:textId="77777777" w:rsidR="007463F8" w:rsidRPr="007463F8" w:rsidRDefault="007463F8" w:rsidP="007463F8">
      <w:pPr>
        <w:spacing w:line="480" w:lineRule="auto"/>
        <w:ind w:right="13"/>
        <w:jc w:val="both"/>
        <w:outlineLvl w:val="0"/>
        <w:rPr>
          <w:rFonts w:ascii="Times New Roman" w:eastAsia="Arial" w:hAnsi="Times New Roman" w:cs="Times New Roman"/>
          <w:b/>
          <w:lang w:val="es-ES"/>
        </w:rPr>
      </w:pPr>
      <w:r w:rsidRPr="007463F8">
        <w:rPr>
          <w:rFonts w:ascii="Times New Roman" w:eastAsia="Arial" w:hAnsi="Times New Roman" w:cs="Times New Roman"/>
          <w:b/>
          <w:lang w:val="es-ES"/>
        </w:rPr>
        <w:t xml:space="preserve">EQUIPO INVESTIGADOR: </w:t>
      </w:r>
    </w:p>
    <w:p w14:paraId="04529EB1" w14:textId="254E80A5" w:rsidR="007463F8" w:rsidRPr="007463F8" w:rsidRDefault="007463F8" w:rsidP="007463F8">
      <w:pPr>
        <w:spacing w:line="480" w:lineRule="auto"/>
        <w:ind w:right="13"/>
        <w:jc w:val="both"/>
        <w:outlineLvl w:val="0"/>
        <w:rPr>
          <w:rFonts w:ascii="Times New Roman" w:eastAsia="Arial" w:hAnsi="Times New Roman" w:cs="Times New Roman"/>
          <w:bCs/>
        </w:rPr>
      </w:pPr>
      <w:r w:rsidRPr="007463F8">
        <w:rPr>
          <w:rFonts w:ascii="Times New Roman" w:eastAsia="Arial" w:hAnsi="Times New Roman" w:cs="Times New Roman"/>
          <w:bCs/>
        </w:rPr>
        <w:t xml:space="preserve">Bilena Molina Arteta.  Anestesiología. </w:t>
      </w:r>
      <w:r w:rsidRPr="00175170">
        <w:rPr>
          <w:rFonts w:ascii="Times New Roman" w:hAnsi="Times New Roman" w:cs="Times New Roman"/>
          <w:bCs/>
          <w:lang w:val="es-MX"/>
        </w:rPr>
        <w:t>Especialista medicina del dolor y cuidados paliativos, Unidad de cuidado paliativo, Instituto Nacional de Cancerología. Bogotá, D.C. Colombia</w:t>
      </w:r>
    </w:p>
    <w:p w14:paraId="0E109AB0" w14:textId="77777777" w:rsidR="007463F8" w:rsidRDefault="007463F8" w:rsidP="007463F8">
      <w:pPr>
        <w:spacing w:after="120" w:line="480" w:lineRule="auto"/>
        <w:jc w:val="both"/>
        <w:rPr>
          <w:rFonts w:ascii="Times New Roman" w:hAnsi="Times New Roman" w:cs="Times New Roman"/>
          <w:bCs/>
          <w:lang w:val="es-MX"/>
        </w:rPr>
      </w:pPr>
      <w:r w:rsidRPr="007463F8">
        <w:rPr>
          <w:rFonts w:ascii="Times New Roman" w:eastAsia="Arial" w:hAnsi="Times New Roman" w:cs="Times New Roman"/>
          <w:bCs/>
        </w:rPr>
        <w:t xml:space="preserve">Verónica Páez Avendaño. </w:t>
      </w:r>
      <w:r w:rsidRPr="007463F8">
        <w:rPr>
          <w:rFonts w:ascii="Times New Roman" w:hAnsi="Times New Roman" w:cs="Times New Roman"/>
          <w:bCs/>
          <w:lang w:val="es-MX"/>
        </w:rPr>
        <w:t>Residente en entrenamiento de la Especialización de Medicina del Dolor y Cuidados Paliativos, convenio Instituto Nacional de Cancerología - Universidad de La Sabana. Bogotá, D.C. Colombia.</w:t>
      </w:r>
    </w:p>
    <w:p w14:paraId="4583CE96" w14:textId="77777777" w:rsidR="007463F8" w:rsidRPr="00175170" w:rsidRDefault="007463F8" w:rsidP="007463F8">
      <w:pPr>
        <w:spacing w:after="120" w:line="480" w:lineRule="auto"/>
        <w:jc w:val="both"/>
        <w:rPr>
          <w:rFonts w:ascii="Times New Roman" w:hAnsi="Times New Roman" w:cs="Times New Roman"/>
          <w:bCs/>
          <w:lang w:val="es-MX"/>
        </w:rPr>
      </w:pPr>
      <w:r w:rsidRPr="00175170">
        <w:rPr>
          <w:rFonts w:ascii="Times New Roman" w:hAnsi="Times New Roman" w:cs="Times New Roman"/>
          <w:lang w:val="es-MX"/>
        </w:rPr>
        <w:t>Laura Manuela Ramírez Rodríguez</w:t>
      </w:r>
      <w:r>
        <w:rPr>
          <w:rFonts w:ascii="Times New Roman" w:hAnsi="Times New Roman" w:cs="Times New Roman"/>
          <w:lang w:val="es-MX"/>
        </w:rPr>
        <w:t xml:space="preserve">. </w:t>
      </w:r>
      <w:r w:rsidRPr="00175170">
        <w:rPr>
          <w:rFonts w:ascii="Times New Roman" w:hAnsi="Times New Roman" w:cs="Times New Roman"/>
          <w:bCs/>
          <w:lang w:val="es-MX"/>
        </w:rPr>
        <w:t xml:space="preserve">Médica Epidemióloga, Sociedad de Cirugía de Bogotá, Hospital de San José. Bogotá, D.C. Colombia. </w:t>
      </w:r>
    </w:p>
    <w:p w14:paraId="68C099BF" w14:textId="6C99217D" w:rsidR="007463F8" w:rsidRPr="007463F8" w:rsidRDefault="007463F8" w:rsidP="007463F8">
      <w:pPr>
        <w:spacing w:after="120" w:line="360" w:lineRule="auto"/>
        <w:jc w:val="both"/>
        <w:rPr>
          <w:rFonts w:ascii="Times New Roman" w:hAnsi="Times New Roman" w:cs="Times New Roman"/>
          <w:bCs/>
          <w:lang w:val="es-MX"/>
        </w:rPr>
      </w:pPr>
    </w:p>
    <w:p w14:paraId="5C0D2B7F" w14:textId="2E0B1274" w:rsidR="007463F8" w:rsidRPr="0084000F" w:rsidRDefault="007463F8" w:rsidP="007463F8">
      <w:pPr>
        <w:spacing w:line="480" w:lineRule="auto"/>
        <w:ind w:right="13"/>
        <w:jc w:val="both"/>
        <w:outlineLvl w:val="0"/>
        <w:rPr>
          <w:rFonts w:eastAsia="Arial"/>
          <w:bCs/>
        </w:rPr>
      </w:pPr>
    </w:p>
    <w:p w14:paraId="33D40CD8" w14:textId="77777777" w:rsidR="007463F8" w:rsidRDefault="007463F8" w:rsidP="007463F8">
      <w:pPr>
        <w:tabs>
          <w:tab w:val="right" w:pos="8837"/>
        </w:tabs>
        <w:spacing w:line="480" w:lineRule="auto"/>
        <w:jc w:val="both"/>
        <w:rPr>
          <w:rFonts w:ascii="Times" w:hAnsi="Times" w:cstheme="majorHAnsi"/>
          <w:b/>
          <w:bCs/>
        </w:rPr>
      </w:pPr>
    </w:p>
    <w:p w14:paraId="68FD9042" w14:textId="77777777" w:rsidR="007463F8" w:rsidRPr="00B4264E" w:rsidRDefault="007463F8" w:rsidP="007463F8">
      <w:pPr>
        <w:tabs>
          <w:tab w:val="right" w:pos="8837"/>
        </w:tabs>
        <w:spacing w:line="480" w:lineRule="auto"/>
        <w:jc w:val="both"/>
        <w:rPr>
          <w:rFonts w:ascii="Times" w:hAnsi="Times" w:cstheme="majorHAnsi"/>
          <w:b/>
          <w:bCs/>
          <w:lang w:val="es-ES"/>
        </w:rPr>
      </w:pPr>
      <w:r w:rsidRPr="00B4264E">
        <w:rPr>
          <w:rFonts w:ascii="Times" w:hAnsi="Times" w:cstheme="majorHAnsi"/>
          <w:b/>
          <w:bCs/>
        </w:rPr>
        <w:t>UNIVERSIDAD DE LA SABANA</w:t>
      </w:r>
    </w:p>
    <w:p w14:paraId="6294335A" w14:textId="77777777" w:rsidR="007463F8" w:rsidRPr="00B4264E" w:rsidRDefault="007463F8" w:rsidP="007463F8">
      <w:pPr>
        <w:tabs>
          <w:tab w:val="right" w:pos="8837"/>
        </w:tabs>
        <w:spacing w:line="480" w:lineRule="auto"/>
        <w:jc w:val="both"/>
        <w:rPr>
          <w:rFonts w:ascii="Times" w:hAnsi="Times" w:cstheme="majorHAnsi"/>
          <w:b/>
          <w:bCs/>
          <w:lang w:val="es-ES"/>
        </w:rPr>
      </w:pPr>
      <w:r w:rsidRPr="00B4264E">
        <w:rPr>
          <w:rFonts w:ascii="Times" w:hAnsi="Times" w:cstheme="majorHAnsi"/>
          <w:b/>
          <w:bCs/>
        </w:rPr>
        <w:t>INSTITUTO NACIONAL DE CANCEROLOGÍA E.S.E</w:t>
      </w:r>
    </w:p>
    <w:p w14:paraId="6A82FBCE" w14:textId="77777777" w:rsidR="007463F8" w:rsidRPr="00B4264E" w:rsidRDefault="007463F8" w:rsidP="007463F8">
      <w:pPr>
        <w:tabs>
          <w:tab w:val="right" w:pos="8837"/>
        </w:tabs>
        <w:spacing w:line="480" w:lineRule="auto"/>
        <w:jc w:val="both"/>
        <w:rPr>
          <w:rFonts w:ascii="Times" w:hAnsi="Times" w:cstheme="majorHAnsi"/>
          <w:b/>
          <w:bCs/>
          <w:lang w:val="es-ES"/>
        </w:rPr>
      </w:pPr>
      <w:r w:rsidRPr="00B4264E">
        <w:rPr>
          <w:rFonts w:ascii="Times" w:hAnsi="Times" w:cstheme="majorHAnsi"/>
          <w:b/>
          <w:bCs/>
        </w:rPr>
        <w:t>DEPARTAMENTO MEDICINA DEL DOLOR Y CUIDADOS PALIATIVOS</w:t>
      </w:r>
    </w:p>
    <w:p w14:paraId="2BEC0F81" w14:textId="1A1BA4B4" w:rsidR="007463F8" w:rsidRPr="007463F8" w:rsidRDefault="007463F8" w:rsidP="007463F8">
      <w:pPr>
        <w:tabs>
          <w:tab w:val="right" w:pos="8837"/>
        </w:tabs>
        <w:spacing w:line="480" w:lineRule="auto"/>
        <w:jc w:val="both"/>
        <w:rPr>
          <w:rFonts w:ascii="Times" w:hAnsi="Times" w:cstheme="majorHAnsi"/>
          <w:b/>
          <w:bCs/>
        </w:rPr>
      </w:pPr>
      <w:r w:rsidRPr="00B4264E">
        <w:rPr>
          <w:rFonts w:ascii="Times" w:hAnsi="Times" w:cstheme="majorHAnsi"/>
          <w:b/>
          <w:bCs/>
        </w:rPr>
        <w:t>ENERO 202</w:t>
      </w:r>
      <w:r>
        <w:rPr>
          <w:rFonts w:ascii="Times" w:hAnsi="Times" w:cstheme="majorHAnsi"/>
          <w:b/>
          <w:bCs/>
        </w:rPr>
        <w:t>6</w:t>
      </w:r>
    </w:p>
    <w:p w14:paraId="3245E19B" w14:textId="7097EB4B" w:rsidR="00B36A40" w:rsidRPr="00A269B6" w:rsidRDefault="00670245"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lastRenderedPageBreak/>
        <w:t xml:space="preserve">Artículo original  </w:t>
      </w:r>
    </w:p>
    <w:p w14:paraId="50688C88" w14:textId="34764EC4" w:rsidR="00CA6A62" w:rsidRPr="00A269B6" w:rsidRDefault="00F66935" w:rsidP="00670245">
      <w:pPr>
        <w:tabs>
          <w:tab w:val="left" w:pos="4820"/>
        </w:tabs>
        <w:spacing w:line="360" w:lineRule="auto"/>
        <w:jc w:val="both"/>
        <w:rPr>
          <w:rFonts w:ascii="Times New Roman" w:hAnsi="Times New Roman" w:cs="Times New Roman"/>
        </w:rPr>
      </w:pPr>
      <w:r w:rsidRPr="00A269B6">
        <w:rPr>
          <w:rFonts w:ascii="Times New Roman" w:hAnsi="Times New Roman" w:cs="Times New Roman"/>
          <w:lang w:val="es-CO"/>
        </w:rPr>
        <w:t>Uso de infusión de lidocaína en dolor oncológico de difícil manejo: revisión sistemática</w:t>
      </w:r>
    </w:p>
    <w:p w14:paraId="3EB9B865" w14:textId="46F4D716" w:rsidR="00CA6A62" w:rsidRDefault="00F66935" w:rsidP="00670245">
      <w:pPr>
        <w:tabs>
          <w:tab w:val="left" w:pos="4820"/>
        </w:tabs>
        <w:spacing w:line="360" w:lineRule="auto"/>
        <w:jc w:val="both"/>
        <w:rPr>
          <w:rFonts w:ascii="Times New Roman" w:hAnsi="Times New Roman" w:cs="Times New Roman"/>
          <w:i/>
          <w:iCs/>
        </w:rPr>
      </w:pPr>
      <w:r w:rsidRPr="00A269B6">
        <w:rPr>
          <w:rFonts w:ascii="Times New Roman" w:hAnsi="Times New Roman" w:cs="Times New Roman"/>
          <w:i/>
          <w:iCs/>
        </w:rPr>
        <w:t>Use of Lidocaine Infusion in Difficult-to-Treat Cancer Pain: A Systematic Review</w:t>
      </w:r>
    </w:p>
    <w:p w14:paraId="222B0FB9" w14:textId="77777777" w:rsidR="00FC6898" w:rsidRPr="00175170" w:rsidRDefault="00FC6898" w:rsidP="00670245">
      <w:pPr>
        <w:tabs>
          <w:tab w:val="left" w:pos="4820"/>
        </w:tabs>
        <w:spacing w:line="360" w:lineRule="auto"/>
        <w:jc w:val="both"/>
        <w:rPr>
          <w:rFonts w:ascii="Times New Roman" w:hAnsi="Times New Roman" w:cs="Times New Roman"/>
          <w:i/>
          <w:iCs/>
        </w:rPr>
      </w:pPr>
    </w:p>
    <w:p w14:paraId="51D4C8F1" w14:textId="538624FE" w:rsidR="00B36A40" w:rsidRPr="00A269B6" w:rsidRDefault="00F422D2"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 xml:space="preserve">Resumen </w:t>
      </w:r>
    </w:p>
    <w:p w14:paraId="69289CA9"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Objetivo:</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Describir la eficacia de la infusión de lidocaína intravenosa (IV) o subcutánea (SC), en comparación con placebo o tratamiento activo, en pacientes adultos con dolor oncológico de difícil manejo.</w:t>
      </w:r>
    </w:p>
    <w:p w14:paraId="52A36194" w14:textId="415DCAE6" w:rsidR="00F422D2"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Métodos: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Se realizó una revisión sistemática de la literatura (1989–2024) en PubMed y Embase, que incluyó ensayos clínicos aleatorizados en adultos con dolor oncológico refractario. La selección y extracción de datos se realizaron por duplicado. El riesgo de sesgo se evaluó con la herramienta RoB-2 y la certeza de la evidencia mediante el enfoque GRADE.</w:t>
      </w:r>
    </w:p>
    <w:p w14:paraId="612F6FBD"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Resultados: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Se incluyeron cinco ensayos clínicos aleatorizados (n=10–50 participantes): tres compararon lidocaína IV frente a placebo, uno frente a dexmedetomidina y uno evaluó la vía subcutánea frente a placebo. La mayoría de los pacientes presentaban dolor neuropático refractario a opioides. Los resultados fueron heterogéneos, con beneficio analgésico clínicamente relevante en un ensayo y ausencia de superioridad en los restantes. Los eventos adversos fueron leves y transitorios. La certeza global de la evidencia fue baja a muy baja.</w:t>
      </w:r>
    </w:p>
    <w:p w14:paraId="6F519B72"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Conclusiones: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La lidocaína en infusión, IV o SC, podría considerarse una opción analgésica adyuvante en pacientes seleccionados con dolor oncológico refractario. Sin embargo, la evidencia es heterogénea y limitada, lo que impide establecer recomendaciones firmes y resalta la necesidad de estudios multicéntricos con mayor tamaño muestral y desenlaces clínicamente relevantes.</w:t>
      </w:r>
    </w:p>
    <w:p w14:paraId="09DB64E0" w14:textId="734A1912" w:rsidR="00F422D2"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Palabras clave:</w:t>
      </w:r>
      <w:r w:rsidRPr="00670245">
        <w:rPr>
          <w:rFonts w:ascii="Times New Roman" w:hAnsi="Times New Roman" w:cs="Times New Roman"/>
          <w:color w:val="000000" w:themeColor="text1"/>
        </w:rPr>
        <w:t xml:space="preserve"> Lidocaína; </w:t>
      </w:r>
      <w:r w:rsidR="0010206C" w:rsidRPr="00670245">
        <w:rPr>
          <w:rFonts w:ascii="Times New Roman" w:hAnsi="Times New Roman" w:cs="Times New Roman"/>
          <w:color w:val="000000" w:themeColor="text1"/>
        </w:rPr>
        <w:t>Infusiones intravenosas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Administración subcutánea</w:t>
      </w:r>
      <w:r w:rsidRPr="00670245">
        <w:rPr>
          <w:rFonts w:ascii="Times New Roman" w:hAnsi="Times New Roman" w:cs="Times New Roman"/>
          <w:color w:val="000000" w:themeColor="text1"/>
        </w:rPr>
        <w:t xml:space="preserve">; Dolor </w:t>
      </w:r>
      <w:r w:rsidR="0010206C" w:rsidRPr="00670245">
        <w:rPr>
          <w:rFonts w:ascii="Times New Roman" w:hAnsi="Times New Roman" w:cs="Times New Roman"/>
          <w:color w:val="000000" w:themeColor="text1"/>
        </w:rPr>
        <w:t>neoplásico</w:t>
      </w:r>
      <w:r w:rsidRPr="00670245">
        <w:rPr>
          <w:rFonts w:ascii="Times New Roman" w:hAnsi="Times New Roman" w:cs="Times New Roman"/>
          <w:color w:val="000000" w:themeColor="text1"/>
        </w:rPr>
        <w:t xml:space="preserve">; </w:t>
      </w:r>
      <w:r w:rsidR="006B5A97" w:rsidRPr="00670245">
        <w:rPr>
          <w:rFonts w:ascii="Times New Roman" w:hAnsi="Times New Roman" w:cs="Times New Roman"/>
          <w:color w:val="000000" w:themeColor="text1"/>
        </w:rPr>
        <w:t>Fracaso del tratamiento</w:t>
      </w:r>
      <w:r w:rsidRPr="00670245">
        <w:rPr>
          <w:rFonts w:ascii="Times New Roman" w:hAnsi="Times New Roman" w:cs="Times New Roman"/>
          <w:color w:val="000000" w:themeColor="text1"/>
        </w:rPr>
        <w:t>; Cuidados paliativos</w:t>
      </w:r>
    </w:p>
    <w:p w14:paraId="6CA80DE3" w14:textId="40B9A1B1" w:rsidR="00F422D2" w:rsidRPr="00670245" w:rsidRDefault="00F422D2" w:rsidP="00670245">
      <w:pPr>
        <w:tabs>
          <w:tab w:val="left" w:pos="4820"/>
        </w:tabs>
        <w:spacing w:line="360" w:lineRule="auto"/>
        <w:jc w:val="both"/>
        <w:rPr>
          <w:rFonts w:ascii="Times New Roman" w:hAnsi="Times New Roman" w:cs="Times New Roman"/>
          <w:color w:val="000000" w:themeColor="text1"/>
        </w:rPr>
      </w:pPr>
    </w:p>
    <w:p w14:paraId="328268D2" w14:textId="6F58EFA4" w:rsidR="00F422D2" w:rsidRPr="00A269B6" w:rsidRDefault="00F422D2"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lastRenderedPageBreak/>
        <w:t>Abstract</w:t>
      </w:r>
    </w:p>
    <w:p w14:paraId="54111C10"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Objective:</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To evaluate the efficacy and safety of IV or SC lidocaine infusions for the management of opioid-refractory cancer pain compared with placebo or active comparators.</w:t>
      </w:r>
    </w:p>
    <w:p w14:paraId="314EE99C"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Methods: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A systematic review of the literature (1989–May 2024) was conducted in PubMed and Embase. Randomized controlled trials enrolling adults with opioid-refractory cancer pain were included. Study selection and data extraction were performed independently by two reviewers. Risk of bias was assessed using the Cochrane RoB-2 tool, and certainty of evidence was evaluated according to the GRADE approach.</w:t>
      </w:r>
    </w:p>
    <w:p w14:paraId="7D68827A"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Results: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Five randomized controlled trials were included (sample sizes 10–50 participants). Three compared IV lidocaine with placebo, one compared IV lidocaine with dexmedetomidine, and one evaluated SC lidocaine versus placebo. Most participants had advanced cancer with predominantly neuropathic pain. Results were heterogeneous, with a clinically relevant analgesic benefit observed in one trial and no superiority over placebo or active comparator in the others. Reported adverse events were mild and transient. Overall certainty of evidence was low to very low due to small sample sizes and methodological limitations.</w:t>
      </w:r>
    </w:p>
    <w:p w14:paraId="5D945926" w14:textId="77777777" w:rsidR="0010206C"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Conclusions:</w:t>
      </w:r>
      <w:r w:rsidRPr="00670245">
        <w:rPr>
          <w:rFonts w:ascii="Times New Roman" w:hAnsi="Times New Roman" w:cs="Times New Roman"/>
          <w:color w:val="000000" w:themeColor="text1"/>
        </w:rPr>
        <w:t xml:space="preserve"> </w:t>
      </w:r>
      <w:r w:rsidR="0010206C" w:rsidRPr="00670245">
        <w:rPr>
          <w:rFonts w:ascii="Times New Roman" w:hAnsi="Times New Roman" w:cs="Times New Roman"/>
          <w:color w:val="000000" w:themeColor="text1"/>
        </w:rPr>
        <w:t>IV and SC lidocaine infusions may be considered as adjuvant analgesic options in selected patients with opioid-refractory cancer pain and neuropathic features. However, current evidence is limited and heterogeneous, precluding firm clinical recommendations. Larger, multicenter randomized trials are needed to better define their role in clinical practice.</w:t>
      </w:r>
    </w:p>
    <w:p w14:paraId="735E2935" w14:textId="3B7F3477" w:rsidR="00F422D2" w:rsidRPr="00670245" w:rsidRDefault="00F422D2" w:rsidP="00670245">
      <w:pPr>
        <w:tabs>
          <w:tab w:val="left" w:pos="4820"/>
        </w:tabs>
        <w:spacing w:line="360" w:lineRule="auto"/>
        <w:jc w:val="both"/>
        <w:rPr>
          <w:rFonts w:ascii="Times New Roman" w:hAnsi="Times New Roman" w:cs="Times New Roman"/>
          <w:color w:val="000000" w:themeColor="text1"/>
        </w:rPr>
      </w:pPr>
      <w:r w:rsidRPr="00B1354E">
        <w:rPr>
          <w:rFonts w:ascii="Times New Roman" w:hAnsi="Times New Roman" w:cs="Times New Roman"/>
          <w:i/>
          <w:iCs/>
          <w:color w:val="000000" w:themeColor="text1"/>
        </w:rPr>
        <w:t>Key words:</w:t>
      </w:r>
      <w:r w:rsidRPr="00670245">
        <w:rPr>
          <w:rFonts w:ascii="Times New Roman" w:hAnsi="Times New Roman" w:cs="Times New Roman"/>
          <w:color w:val="000000" w:themeColor="text1"/>
        </w:rPr>
        <w:t xml:space="preserve"> Lidocaine; </w:t>
      </w:r>
      <w:r w:rsidR="002424DE" w:rsidRPr="00670245">
        <w:rPr>
          <w:rFonts w:ascii="Times New Roman" w:hAnsi="Times New Roman" w:cs="Times New Roman"/>
          <w:color w:val="000000" w:themeColor="text1"/>
        </w:rPr>
        <w:t>Intravenous Infusions</w:t>
      </w:r>
      <w:r w:rsidRPr="00670245">
        <w:rPr>
          <w:rFonts w:ascii="Times New Roman" w:hAnsi="Times New Roman" w:cs="Times New Roman"/>
          <w:color w:val="000000" w:themeColor="text1"/>
        </w:rPr>
        <w:t xml:space="preserve">; </w:t>
      </w:r>
      <w:r w:rsidR="002424DE" w:rsidRPr="00670245">
        <w:rPr>
          <w:rFonts w:ascii="Times New Roman" w:hAnsi="Times New Roman" w:cs="Times New Roman"/>
          <w:color w:val="000000" w:themeColor="text1"/>
        </w:rPr>
        <w:t>Subcutaneous Administration</w:t>
      </w:r>
      <w:r w:rsidRPr="00670245">
        <w:rPr>
          <w:rFonts w:ascii="Times New Roman" w:hAnsi="Times New Roman" w:cs="Times New Roman"/>
          <w:color w:val="000000" w:themeColor="text1"/>
        </w:rPr>
        <w:t xml:space="preserve">; </w:t>
      </w:r>
      <w:r w:rsidR="002424DE" w:rsidRPr="00670245">
        <w:rPr>
          <w:rFonts w:ascii="Times New Roman" w:hAnsi="Times New Roman" w:cs="Times New Roman"/>
          <w:color w:val="000000" w:themeColor="text1"/>
        </w:rPr>
        <w:t>Neoplasm Pain</w:t>
      </w:r>
      <w:r w:rsidRPr="00670245">
        <w:rPr>
          <w:rFonts w:ascii="Times New Roman" w:hAnsi="Times New Roman" w:cs="Times New Roman"/>
          <w:color w:val="000000" w:themeColor="text1"/>
        </w:rPr>
        <w:t xml:space="preserve">; </w:t>
      </w:r>
      <w:r w:rsidR="002424DE" w:rsidRPr="00670245">
        <w:rPr>
          <w:rFonts w:ascii="Times New Roman" w:hAnsi="Times New Roman" w:cs="Times New Roman"/>
          <w:color w:val="000000" w:themeColor="text1"/>
        </w:rPr>
        <w:t>Treatment Failure</w:t>
      </w:r>
      <w:r w:rsidRPr="00670245">
        <w:rPr>
          <w:rFonts w:ascii="Times New Roman" w:hAnsi="Times New Roman" w:cs="Times New Roman"/>
          <w:color w:val="000000" w:themeColor="text1"/>
        </w:rPr>
        <w:t>; Palliative care</w:t>
      </w:r>
    </w:p>
    <w:p w14:paraId="12932F86" w14:textId="77777777" w:rsidR="00CA6A62" w:rsidRPr="00670245" w:rsidRDefault="00CA6A62" w:rsidP="00670245">
      <w:pPr>
        <w:tabs>
          <w:tab w:val="left" w:pos="4820"/>
        </w:tabs>
        <w:spacing w:line="360" w:lineRule="auto"/>
        <w:jc w:val="both"/>
        <w:rPr>
          <w:rFonts w:ascii="Times New Roman" w:hAnsi="Times New Roman" w:cs="Times New Roman"/>
          <w:color w:val="000000" w:themeColor="text1"/>
        </w:rPr>
      </w:pPr>
    </w:p>
    <w:p w14:paraId="718C96D6" w14:textId="61CC731F" w:rsidR="00B36A40" w:rsidRPr="00A269B6" w:rsidRDefault="00B36A40"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Introducción</w:t>
      </w:r>
    </w:p>
    <w:p w14:paraId="6AE0CB9F" w14:textId="30733275" w:rsidR="0000591A" w:rsidRPr="00670245" w:rsidRDefault="00AA6B4C"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Uno</w:t>
      </w:r>
      <w:r w:rsidR="005572A3" w:rsidRPr="00670245">
        <w:rPr>
          <w:rFonts w:ascii="Times New Roman" w:hAnsi="Times New Roman" w:cs="Times New Roman"/>
          <w:color w:val="000000" w:themeColor="text1"/>
        </w:rPr>
        <w:t xml:space="preserve"> de los síntomas más prevalentes en pacientes </w:t>
      </w:r>
      <w:r w:rsidR="0000591A" w:rsidRPr="00670245">
        <w:rPr>
          <w:rFonts w:ascii="Times New Roman" w:hAnsi="Times New Roman" w:cs="Times New Roman"/>
          <w:color w:val="000000" w:themeColor="text1"/>
        </w:rPr>
        <w:t>oncológicos</w:t>
      </w:r>
      <w:r w:rsidRPr="00670245">
        <w:rPr>
          <w:rFonts w:ascii="Times New Roman" w:hAnsi="Times New Roman" w:cs="Times New Roman"/>
          <w:color w:val="000000" w:themeColor="text1"/>
        </w:rPr>
        <w:t xml:space="preserve"> es el dolor</w:t>
      </w:r>
      <w:r w:rsidR="008B25A8" w:rsidRPr="00670245">
        <w:rPr>
          <w:rFonts w:ascii="Times New Roman" w:hAnsi="Times New Roman" w:cs="Times New Roman"/>
          <w:color w:val="000000" w:themeColor="text1"/>
        </w:rPr>
        <w:t xml:space="preserve"> </w:t>
      </w:r>
      <w:r w:rsidR="008B25A8" w:rsidRPr="00670245">
        <w:rPr>
          <w:rFonts w:ascii="Times New Roman" w:hAnsi="Times New Roman" w:cs="Times New Roman"/>
          <w:color w:val="000000" w:themeColor="text1"/>
        </w:rPr>
        <w:fldChar w:fldCharType="begin"/>
      </w:r>
      <w:r w:rsidR="0000591A" w:rsidRPr="00670245">
        <w:rPr>
          <w:rFonts w:ascii="Times New Roman" w:hAnsi="Times New Roman" w:cs="Times New Roman"/>
          <w:color w:val="000000" w:themeColor="text1"/>
        </w:rPr>
        <w:instrText xml:space="preserve"> ADDIN ZOTERO_ITEM CSL_CITATION {"citationID":"WXmc8GVS","properties":{"formattedCitation":"(1)","plainCitation":"(1)","noteIndex":0},"citationItems":[{"id":92,"uris":["http://zotero.org/users/12518303/items/JBFG6ACA"],"itemData":{"id":92,"type":"article-journal","abstract":"Pain is frequently reported during cancer disease, and it still remains poorly controlled in 40% of patients. Recent developments in oncology have helped to better control pain. Targeted treatments may cure cancer disease and significantly increase survival. Therefore, a novel population of patients (cancer survivors) has emerged, also enduring chronic pain (27.6% moderate to severe pain). The present review discusses the different options currently available to manage pain in (former) cancer patients in light of progress made in the last decade. Major progress in the field includes the recent development of a chronic cancer pain taxonomy now included in the International Classification of Diseases (ICD-11) and the update of the WHO analgesic ladder. Until recently, cancer pain management has mostly relied on pharmacotherapy, with opioids being considered as the mainstay. The opioids crisis has prompted the reassessment of opioids use in cancer patients and survivors. This review focuses on the current utilization of opioids, the neuropathic pain component often neglected, and the techniques and non-pharmacological strategies available which help to personalize patient treatment. Cancer pain management is now closer to the management of chronic non-cancer pain, i.e., “an integrative and supportive pain care” aiming to improve patient’s quality of life.","container-title":"Current Oncology","DOI":"10.3390/curroncol30070500","ISSN":"1718-7729","issue":"7","journalAbbreviation":"Current Oncology","language":"en","license":"https://creativecommons.org/licenses/by/4.0/","page":"6838-6858","source":"DOI.org (Crossref)","title":"Cancer Pain Management: A Narrative Review of Current Concepts, Strategies, and Techniques","title-short":"Cancer Pain Management","volume":"30","author":[{"family":"Mestdagh","given":"François"},{"family":"Steyaert","given":"Arnaud"},{"family":"Lavand’homme","given":"Patricia"}],"issued":{"date-parts":[["2023",7,18]]}}}],"schema":"https://github.com/citation-style-language/schema/raw/master/csl-citation.json"} </w:instrText>
      </w:r>
      <w:r w:rsidR="008B25A8" w:rsidRPr="00670245">
        <w:rPr>
          <w:rFonts w:ascii="Times New Roman" w:hAnsi="Times New Roman" w:cs="Times New Roman"/>
          <w:color w:val="000000" w:themeColor="text1"/>
        </w:rPr>
        <w:fldChar w:fldCharType="separate"/>
      </w:r>
      <w:r w:rsidR="0000591A" w:rsidRPr="00670245">
        <w:rPr>
          <w:rFonts w:ascii="Times New Roman" w:hAnsi="Times New Roman" w:cs="Times New Roman"/>
          <w:noProof/>
          <w:color w:val="000000" w:themeColor="text1"/>
        </w:rPr>
        <w:t>(1)</w:t>
      </w:r>
      <w:r w:rsidR="008B25A8" w:rsidRPr="00670245">
        <w:rPr>
          <w:rFonts w:ascii="Times New Roman" w:hAnsi="Times New Roman" w:cs="Times New Roman"/>
          <w:color w:val="000000" w:themeColor="text1"/>
        </w:rPr>
        <w:fldChar w:fldCharType="end"/>
      </w:r>
      <w:r w:rsidR="0000591A" w:rsidRPr="00670245">
        <w:rPr>
          <w:rFonts w:ascii="Times New Roman" w:hAnsi="Times New Roman" w:cs="Times New Roman"/>
          <w:color w:val="000000" w:themeColor="text1"/>
        </w:rPr>
        <w:t>, en</w:t>
      </w:r>
      <w:r w:rsidR="0071553F">
        <w:rPr>
          <w:rFonts w:ascii="Times New Roman" w:hAnsi="Times New Roman" w:cs="Times New Roman"/>
          <w:color w:val="000000" w:themeColor="text1"/>
        </w:rPr>
        <w:t xml:space="preserve"> </w:t>
      </w:r>
      <w:r w:rsidR="0000591A" w:rsidRPr="00670245">
        <w:rPr>
          <w:rFonts w:ascii="Times New Roman" w:hAnsi="Times New Roman" w:cs="Times New Roman"/>
          <w:color w:val="000000" w:themeColor="text1"/>
        </w:rPr>
        <w:t>enfermedad avanzada la prevalencia supera el 60%, incluso entre un 33% y 40% de los sobrevivientes de cáncer</w:t>
      </w:r>
      <w:r w:rsidRPr="00670245">
        <w:rPr>
          <w:rFonts w:ascii="Times New Roman" w:hAnsi="Times New Roman" w:cs="Times New Roman"/>
          <w:color w:val="000000" w:themeColor="text1"/>
        </w:rPr>
        <w:t xml:space="preserve"> persisten con</w:t>
      </w:r>
      <w:r w:rsidR="0000591A" w:rsidRPr="00670245">
        <w:rPr>
          <w:rFonts w:ascii="Times New Roman" w:hAnsi="Times New Roman" w:cs="Times New Roman"/>
          <w:color w:val="000000" w:themeColor="text1"/>
        </w:rPr>
        <w:t xml:space="preserve"> dolor crónico </w:t>
      </w:r>
      <w:r w:rsidR="0000591A" w:rsidRPr="00670245">
        <w:rPr>
          <w:rFonts w:ascii="Times New Roman" w:hAnsi="Times New Roman" w:cs="Times New Roman"/>
          <w:color w:val="000000" w:themeColor="text1"/>
        </w:rPr>
        <w:fldChar w:fldCharType="begin"/>
      </w:r>
      <w:r w:rsidR="0000591A" w:rsidRPr="00670245">
        <w:rPr>
          <w:rFonts w:ascii="Times New Roman" w:hAnsi="Times New Roman" w:cs="Times New Roman"/>
          <w:color w:val="000000" w:themeColor="text1"/>
        </w:rPr>
        <w:instrText xml:space="preserve"> ADDIN ZOTERO_ITEM CSL_CITATION {"citationID":"FkOKgCxs","properties":{"formattedCitation":"(2)","plainCitation":"(2)","noteIndex":0},"citationItems":[{"id":82,"uris":["http://zotero.org/users/12518303/items/MN53DRCD"],"itemData":{"id":82,"type":"article-journal","abstract":"Abstract\n            \n              Worldwide, the prevalence of cancer is rising and so too is the number of patients who survive their cancer for many years thanks to the therapeutic successes of modern oncology. One of the most frequent and disabling symptoms of cancer is pain. In addition to the pain caused by the cancer, cancer treatment may also lead to chronic pain. Despite its importance, chronic cancer-related pain is not represented in the current\n              International Classification of Diseases (ICD-10)\n              . This article describes the new classification of chronic cancer-related pain for\n              ICD-11\n              . Chronic cancer-related pain is defined as chronic pain caused by the primary cancer itself or metastases (chronic cancer pain) or its treatment (chronic postcancer treatment pain). It should be distinguished from pain caused by comorbid disease. Pain management regimens for terminally ill cancer patients have been elaborated by the World Health Organization and other international bodies. An important clinical challenge is the longer term pain management in cancer patients and cancer survivors, where chronic pain from cancer, its treatment, and unrelated causes may be concurrent. This article describes how a new classification of chronic cancer-related pain in\n              ICD-11\n              is intended to help develop more individualized management plans for these patients and to stimulate research into these pain syndromes.","container-title":"Pain","DOI":"10.1097/j.pain.0000000000001363","ISSN":"0304-3959, 1872-6623","issue":"1","journalAbbreviation":"Pain","language":"en","page":"38-44","source":"DOI.org (Crossref)","title":"The IASP classification of chronic pain for ICD-11: chronic cancer-related pain","title-short":"The IASP classification of chronic pain for ICD-11","volume":"160","author":[{"family":"Bennett","given":"Michael I."},{"family":"Kaasa","given":"Stein"},{"family":"Barke","given":"Antonia"},{"family":"Korwisi","given":"Beatrice"},{"family":"Rief","given":"Winfried"},{"family":"Treede","given":"Rolf-Detlef"},{"literal":"The IASP Taskforce for the Classification of Chronic Pain"}],"issued":{"date-parts":[["2019",1]]}}}],"schema":"https://github.com/citation-style-language/schema/raw/master/csl-citation.json"} </w:instrText>
      </w:r>
      <w:r w:rsidR="0000591A" w:rsidRPr="00670245">
        <w:rPr>
          <w:rFonts w:ascii="Times New Roman" w:hAnsi="Times New Roman" w:cs="Times New Roman"/>
          <w:color w:val="000000" w:themeColor="text1"/>
        </w:rPr>
        <w:fldChar w:fldCharType="separate"/>
      </w:r>
      <w:r w:rsidR="0000591A" w:rsidRPr="00670245">
        <w:rPr>
          <w:rFonts w:ascii="Times New Roman" w:hAnsi="Times New Roman" w:cs="Times New Roman"/>
          <w:noProof/>
          <w:color w:val="000000" w:themeColor="text1"/>
        </w:rPr>
        <w:t>(2)</w:t>
      </w:r>
      <w:r w:rsidR="0000591A" w:rsidRPr="00670245">
        <w:rPr>
          <w:rFonts w:ascii="Times New Roman" w:hAnsi="Times New Roman" w:cs="Times New Roman"/>
          <w:color w:val="000000" w:themeColor="text1"/>
        </w:rPr>
        <w:fldChar w:fldCharType="end"/>
      </w:r>
      <w:r w:rsidR="0000591A" w:rsidRPr="00670245">
        <w:rPr>
          <w:rFonts w:ascii="Times New Roman" w:hAnsi="Times New Roman" w:cs="Times New Roman"/>
          <w:color w:val="000000" w:themeColor="text1"/>
        </w:rPr>
        <w:t xml:space="preserve">. Cuando no se logra </w:t>
      </w:r>
      <w:r w:rsidR="0071553F">
        <w:rPr>
          <w:rFonts w:ascii="Times New Roman" w:hAnsi="Times New Roman" w:cs="Times New Roman"/>
          <w:color w:val="000000" w:themeColor="text1"/>
        </w:rPr>
        <w:t>le control sintomático adecuado</w:t>
      </w:r>
      <w:r w:rsidR="0000591A" w:rsidRPr="00670245">
        <w:rPr>
          <w:rFonts w:ascii="Times New Roman" w:hAnsi="Times New Roman" w:cs="Times New Roman"/>
          <w:color w:val="000000" w:themeColor="text1"/>
        </w:rPr>
        <w:t xml:space="preserve">, el dolor impacta de manera significativa la calidad de vida, generando limitaciones funcionales, </w:t>
      </w:r>
      <w:r w:rsidR="0000591A" w:rsidRPr="00670245">
        <w:rPr>
          <w:rFonts w:ascii="Times New Roman" w:hAnsi="Times New Roman" w:cs="Times New Roman"/>
          <w:color w:val="000000" w:themeColor="text1"/>
        </w:rPr>
        <w:lastRenderedPageBreak/>
        <w:t xml:space="preserve">alteraciones emocionales y dificultades en la interacción social. Asimismo, se asocia con un mayor riesgo de depresión, ansiedad, disfunción sexual </w:t>
      </w:r>
      <w:r w:rsidRPr="00670245">
        <w:rPr>
          <w:rFonts w:ascii="Times New Roman" w:hAnsi="Times New Roman" w:cs="Times New Roman"/>
          <w:color w:val="000000" w:themeColor="text1"/>
        </w:rPr>
        <w:t xml:space="preserve">e incluso </w:t>
      </w:r>
      <w:r w:rsidR="0000591A" w:rsidRPr="00670245">
        <w:rPr>
          <w:rFonts w:ascii="Times New Roman" w:hAnsi="Times New Roman" w:cs="Times New Roman"/>
          <w:color w:val="000000" w:themeColor="text1"/>
        </w:rPr>
        <w:t xml:space="preserve">con ideación suicida </w:t>
      </w:r>
      <w:r w:rsidR="0000591A" w:rsidRPr="00670245">
        <w:rPr>
          <w:rFonts w:ascii="Times New Roman" w:hAnsi="Times New Roman" w:cs="Times New Roman"/>
          <w:color w:val="000000" w:themeColor="text1"/>
        </w:rPr>
        <w:fldChar w:fldCharType="begin"/>
      </w:r>
      <w:r w:rsidR="0000591A" w:rsidRPr="00670245">
        <w:rPr>
          <w:rFonts w:ascii="Times New Roman" w:hAnsi="Times New Roman" w:cs="Times New Roman"/>
          <w:color w:val="000000" w:themeColor="text1"/>
        </w:rPr>
        <w:instrText xml:space="preserve"> ADDIN ZOTERO_ITEM CSL_CITATION {"citationID":"k4DNZ6c7","properties":{"formattedCitation":"(3)","plainCitation":"(3)","noteIndex":0},"citationItems":[{"id":99,"uris":["http://zotero.org/users/12518303/items/PL47FEXC"],"itemData":{"id":99,"type":"article-journal","abstract":"Background\n              The predominant trend in cancer treatment now leans towards outpatient care, placing the responsibility of pain management largely on the patients themselves. Moreover, a significant portion of treatment for advanced cancer occurs in the home environment, so patient self-management becomes increasingly crucial for the effective treatment of cancer pain.\n            \n            \n              Objectives\n              To map self-management for pain in patients with cancer at all phases of the disease before examining the potential of pain self-care interventions for ill patients with cancer.\n            \n            \n              Methods\n              A search was conducted on six electronic databases to locate studies published in English, from 2013 to 2023. We followed Arskey and O’Malley’s Scoping Reviews guidelines.\n            \n            \n              Results\n              This study thoroughly examined the provision of cancer pain self-management by healthcare professionals and identified four intervention types from 23 studies. Education emerged as the most prevalent form of self-management for cancer pain.\n            \n            \n              Conclusion\n              \n                G\n                uiding patients in managing their pain effectively, starting from their hospitalisation and extending to their discharge.","container-title":"BMJ Supportive &amp; Palliative Care","DOI":"10.1136/spcare-2024-004893","ISSN":"2045-435X, 2045-4368","issue":"4","journalAbbreviation":"BMJ Support Palliat Care","language":"en","page":"411-415","source":"DOI.org (Crossref)","title":"Cancer pain self-management interventions in adults: scoping review","title-short":"Cancer pain self-management interventions in adults","volume":"14","author":[{"family":"Sjattar","given":"Elly L"},{"family":"Arafat","given":"Rosyidah"},{"family":"Ling","given":"Lee Wan"}],"issued":{"date-parts":[["2024",12]]}}}],"schema":"https://github.com/citation-style-language/schema/raw/master/csl-citation.json"} </w:instrText>
      </w:r>
      <w:r w:rsidR="0000591A" w:rsidRPr="00670245">
        <w:rPr>
          <w:rFonts w:ascii="Times New Roman" w:hAnsi="Times New Roman" w:cs="Times New Roman"/>
          <w:color w:val="000000" w:themeColor="text1"/>
        </w:rPr>
        <w:fldChar w:fldCharType="separate"/>
      </w:r>
      <w:r w:rsidR="0000591A" w:rsidRPr="00670245">
        <w:rPr>
          <w:rFonts w:ascii="Times New Roman" w:hAnsi="Times New Roman" w:cs="Times New Roman"/>
          <w:noProof/>
          <w:color w:val="000000" w:themeColor="text1"/>
        </w:rPr>
        <w:t>(3)</w:t>
      </w:r>
      <w:r w:rsidR="0000591A" w:rsidRPr="00670245">
        <w:rPr>
          <w:rFonts w:ascii="Times New Roman" w:hAnsi="Times New Roman" w:cs="Times New Roman"/>
          <w:color w:val="000000" w:themeColor="text1"/>
        </w:rPr>
        <w:fldChar w:fldCharType="end"/>
      </w:r>
      <w:r w:rsidR="0000591A" w:rsidRPr="00670245">
        <w:rPr>
          <w:rFonts w:ascii="Times New Roman" w:hAnsi="Times New Roman" w:cs="Times New Roman"/>
          <w:color w:val="000000" w:themeColor="text1"/>
        </w:rPr>
        <w:t xml:space="preserve">. </w:t>
      </w:r>
    </w:p>
    <w:p w14:paraId="54B7AD95" w14:textId="4E638E24" w:rsidR="0000591A" w:rsidRPr="00670245" w:rsidRDefault="0000591A"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A medida que mejoran las terapias oncológicas se logra mayor supervivencia, pero también aumentan las complicaciones; en este escenario, el abordaje del dolor relacionado con el cáncer se ha complejizado debido no solo a la progresión tumoral, sino también a las secuelas de los tratamientos oncológicos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{"citationID":"2WP4mF66","properties":{"formattedCitation":"(4)","plainCitation":"(4)","noteIndex":0},"citationItems":[{"id":52,"uris":["http://zotero.org/users/12518303/items/UN5H7KEC"],"itemData":{"id":52,"type":"article-journal","container-title":"British Journal of Anaesthesia","DOI":"10.1093/bja/aet208","ISSN":"00070912","issue":"1","journalAbbreviation":"British Journal of Anaesthesia","language":"en","license":"https://www.elsevier.com/tdm/userlicense/1.0/","page":"105-111","source":"DOI.org (Crossref)","title":"Neuropathic pain in cancer","volume":"111","author":[{"family":"Fallon","given":"M.T."}],"issued":{"date-parts":[["2013",7]]}}}],"schema":"https://github.com/citation-style-language/schema/raw/master/csl-citation.json"}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(4)</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Dentro de este contexto, el dolor neuropático adquiere relevancia como un síndrome diferenciado, aunque ha sido menos estudiado en pacientes con cáncer que en la población general. En la población general, este dolor afecta hasta un 17% de quienes padecen dolor crónico y se relaciona con mayor intensidad, peor calidad de vida y mayor interferencia funcional que el dolor nociceptivo. En el ámbito oncológico, aunque los estudios son más limitados, se estima que hasta un 39% de los pacientes con dolor por cáncer presentan un componente neuropático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{"citationID":"JVMYXe3k","properties":{"formattedCitation":"(5)","plainCitation":"(5)","noteIndex":0},"citationItems":[{"id":101,"uris":["http://zotero.org/users/12518303/items/WE6R9KRC"],"itemData":{"id":101,"type":"article-journal","abstract":"Background:\n              Neuropathic pain causes greater pain intensity and worse quality of life than nociceptive pain. There are no published data that confirm this in the cancer population.\n            \n            \n              Aim:\n              We hypothesised that patients with neuropathic cancer pain had more intense pain, experienced greater suffering and were treated with more analgesics than those with nociceptive cancer pain, and a neuropathic pain screening tool, painDETECT, would perform as well in those with cancer pain as is reported in those with non-cancer pain.\n            \n            \n              Design:\n              The data were obtained from an international cross-sectional observational study.\n            \n            \n              Setting/Participants:\n              A total of 1051 patients from inpatients and outpatients, with incurable cancer completed a computerised assessment on symptoms, function and quality of life. In all, 17 centres within eight countries participated. Medical data were recorded by physicians. Pain type was a clinical diagnosis recorded on the Edmonton Classification System for Cancer Pain.\n            \n            \n              Results:\n              Of the patients, 670 had pain: 534 with nociceptive pain, 113 with neuropathic pain and 23 were unclassified. Patients with neuropathic cancer pain were significantly more likely to be receiving oncological treatment, strong opioids and adjuvant analgesia and have a reduced performance status. They reported worse physical, cognitive and social function. Sensitivity and specificity of painDETECT for identifying neuropathic cancer pain was less accurate than when used in non-cancer populations.\n            \n            \n              Conclusions:\n              Neuropathic cancer pain is associated with a negative impact on daily living and greater analgesic requirements than nociceptive cancer pain. Validated assessment methods are needed to enable early identification of neuropathic cancer pain, leading to more appropriate treatment and reduced burden on patients.","container-title":"Palliative Medicine","DOI":"10.1177/0269216312464408","ISSN":"0269-2163, 1477-030X","issue":"8","journalAbbreviation":"Palliat Med","language":"en","page":"714-721","source":"DOI.org (Crossref)","title":"Neuropathic cancer pain: Prevalence, severity, analgesics and impact from the European Palliative Care Research Collaborative–Computerised Symptom Assessment study","title-short":"Neuropathic cancer pain","volume":"27","author":[{"family":"Rayment","given":"Clare"},{"family":"Hjermstad","given":"Marianne J"},{"family":"Aass","given":"Nina"},{"family":"Kaasa","given":"Stein"},{"family":"Caraceni","given":"Augusto"},{"family":"Strasser","given":"Florian"},{"family":"Heitzer","given":"Ellen"},{"family":"Fainsinger","given":"Robin"},{"family":"Bennett","given":"Michael I"},{"literal":"On behalf of the European Palliative Care Research Collaborative (EPCRC)"}],"issued":{"date-parts":[["2013",9]]}}}],"schema":"https://github.com/citation-style-language/schema/raw/master/csl-citation.json"}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6214666F" w14:textId="52E05FC8" w:rsidR="00C17A5F"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En este escenario resulta fundamental diferenciar los distintos tipos de dolor asociados al cáncer, lo cual permite entender mejor su abordaje terapéutico.. El dolor crónico relacionado con el cáncer se define como aquel causado directamente por el tumor primario o sus metástasis, o bien como consecuencia de los tratamientos oncológicos, incluyendo cirugía, quimioterapia o radioterapia; debe diferenciarse del dolor originado en enfermedades concomitantes no vinculadas al cáncer</w:t>
      </w:r>
      <w:r w:rsidR="000212C2" w:rsidRPr="00670245">
        <w:rPr>
          <w:rFonts w:ascii="Times New Roman" w:hAnsi="Times New Roman" w:cs="Times New Roman"/>
          <w:color w:val="000000" w:themeColor="text1"/>
        </w:rPr>
        <w:fldChar w:fldCharType="begin"/>
      </w:r>
      <w:r w:rsidR="000212C2" w:rsidRPr="00670245">
        <w:rPr>
          <w:rFonts w:ascii="Times New Roman" w:hAnsi="Times New Roman" w:cs="Times New Roman"/>
          <w:color w:val="000000" w:themeColor="text1"/>
        </w:rPr>
        <w:instrText xml:space="preserve"> ADDIN ZOTERO_ITEM CSL_CITATION {"citationID":"pjjZZP1D","properties":{"formattedCitation":"(2)","plainCitation":"(2)","noteIndex":0},"citationItems":[{"id":82,"uris":["http://zotero.org/users/12518303/items/MN53DRCD"],"itemData":{"id":82,"type":"article-journal","abstract":"Abstract\n            \n              Worldwide, the prevalence of cancer is rising and so too is the number of patients who survive their cancer for many years thanks to the therapeutic successes of modern oncology. One of the most frequent and disabling symptoms of cancer is pain. In addition to the pain caused by the cancer, cancer treatment may also lead to chronic pain. Despite its importance, chronic cancer-related pain is not represented in the current\n              International Classification of Diseases (ICD-10)\n              . This article describes the new classification of chronic cancer-related pain for\n              ICD-11\n              . Chronic cancer-related pain is defined as chronic pain caused by the primary cancer itself or metastases (chronic cancer pain) or its treatment (chronic postcancer treatment pain). It should be distinguished from pain caused by comorbid disease. Pain management regimens for terminally ill cancer patients have been elaborated by the World Health Organization and other international bodies. An important clinical challenge is the longer term pain management in cancer patients and cancer survivors, where chronic pain from cancer, its treatment, and unrelated causes may be concurrent. This article describes how a new classification of chronic cancer-related pain in\n              ICD-11\n              is intended to help develop more individualized management plans for these patients and to stimulate research into these pain syndromes.","container-title":"Pain","DOI":"10.1097/j.pain.0000000000001363","ISSN":"0304-3959, 1872-6623","issue":"1","journalAbbreviation":"Pain","language":"en","page":"38-44","source":"DOI.org (Crossref)","title":"The IASP classification of chronic pain for ICD-11: chronic cancer-related pain","title-short":"The IASP classification of chronic pain for ICD-11","volume":"160","author":[{"family":"Bennett","given":"Michael I."},{"family":"Kaasa","given":"Stein"},{"family":"Barke","given":"Antonia"},{"family":"Korwisi","given":"Beatrice"},{"family":"Rief","given":"Winfried"},{"family":"Treede","given":"Rolf-Detlef"},{"literal":"The IASP Taskforce for the Classification of Chronic Pain"}],"issued":{"date-parts":[["2019",1]]}}}],"schema":"https://github.com/citation-style-language/schema/raw/master/csl-citation.json"} </w:instrText>
      </w:r>
      <w:r w:rsidR="000212C2" w:rsidRPr="00670245">
        <w:rPr>
          <w:rFonts w:ascii="Times New Roman" w:hAnsi="Times New Roman" w:cs="Times New Roman"/>
          <w:color w:val="000000" w:themeColor="text1"/>
        </w:rPr>
        <w:fldChar w:fldCharType="separate"/>
      </w:r>
      <w:r w:rsidR="000212C2" w:rsidRPr="00670245">
        <w:rPr>
          <w:rFonts w:ascii="Times New Roman" w:hAnsi="Times New Roman" w:cs="Times New Roman"/>
          <w:noProof/>
          <w:color w:val="000000" w:themeColor="text1"/>
        </w:rPr>
        <w:t>(2)</w:t>
      </w:r>
      <w:r w:rsidR="000212C2" w:rsidRPr="00670245">
        <w:rPr>
          <w:rFonts w:ascii="Times New Roman" w:hAnsi="Times New Roman" w:cs="Times New Roman"/>
          <w:color w:val="000000" w:themeColor="text1"/>
        </w:rPr>
        <w:fldChar w:fldCharType="end"/>
      </w:r>
      <w:r w:rsidR="000212C2"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A su vez, el dolor neuropático corresponde al dolor generado por una lesión o enfermedad que afecta al sistema somatosensorial y, en el contexto oncológico, puede presentarse tanto por infiltración tumoral como por los efectos adversos de las terapias específicas</w:t>
      </w:r>
      <w:r w:rsidR="000212C2" w:rsidRPr="00670245">
        <w:rPr>
          <w:rFonts w:ascii="Times New Roman" w:hAnsi="Times New Roman" w:cs="Times New Roman"/>
          <w:color w:val="000000" w:themeColor="text1"/>
        </w:rPr>
        <w:t xml:space="preserve"> (2)</w:t>
      </w:r>
      <w:r w:rsidR="000212C2" w:rsidRPr="00670245">
        <w:rPr>
          <w:rFonts w:ascii="Times New Roman" w:hAnsi="Times New Roman" w:cs="Times New Roman"/>
          <w:color w:val="000000" w:themeColor="text1"/>
        </w:rPr>
        <w:fldChar w:fldCharType="begin"/>
      </w:r>
      <w:r w:rsidR="000212C2" w:rsidRPr="00670245">
        <w:rPr>
          <w:rFonts w:ascii="Times New Roman" w:hAnsi="Times New Roman" w:cs="Times New Roman"/>
          <w:color w:val="000000" w:themeColor="text1"/>
        </w:rPr>
        <w:instrText xml:space="preserve"> ADDIN ZOTERO_ITEM CSL_CITATION {"citationID":"n6wcLHSu","properties":{"formattedCitation":"(6)","plainCitation":"(6)","noteIndex":0},"citationItems":[{"id":50,"uris":["http://zotero.org/users/12518303/items/BDWXQSRU"],"itemData":{"id":50,"type":"article-journal","abstract":"Abstract\n            \n              The upcoming 11th revision of the\n              International Statistical Classification of Diseases and Related Health Problems (ICD)\n              of the World Health Organization (WHO) offers a unique opportunity to improve the representation of painful disorders. For this purpose, the International Association for the Study of Pain (IASP) has convened an interdisciplinary task force of pain specialists. Here, we present the case for a reclassification of nervous system lesions or diseases associated with persistent or recurrent pain for ≥3 months. The new classification lists the most common conditions of peripheral neuropathic pain: trigeminal neuralgia, peripheral nerve injury, painful polyneuropathy, postherpetic neuralgia, and painful radiculopathy. Conditions of central neuropathic pain include pain caused by spinal cord or brain injury, poststroke pain, and pain associated with multiple sclerosis. Diseases not explicitly mentioned in the classification are captured in residual categories of\n              ICD-11\n              . Conditions of chronic neuropathic pain are either insufficiently defined or missing in the current version of the ICD, despite their prevalence and clinical importance. We provide the short definitions of diagnostic entities for which we submitted more detailed content models to the WHO. Definitions and content models were established in collaboration with the Classification Committee of the IASP's Neuropathic Pain Special Interest Group (NeuPSIG). Up to 10% of the general population experience neuropathic pain. The majority of these patients do not receive satisfactory relief with existing treatments. A precise classification of chronic neuropathic pain in\n              ICD-11\n              is necessary to document this public health need and the therapeutic challenges related to chronic neuropathic pain.","container-title":"Pain","DOI":"10.1097/j.pain.0000000000001365","ISSN":"0304-3959, 1872-6623","issue":"1","journalAbbreviation":"Pain","language":"en","page":"53-59","source":"DOI.org (Crossref)","title":"The IASP classification of chronic pain for ICD-11: chronic neuropathic pain","title-short":"The IASP classification of chronic pain for ICD-11","volume":"160","author":[{"family":"Scholz","given":"Joachim"},{"family":"Finnerup","given":"Nanna B."},{"family":"Attal","given":"Nadine"},{"family":"Aziz","given":"Qasim"},{"family":"Baron","given":"Ralf"},{"family":"Bennett","given":"Michael I."},{"family":"Benoliel","given":"Rafael"},{"family":"Cohen","given":"Milton"},{"family":"Cruccu","given":"Giorgio"},{"family":"Davis","given":"Karen D."},{"family":"Evers","given":"Stefan"},{"family":"First","given":"Michael"},{"family":"Giamberardino","given":"Maria Adele"},{"family":"Hansson","given":"Per"},{"family":"Kaasa","given":"Stein"},{"family":"Korwisi","given":"Beatrice"},{"family":"Kosek","given":"Eva"},{"family":"Lavand'homme","given":"Patricia"},{"family":"Nicholas","given":"Michael"},{"family":"Nurmikko","given":"Turo"},{"family":"Perrot","given":"Serge"},{"family":"Raja","given":"Srinivasa N."},{"family":"Rice","given":"Andrew S.C."},{"family":"Rowbotham","given":"Michael C."},{"family":"Schug","given":"Stephan"},{"family":"Simpson","given":"David M."},{"family":"Smith","given":"Blair H."},{"family":"Svensson","given":"Peter"},{"family":"Vlaeyen","given":"Johan W.S."},{"family":"Wang","given":"Shuu-Jiun"},{"family":"Barke","given":"Antonia"},{"family":"Rief","given":"Winfried"},{"family":"Treede","given":"Rolf-Detlef"},{"literal":"Classification Committee of the Neuropathic Pain Special Interest Group (NeuPSIG)"}],"issued":{"date-parts":[["2019",1]]}}}],"schema":"https://github.com/citation-style-language/schema/raw/master/csl-citation.json"} </w:instrText>
      </w:r>
      <w:r w:rsidR="000212C2" w:rsidRPr="00670245">
        <w:rPr>
          <w:rFonts w:ascii="Times New Roman" w:hAnsi="Times New Roman" w:cs="Times New Roman"/>
          <w:color w:val="000000" w:themeColor="text1"/>
        </w:rPr>
        <w:fldChar w:fldCharType="separate"/>
      </w:r>
      <w:r w:rsidR="000212C2" w:rsidRPr="00670245">
        <w:rPr>
          <w:rFonts w:ascii="Times New Roman" w:hAnsi="Times New Roman" w:cs="Times New Roman"/>
          <w:noProof/>
          <w:color w:val="000000" w:themeColor="text1"/>
        </w:rPr>
        <w:t>(6)</w:t>
      </w:r>
      <w:r w:rsidR="000212C2" w:rsidRPr="00670245">
        <w:rPr>
          <w:rFonts w:ascii="Times New Roman" w:hAnsi="Times New Roman" w:cs="Times New Roman"/>
          <w:color w:val="000000" w:themeColor="text1"/>
        </w:rPr>
        <w:fldChar w:fldCharType="end"/>
      </w:r>
      <w:r w:rsidR="000212C2"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Una característica relevante de este tipo de dolor en pacientes con cáncer es la frecuente coexistencia de un componente nociceptivo secundario al efecto de masa del tumor o de sus metástasis, situación conocida como dolor mixto, la cual incrementa la complejidad terapéutica y contribuye a que un número significativo de pacientes curse con dolor refractario o de difícil manejo</w:t>
      </w:r>
      <w:r w:rsidR="000212C2" w:rsidRPr="00670245">
        <w:rPr>
          <w:rFonts w:ascii="Times New Roman" w:hAnsi="Times New Roman" w:cs="Times New Roman"/>
          <w:color w:val="000000" w:themeColor="text1"/>
        </w:rPr>
        <w:fldChar w:fldCharType="begin"/>
      </w:r>
      <w:r w:rsidR="000212C2" w:rsidRPr="00670245">
        <w:rPr>
          <w:rFonts w:ascii="Times New Roman" w:hAnsi="Times New Roman" w:cs="Times New Roman"/>
          <w:color w:val="000000" w:themeColor="text1"/>
        </w:rPr>
        <w:instrText xml:space="preserve"> ADDIN ZOTERO_ITEM CSL_CITATION {"citationID":"7rnNyRh9","properties":{"formattedCitation":"(1)","plainCitation":"(1)","noteIndex":0},"citationItems":[{"id":92,"uris":["http://zotero.org/users/12518303/items/JBFG6ACA"],"itemData":{"id":92,"type":"article-journal","abstract":"Pain is frequently reported during cancer disease, and it still remains poorly controlled in 40% of patients. Recent developments in oncology have helped to better control pain. Targeted treatments may cure cancer disease and significantly increase survival. Therefore, a novel population of patients (cancer survivors) has emerged, also enduring chronic pain (27.6% moderate to severe pain). The present review discusses the different options currently available to manage pain in (former) cancer patients in light of progress made in the last decade. Major progress in the field includes the recent development of a chronic cancer pain taxonomy now included in the International Classification of Diseases (ICD-11) and the update of the WHO analgesic ladder. Until recently, cancer pain management has mostly relied on pharmacotherapy, with opioids being considered as the mainstay. The opioids crisis has prompted the reassessment of opioids use in cancer patients and survivors. This review focuses on the current utilization of opioids, the neuropathic pain component often neglected, and the techniques and non-pharmacological strategies available which help to personalize patient treatment. Cancer pain management is now closer to the management of chronic non-cancer pain, i.e., “an integrative and supportive pain care” aiming to improve patient’s quality of life.","container-title":"Current Oncology","DOI":"10.3390/curroncol30070500","ISSN":"1718-7729","issue":"7","journalAbbreviation":"Current Oncology","language":"en","license":"https://creativecommons.org/licenses/by/4.0/","page":"6838-6858","source":"DOI.org (Crossref)","title":"Cancer Pain Management: A Narrative Review of Current Concepts, Strategies, and Techniques","title-short":"Cancer Pain Management","volume":"30","author":[{"family":"Mestdagh","given":"François"},{"family":"Steyaert","given":"Arnaud"},{"family":"Lavand’homme","given":"Patricia"}],"issued":{"date-parts":[["2023",7,18]]}}}],"schema":"https://github.com/citation-style-language/schema/raw/master/csl-citation.json"} </w:instrText>
      </w:r>
      <w:r w:rsidR="000212C2" w:rsidRPr="00670245">
        <w:rPr>
          <w:rFonts w:ascii="Times New Roman" w:hAnsi="Times New Roman" w:cs="Times New Roman"/>
          <w:color w:val="000000" w:themeColor="text1"/>
        </w:rPr>
        <w:fldChar w:fldCharType="separate"/>
      </w:r>
      <w:r w:rsidR="000212C2" w:rsidRPr="00670245">
        <w:rPr>
          <w:rFonts w:ascii="Times New Roman" w:hAnsi="Times New Roman" w:cs="Times New Roman"/>
          <w:noProof/>
          <w:color w:val="000000" w:themeColor="text1"/>
        </w:rPr>
        <w:t>(1)</w:t>
      </w:r>
      <w:r w:rsidR="000212C2" w:rsidRPr="00670245">
        <w:rPr>
          <w:rFonts w:ascii="Times New Roman" w:hAnsi="Times New Roman" w:cs="Times New Roman"/>
          <w:color w:val="000000" w:themeColor="text1"/>
        </w:rPr>
        <w:fldChar w:fldCharType="end"/>
      </w:r>
      <w:r w:rsidR="000212C2" w:rsidRPr="00670245">
        <w:rPr>
          <w:rFonts w:ascii="Times New Roman" w:hAnsi="Times New Roman" w:cs="Times New Roman"/>
          <w:color w:val="000000" w:themeColor="text1"/>
        </w:rPr>
        <w:t>(2).</w:t>
      </w:r>
      <w:r w:rsidR="00C17A5F"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 xml:space="preserve">La cronicidad del dolor y la refractariedad a tratamientos convencionales han impulsado la búsqueda de alternativas como la lidocaína en infusión </w:t>
      </w:r>
      <w:r w:rsidR="00C17A5F" w:rsidRPr="00670245">
        <w:rPr>
          <w:rFonts w:ascii="Times New Roman" w:hAnsi="Times New Roman" w:cs="Times New Roman"/>
          <w:color w:val="000000" w:themeColor="text1"/>
        </w:rPr>
        <w:fldChar w:fldCharType="begin"/>
      </w:r>
      <w:r w:rsidR="00C17A5F" w:rsidRPr="00670245">
        <w:rPr>
          <w:rFonts w:ascii="Times New Roman" w:hAnsi="Times New Roman" w:cs="Times New Roman"/>
          <w:color w:val="000000" w:themeColor="text1"/>
        </w:rPr>
        <w:instrText xml:space="preserve"> ADDIN ZOTERO_ITEM CSL_CITATION {"citationID":"8LdANU59","properties":{"formattedCitation":"(7)","plainCitation":"(7)","noteIndex":0},"citationItems":[{"id":27,"uris":["http://zotero.org/users/12518303/items/2HGHYVR8"],"itemData":{"id":27,"type":"article-journal","abstract":"Opioid-refractory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G."},{"family":"Jain","given":"Dimpel"}],"issued":{"date-parts":[["2009",1]]}}}],"schema":"https://github.com/citation-style-language/schema/raw/master/csl-citation.json"} </w:instrText>
      </w:r>
      <w:r w:rsidR="00C17A5F" w:rsidRPr="00670245">
        <w:rPr>
          <w:rFonts w:ascii="Times New Roman" w:hAnsi="Times New Roman" w:cs="Times New Roman"/>
          <w:color w:val="000000" w:themeColor="text1"/>
        </w:rPr>
        <w:fldChar w:fldCharType="separate"/>
      </w:r>
      <w:r w:rsidR="00C17A5F" w:rsidRPr="00670245">
        <w:rPr>
          <w:rFonts w:ascii="Times New Roman" w:hAnsi="Times New Roman" w:cs="Times New Roman"/>
          <w:noProof/>
          <w:color w:val="000000" w:themeColor="text1"/>
        </w:rPr>
        <w:t>(7)</w:t>
      </w:r>
      <w:r w:rsidR="00C17A5F" w:rsidRPr="00670245">
        <w:rPr>
          <w:rFonts w:ascii="Times New Roman" w:hAnsi="Times New Roman" w:cs="Times New Roman"/>
          <w:color w:val="000000" w:themeColor="text1"/>
        </w:rPr>
        <w:fldChar w:fldCharType="end"/>
      </w:r>
      <w:r w:rsidR="00C17A5F"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 xml:space="preserve">Tanto la vía intravenosa como la subcutánea han mostrado utilidad como adyuvantes en el dolor oncológico refractario, con mejoría clínica y reducción del consumo de opioides, lo que justifica la necesidad de sintetizar la evidencia disponible </w:t>
      </w:r>
      <w:r w:rsidR="00C17A5F" w:rsidRPr="00670245">
        <w:rPr>
          <w:rFonts w:ascii="Times New Roman" w:hAnsi="Times New Roman" w:cs="Times New Roman"/>
          <w:color w:val="000000" w:themeColor="text1"/>
        </w:rPr>
        <w:fldChar w:fldCharType="begin"/>
      </w:r>
      <w:r w:rsidR="00C17A5F" w:rsidRPr="00670245">
        <w:rPr>
          <w:rFonts w:ascii="Times New Roman" w:hAnsi="Times New Roman" w:cs="Times New Roman"/>
          <w:color w:val="000000" w:themeColor="text1"/>
        </w:rPr>
        <w:instrText xml:space="preserve"> ADDIN ZOTERO_ITEM CSL_CITATION {"citationID":"sA8fhPEN","properties":{"formattedCitation":"(8,9)","plainCitation":"(8,9)","noteIndex":0},"citationItems":[{"id":29,"uris":["http://zotero.org/users/12518303/items/T64IPWAM"],"itemData":{"id":29,"type":"article-journal","abstract":"Introduction: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00C17A5F" w:rsidRPr="00670245">
        <w:rPr>
          <w:rFonts w:ascii="Times New Roman" w:hAnsi="Times New Roman" w:cs="Times New Roman"/>
          <w:color w:val="000000" w:themeColor="text1"/>
        </w:rPr>
        <w:fldChar w:fldCharType="separate"/>
      </w:r>
      <w:r w:rsidR="00C17A5F" w:rsidRPr="00670245">
        <w:rPr>
          <w:rFonts w:ascii="Times New Roman" w:hAnsi="Times New Roman" w:cs="Times New Roman"/>
          <w:noProof/>
          <w:color w:val="000000" w:themeColor="text1"/>
        </w:rPr>
        <w:t>(8,9)</w:t>
      </w:r>
      <w:r w:rsidR="00C17A5F" w:rsidRPr="00670245">
        <w:rPr>
          <w:rFonts w:ascii="Times New Roman" w:hAnsi="Times New Roman" w:cs="Times New Roman"/>
          <w:color w:val="000000" w:themeColor="text1"/>
        </w:rPr>
        <w:fldChar w:fldCharType="end"/>
      </w:r>
      <w:r w:rsidR="00C17A5F" w:rsidRPr="00670245">
        <w:rPr>
          <w:rFonts w:ascii="Times New Roman" w:hAnsi="Times New Roman" w:cs="Times New Roman"/>
          <w:color w:val="000000" w:themeColor="text1"/>
        </w:rPr>
        <w:t>.</w:t>
      </w:r>
    </w:p>
    <w:p w14:paraId="6492780D" w14:textId="783F2410" w:rsidR="00C17A5F" w:rsidRPr="00670245" w:rsidRDefault="00C17A5F"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Fundamento farmacológico</w:t>
      </w:r>
    </w:p>
    <w:p w14:paraId="094967D2" w14:textId="3CBF8732" w:rsidR="00C17A5F"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lastRenderedPageBreak/>
        <w:t>Más allá de su relevancia clínica, es necesario comprender los fundamentos farmacológicos que sustentan el potencial uso de la lidocaína en este contexto. El interés en la lidocaína como terapia analgésica no solo se sustenta en los hallazgos clínicos, sino también en su plausibilidad biológica. Se trata de un medicamento anestésico local de tipo amida, sintetizado por primera vez en 1943 por Nils Lofgren, y desde 1948 ha sido ampliamente utilizado para anestesia epidural y bloqueo nervioso central</w:t>
      </w:r>
      <w:r w:rsidR="00C17A5F" w:rsidRPr="00670245">
        <w:rPr>
          <w:rFonts w:ascii="Times New Roman" w:hAnsi="Times New Roman" w:cs="Times New Roman"/>
          <w:color w:val="000000" w:themeColor="text1"/>
          <w:lang w:val="es-ES"/>
        </w:rPr>
        <w:t xml:space="preserve"> </w:t>
      </w:r>
      <w:r w:rsidR="00C17A5F" w:rsidRPr="00670245">
        <w:rPr>
          <w:rFonts w:ascii="Times New Roman" w:hAnsi="Times New Roman" w:cs="Times New Roman"/>
          <w:color w:val="000000" w:themeColor="text1"/>
          <w:lang w:val="es-ES"/>
        </w:rPr>
        <w:fldChar w:fldCharType="begin"/>
      </w:r>
      <w:r w:rsidR="00C17A5F" w:rsidRPr="00670245">
        <w:rPr>
          <w:rFonts w:ascii="Times New Roman" w:hAnsi="Times New Roman" w:cs="Times New Roman"/>
          <w:color w:val="000000" w:themeColor="text1"/>
          <w:lang w:val="es-ES"/>
        </w:rPr>
        <w:instrText xml:space="preserve"> ADDIN ZOTERO_ITEM CSL_CITATION {"citationID":"WYWs6zgy","properties":{"formattedCitation":"(10)","plainCitation":"(10)","noteIndex":0},"citationItems":[{"id":47,"uris":["http://zotero.org/users/12518303/items/VLNEJEMD"],"itemData":{"id":47,"type":"article-journal","container-title":"British Journal of Anaesthesia","DOI":"10.1016/j.bja.2019.06.014","ISSN":"00070912","issue":"3","journalAbbreviation":"British Journal of Anaesthesia","language":"en","license":"https://www.elsevier.com/tdm/userlicense/1.0/","page":"335-349","source":"DOI.org (Crossref)","title":"Molecular mechanisms of action of systemic lidocaine in acute and chronic pain: a narrative review","title-short":"Molecular mechanisms of action of systemic lidocaine in acute and chronic pain","volume":"123","author":[{"family":"Hermanns","given":"Henning"},{"family":"Hollmann","given":"Markus W."},{"family":"Stevens","given":"Markus F."},{"family":"Lirk","given":"Philipp"},{"family":"Brandenburger","given":"Timo"},{"family":"Piegeler","given":"Tobias"},{"family":"Werdehausen","given":"Robert"}],"issued":{"date-parts":[["2019",9]]}}}],"schema":"https://github.com/citation-style-language/schema/raw/master/csl-citation.json"} </w:instrText>
      </w:r>
      <w:r w:rsidR="00C17A5F" w:rsidRPr="00670245">
        <w:rPr>
          <w:rFonts w:ascii="Times New Roman" w:hAnsi="Times New Roman" w:cs="Times New Roman"/>
          <w:color w:val="000000" w:themeColor="text1"/>
          <w:lang w:val="es-ES"/>
        </w:rPr>
        <w:fldChar w:fldCharType="separate"/>
      </w:r>
      <w:r w:rsidR="00C17A5F" w:rsidRPr="00670245">
        <w:rPr>
          <w:rFonts w:ascii="Times New Roman" w:hAnsi="Times New Roman" w:cs="Times New Roman"/>
          <w:noProof/>
          <w:color w:val="000000" w:themeColor="text1"/>
          <w:lang w:val="es-ES"/>
        </w:rPr>
        <w:t>(10)</w:t>
      </w:r>
      <w:r w:rsidR="00C17A5F" w:rsidRPr="00670245">
        <w:rPr>
          <w:rFonts w:ascii="Times New Roman" w:hAnsi="Times New Roman" w:cs="Times New Roman"/>
          <w:color w:val="000000" w:themeColor="text1"/>
          <w:lang w:val="es-ES"/>
        </w:rPr>
        <w:fldChar w:fldCharType="end"/>
      </w:r>
      <w:r w:rsidR="00C17A5F" w:rsidRPr="00670245">
        <w:rPr>
          <w:rFonts w:ascii="Times New Roman" w:hAnsi="Times New Roman" w:cs="Times New Roman"/>
          <w:color w:val="000000" w:themeColor="text1"/>
          <w:lang w:val="es-ES"/>
        </w:rPr>
        <w:t xml:space="preserve">. </w:t>
      </w:r>
    </w:p>
    <w:p w14:paraId="70952472" w14:textId="712019C6" w:rsidR="00C17A5F" w:rsidRPr="00670245" w:rsidRDefault="00C17A5F" w:rsidP="00670245">
      <w:pPr>
        <w:tabs>
          <w:tab w:val="left" w:pos="4820"/>
        </w:tabs>
        <w:autoSpaceDE w:val="0"/>
        <w:autoSpaceDN w:val="0"/>
        <w:adjustRightInd w:val="0"/>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lang w:val="es-ES"/>
        </w:rPr>
        <w:t xml:space="preserve"> </w:t>
      </w:r>
      <w:r w:rsidRPr="00670245">
        <w:rPr>
          <w:rFonts w:ascii="Times New Roman" w:hAnsi="Times New Roman" w:cs="Times New Roman"/>
          <w:color w:val="000000" w:themeColor="text1"/>
        </w:rPr>
        <w:t xml:space="preserve"> La lidocaína ejerce su efecto analgésico principalmente mediante el bloqueo de los canales de sodio dependientes de voltaje. En el ganglio de la raíz dorsal también modula canales de potasio, lo que contribuye a la regulación de la excitabilidad neuronal y de las concentraciones intracelulares de calcio. En conjunto, estas acciones sobre canales iónicos clave reducen la transmisión nociceptiva hacia el sistema nervioso central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{"citationID":"Rsrnsnkd","properties":{"formattedCitation":"(11,12)","plainCitation":"(11,12)","noteIndex":0},"citationItems":[{"id":65,"uris":["http://zotero.org/users/12518303/items/FN99A44L"],"itemData":{"id":65,"type":"article-journal","container-title":"British Journal of Anaesthesia","DOI":"10.1093/bja/aef163","ISSN":"00070912","issue":"1","journalAbbreviation":"British Journal of Anaesthesia","language":"en","license":"https://www.elsevier.com/tdm/userlicense/1.0/","page":"52-61","source":"DOI.org (Crossref)","title":"Mechanisms of (local) anaesthetics on voltage-gated sodium and other ion channels","volume":"89","author":[{"family":"Scholz","given":"A"}],"issued":{"date-parts":[["2002",7]]}}},{"id":62,"uris":["http://zotero.org/users/12518303/items/SKI4RVUQ"],"itemData":{"id":62,"type":"article-journal","abstract":"Abstract\n              Lidocaine, as the only local anesthetic approved for intravenous administration in the clinic, can relieve neuropathic pain, hyperalgesia, and complex regional pain syndrome. Intravenous injection of lidocaine during surgery is considered as an effective strategy to control postoperative pain, but the mechanism of its analgesic effect has not been fully elucidated. This paper intends to review recent studies on the mechanism of the analgesic effect of lidocaine. To the end, we conducted an electronic search of the PubMed database. The search period was from 5 years before June 2019. Lidocaine was used as the search term. A total of 659 documents were obtained, we included 17 articles. These articles combined with the 34 articles found by hand searching made up the 51 articles that were ultimately included. We reviewed the analgesic mechanism of lidocaine in the central nervous system.","container-title":"Medicine","DOI":"10.1097/MD.0000000000019898","ISSN":"0025-7974, 1536-5964","issue":"17","language":"en","license":"http://creativecommons.org/licenses/by-nc/4.0","page":"e19898","source":"DOI.org (Crossref)","title":"A review of the mechanism of the central analgesic effect of lidocaine","volume":"99","author":[{"family":"Yang","given":"Xi"},{"family":"Wei","given":"Xinchuan"},{"family":"Mu","given":"Yi"},{"family":"Li","given":"Qian"},{"family":"Liu","given":"Jin"}],"issued":{"date-parts":[["2020",4]]}}}],"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(11,12)</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Además de su acción sobre los canales iónicos, la lidocaína modula otros sistemas implicados en la nocicepción. Inhibe la activación de receptores NMDA y reduce la liberación de glutamato, lo que limita la sensibilización central; también interactúa con receptores serotoninérgicos y purinérgicos, favoreciendo vías inhibidoras del dolor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{"citationID":"AOM3rANu","properties":{"formattedCitation":"(13,14)","plainCitation":"(13,14)","noteIndex":0},"citationItems":[{"id":116,"uris":["http://zotero.org/users/12518303/items/SBV9ALHI"],"itemData":{"id":116,"type":"article-journal","container-title":"Anesthesiology and Pain Medicine","DOI":"10.5812/aapm.44732","ISSN":"2228-7523, 2228-7531","issue":"3","journalAbbreviation":"Anesth Pain Med","source":"DOI.org (Crossref)","title":"The Efficacy of Systemic Lidocaine in the Management of Chronic Pain: A Literature Review","title-short":"The Efficacy of Systemic Lidocaine in the Management of Chronic Pain","URL":"https://brieflands.com/articles/aapm-55837","volume":"7","author":[{"family":"Yousefshahi","given":"Fardin"},{"family":"Predescu","given":"Oana"},{"family":"Francisco Asenjo","given":"Juan"}],"accessed":{"date-parts":[["2025",8,31]]},"issued":{"date-parts":[["2017",4,22]]}}},{"id":58,"uris":["http://zotero.org/users/12518303/items/Y42ZXZDD"],"itemData":{"id":58,"type":"article-journal","container-title":"Supportive Care in Cancer","DOI":"10.1007/s00520-010-0864-3","ISSN":"0941-4355, 1433-7339","issue":"7","journalAbbreviation":"Support Care Cancer","language":"en","license":"http://www.springer.com/tdm","page":"899-901","source":"DOI.org (Crossref)","title":"A role for intravenous lidocaine in severe cancer-related neuropathic pain at the end-of-life","volume":"18","author":[{"family":"Buchanan","given":"D. Deans"},{"family":"J. MacIvor","given":"Frances"}],"issued":{"date-parts":[["2010",7]]}}}],"schema":"https://github.com/citation-style-language/schema/raw/master/csl-citation.json"}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(13,14)</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A nivel inmunológico, disminuye la producción de citoquinas proinflamatorias y la activación de la microglía, contribuyendo a un efecto antiinflamatorio e inmunomodulador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{"citationID":"u0jTNEsi","properties":{"formattedCitation":"(10)","plainCitation":"(10)","noteIndex":0},"citationItems":[{"id":47,"uris":["http://zotero.org/users/12518303/items/VLNEJEMD"],"itemData":{"id":47,"type":"article-journal","container-title":"British Journal of Anaesthesia","DOI":"10.1016/j.bja.2019.06.014","ISSN":"00070912","issue":"3","journalAbbreviation":"British Journal of Anaesthesia","language":"en","license":"https://www.elsevier.com/tdm/userlicense/1.0/","page":"335-349","source":"DOI.org (Crossref)","title":"Molecular mechanisms of action of systemic lidocaine in acute and chronic pain: a narrative review","title-short":"Molecular mechanisms of action of systemic lidocaine in acute and chronic pain","volume":"123","author":[{"family":"Hermanns","given":"Henning"},{"family":"Hollmann","given":"Markus W."},{"family":"Stevens","given":"Markus F."},{"family":"Lirk","given":"Philipp"},{"family":"Brandenburger","given":"Timo"},{"family":"Piegeler","given":"Tobias"},{"family":"Werdehausen","given":"Robert"}],"issued":{"date-parts":[["2019",9]]}}}],"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(10)</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Se ha descrito también que la lidocaína actúa como inhibidor de la bradicinina, un mediador inflamatorio clave, y que ejerce efectos sobre receptores acoplados a proteína G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{"citationID":"sHYnB265","properties":{"formattedCitation":"(12,15)","plainCitation":"(12,15)","noteIndex":0},"citationItems":[{"id":73,"uris":["http://zotero.org/users/12518303/items/D6L367CC"],"itemData":{"id":73,"type":"article-journal","container-title":"Regional Anesthesia and Pain Medicine","DOI":"10.1097/AAP.0000000000000758","ISSN":"1098-7339","issue":"6","journalAbbreviation":"Regional Anesthesia and Pain Medicine","language":"en","page":"605-612","source":"DOI.org (Crossref)","title":"Multiple Inhibitory Mechanisms of Lidocaine on Bradykinin Receptor Activity in Model Sensory Neurons:","title-short":"Multiple Inhibitory Mechanisms of Lidocaine on Bradykinin Receptor Activity in Model Sensory Neurons","volume":"43","author":[{"family":"Hamaya","given":"Chika"},{"family":"Barr","given":"Travis"},{"family":"Strichartz","given":"Gary R."}],"issued":{"date-parts":[["2018",8]]}}},{"id":62,"uris":["http://zotero.org/users/12518303/items/SKI4RVUQ"],"itemData":{"id":62,"type":"article-journal","abstract":"Abstract\n              Lidocaine, as the only local anesthetic approved for intravenous administration in the clinic, can relieve neuropathic pain, hyperalgesia, and complex regional pain syndrome. Intravenous injection of lidocaine during surgery is considered as an effective strategy to control postoperative pain, but the mechanism of its analgesic effect has not been fully elucidated. This paper intends to review recent studies on the mechanism of the analgesic effect of lidocaine. To the end, we conducted an electronic search of the PubMed database. The search period was from 5 years before June 2019. Lidocaine was used as the search term. A total of 659 documents were obtained, we included 17 articles. These articles combined with the 34 articles found by hand searching made up the 51 articles that were ultimately included. We reviewed the analgesic mechanism of lidocaine in the central nervous system.","container-title":"Medicine","DOI":"10.1097/MD.0000000000019898","ISSN":"0025-7974, 1536-5964","issue":"17","language":"en","license":"http://creativecommons.org/licenses/by-nc/4.0","page":"e19898","source":"DOI.org (Crossref)","title":"A review of the mechanism of the central analgesic effect of lidocaine","volume":"99","author":[{"family":"Yang","given":"Xi"},{"family":"Wei","given":"Xinchuan"},{"family":"Mu","given":"Yi"},{"family":"Li","given":"Qian"},{"family":"Liu","given":"Jin"}],"issued":{"date-parts":[["2020",4]]}}}],"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(12,15)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Estos mecanismos adicionales ayudan a explicar por qué sus efectos analgésicos pueden extenderse más allá de la duración plasmática del fármaco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{"citationID":"PWEMULcG","properties":{"formattedCitation":"(10)","plainCitation":"(10)","noteIndex":0},"citationItems":[{"id":47,"uris":["http://zotero.org/users/12518303/items/VLNEJEMD"],"itemData":{"id":47,"type":"article-journal","container-title":"British Journal of Anaesthesia","DOI":"10.1016/j.bja.2019.06.014","ISSN":"00070912","issue":"3","journalAbbreviation":"British Journal of Anaesthesia","language":"en","license":"https://www.elsevier.com/tdm/userlicense/1.0/","page":"335-349","source":"DOI.org (Crossref)","title":"Molecular mechanisms of action of systemic lidocaine in acute and chronic pain: a narrative review","title-short":"Molecular mechanisms of action of systemic lidocaine in acute and chronic pain","volume":"123","author":[{"family":"Hermanns","given":"Henning"},{"family":"Hollmann","given":"Markus W."},{"family":"Stevens","given":"Markus F."},{"family":"Lirk","given":"Philipp"},{"family":"Brandenburger","given":"Timo"},{"family":"Piegeler","given":"Tobias"},{"family":"Werdehausen","given":"Robert"}],"issued":{"date-parts":[["2019",9]]}}}],"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(10)</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5469E4A8" w14:textId="6AAA7C6D" w:rsidR="00C17A5F" w:rsidRPr="00670245" w:rsidRDefault="00C17A5F" w:rsidP="00670245">
      <w:pPr>
        <w:tabs>
          <w:tab w:val="left" w:pos="4820"/>
        </w:tabs>
        <w:autoSpaceDE w:val="0"/>
        <w:autoSpaceDN w:val="0"/>
        <w:adjustRightInd w:val="0"/>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A estos mecanismos se suma la variabilidad farmacocinética de la lidocaína, influida por factores del paciente y del esquema de administración, lo que puede impactar en la eficacia observada entre estudios.  Estas diferencias pueden explicar en parte las diferencias observadas entre estudios y refuerza la necesidad de protocolos estandarizados de administración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{"citationID":"ggtLAvWu","properties":{"formattedCitation":"(12,16)","plainCitation":"(12,16)","noteIndex":0},"citationItems":[{"id":74,"uris":["http://zotero.org/users/12518303/items/HJVASET3"],"itemData":{"id":74,"type":"article-journal","container-title":"World Journal of Anesthesiology","DOI":"10.5313/wja.v4.i2.17","ISSN":"2218-6182","issue":"2","journalAbbreviation":"WJA","language":"en","page":"17","source":"DOI.org (Crossref)","title":"Pharmacokinetics and pharmacodynamics of lignocaine: A review","title-short":"Pharmacokinetics and pharmacodynamics of lignocaine","volume":"4","author":[{"family":"Weinberg","given":"Laurence"}],"issued":{"date-parts":[["2015"]]}}},{"id":62,"uris":["http://zotero.org/users/12518303/items/SKI4RVUQ"],"itemData":{"id":62,"type":"article-journal","abstract":"Abstract\n              Lidocaine, as the only local anesthetic approved for intravenous administration in the clinic, can relieve neuropathic pain, hyperalgesia, and complex regional pain syndrome. Intravenous injection of lidocaine during surgery is considered as an effective strategy to control postoperative pain, but the mechanism of its analgesic effect has not been fully elucidated. This paper intends to review recent studies on the mechanism of the analgesic effect of lidocaine. To the end, we conducted an electronic search of the PubMed database. The search period was from 5 years before June 2019. Lidocaine was used as the search term. A total of 659 documents were obtained, we included 17 articles. These articles combined with the 34 articles found by hand searching made up the 51 articles that were ultimately included. We reviewed the analgesic mechanism of lidocaine in the central nervous system.","container-title":"Medicine","DOI":"10.1097/MD.0000000000019898","ISSN":"0025-7974, 1536-5964","issue":"17","language":"en","license":"http://creativecommons.org/licenses/by-nc/4.0","page":"e19898","source":"DOI.org (Crossref)","title":"A review of the mechanism of the central analgesic effect of lidocaine","volume":"99","author":[{"family":"Yang","given":"Xi"},{"family":"Wei","given":"Xinchuan"},{"family":"Mu","given":"Yi"},{"family":"Li","given":"Qian"},{"family":"Liu","given":"Jin"}],"issued":{"date-parts":[["2020",4]]}}}],"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(12,16)</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08496548" w14:textId="06EA6ED4" w:rsidR="005572A3" w:rsidRPr="00670245" w:rsidRDefault="00C17A5F"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Aunque podría considerarse una estrategia novedosa, la lidocaína endovenosa para el manejo del dolor </w:t>
      </w:r>
      <w:r w:rsidRPr="00670245">
        <w:rPr>
          <w:rFonts w:ascii="Times New Roman" w:hAnsi="Times New Roman" w:cs="Times New Roman"/>
          <w:color w:val="000000" w:themeColor="text1"/>
          <w:lang w:val="es-ES"/>
        </w:rPr>
        <w:t xml:space="preserve">viene siendo utilizada desde hace más de 30 años, con buenos resultados en el manejo de dolor neuropático periférico, hiperalgesia, y síndrome regional complejo </w:t>
      </w:r>
      <w:r w:rsidRPr="00670245">
        <w:rPr>
          <w:rFonts w:ascii="Times New Roman" w:hAnsi="Times New Roman" w:cs="Times New Roman"/>
          <w:color w:val="000000" w:themeColor="text1"/>
          <w:lang w:val="es-ES"/>
        </w:rPr>
        <w:fldChar w:fldCharType="begin"/>
      </w:r>
      <w:r w:rsidRPr="00670245">
        <w:rPr>
          <w:rFonts w:ascii="Times New Roman" w:hAnsi="Times New Roman" w:cs="Times New Roman"/>
          <w:color w:val="000000" w:themeColor="text1"/>
          <w:lang w:val="es-ES"/>
        </w:rPr>
        <w:instrText xml:space="preserve"> ADDIN ZOTERO_ITEM CSL_CITATION {"citationID":"1IQO60BZ","properties":{"formattedCitation":"(12)","plainCitation":"(12)","noteIndex":0},"citationItems":[{"id":62,"uris":["http://zotero.org/users/12518303/items/SKI4RVUQ"],"itemData":{"id":62,"type":"article-journal","abstract":"Abstract\n              Lidocaine, as the only local anesthetic approved for intravenous administration in the clinic, can relieve neuropathic pain, hyperalgesia, and complex regional pain syndrome. Intravenous injection of lidocaine during surgery is considered as an effective strategy to control postoperative pain, but the mechanism of its analgesic effect has not been fully elucidated. This paper intends to review recent studies on the mechanism of the analgesic effect of lidocaine. To the end, we conducted an electronic search of the PubMed database. The search period was from 5 years before June 2019. Lidocaine was used as the search term. A total of 659 documents were obtained, we included 17 articles. These articles combined with the 34 articles found by hand searching made up the 51 articles that were ultimately included. We reviewed the analgesic mechanism of lidocaine in the central nervous system.","container-title":"Medicine","DOI":"10.1097/MD.0000000000019898","ISSN":"0025-7974, 1536-5964","issue":"17","language":"en","license":"http://creativecommons.org/licenses/by-nc/4.0","page":"e19898","source":"DOI.org (Crossref)","title":"A review of the mechanism of the central analgesic effect of lidocaine","volume":"99","author":[{"family":"Yang","given":"Xi"},{"family":"Wei","given":"Xinchuan"},{"family":"Mu","given":"Yi"},{"family":"Li","given":"Qian"},{"family":"Liu","given":"Jin"}],"issued":{"date-parts":[["2020",4]]}}}],"schema":"https://github.com/citation-style-language/schema/raw/master/csl-citation.json"} </w:instrText>
      </w:r>
      <w:r w:rsidRPr="00670245">
        <w:rPr>
          <w:rFonts w:ascii="Times New Roman" w:hAnsi="Times New Roman" w:cs="Times New Roman"/>
          <w:color w:val="000000" w:themeColor="text1"/>
          <w:lang w:val="es-ES"/>
        </w:rPr>
        <w:fldChar w:fldCharType="separate"/>
      </w:r>
      <w:r w:rsidRPr="00670245">
        <w:rPr>
          <w:rFonts w:ascii="Times New Roman" w:hAnsi="Times New Roman" w:cs="Times New Roman"/>
          <w:noProof/>
          <w:color w:val="000000" w:themeColor="text1"/>
          <w:lang w:val="es-ES"/>
        </w:rPr>
        <w:t>(12)</w:t>
      </w:r>
      <w:r w:rsidRPr="00670245">
        <w:rPr>
          <w:rFonts w:ascii="Times New Roman" w:hAnsi="Times New Roman" w:cs="Times New Roman"/>
          <w:color w:val="000000" w:themeColor="text1"/>
          <w:lang w:val="es-ES"/>
        </w:rPr>
        <w:fldChar w:fldCharType="end"/>
      </w:r>
      <w:r w:rsidRPr="00670245">
        <w:rPr>
          <w:rFonts w:ascii="Times New Roman" w:hAnsi="Times New Roman" w:cs="Times New Roman"/>
          <w:color w:val="000000" w:themeColor="text1"/>
          <w:lang w:val="es-ES"/>
        </w:rPr>
        <w:t xml:space="preserve">. </w:t>
      </w:r>
      <w:r w:rsidR="005572A3" w:rsidRPr="00670245">
        <w:rPr>
          <w:rFonts w:ascii="Times New Roman" w:hAnsi="Times New Roman" w:cs="Times New Roman"/>
          <w:color w:val="000000" w:themeColor="text1"/>
        </w:rPr>
        <w:t>Sin embargo, su papel en dolor oncológico es menos claro: los estudios publicados hasta la fecha son limitados en número, tamaño muestral y heterogéneos en cuanto a población, dosis, vía de administración (intravenosa vs. subcutánea) y comparadore</w:t>
      </w:r>
      <w:r w:rsidR="000212C2" w:rsidRPr="00670245">
        <w:rPr>
          <w:rFonts w:ascii="Times New Roman" w:hAnsi="Times New Roman" w:cs="Times New Roman"/>
          <w:color w:val="000000" w:themeColor="text1"/>
        </w:rPr>
        <w:t>s</w:t>
      </w:r>
      <w:r w:rsidR="000212C2"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nmP1jaNx","properties":{"formattedCitation":"(17,18)","plainCitation":"(17,18)","noteIndex":0},"citationItems":[{"id":126,"uris":["http://zotero.org/users/12518303/items/GKAGTATH"],"itemData":{"id":126,"type":"article-journal","container-title":"Trials","DOI":"10.1186/1745-6215-15-318","ISSN":"1745-6215","issue":"1","journalAbbreviation":"Trials","language":"en","page":"318","source":"DOI.org (Crossref)","title":"Efficacy of lidocaine in patients receiving palliative care with opioid-refractory cancer pain with a neuropathic component: study protocol for a randomized controlled study","title-short":"Efficacy of lidocaine in patients receiving palliative care with opioid-refractory cancer pain with a neuropathic component","volume":"15","author":[{"family":"Salas","given":"Sébastien"},{"family":"Auquier","given":"Pascal"},{"family":"Duffaud","given":"Florence"},{"family":"Garnier","given":"Stéphanie Ranque"},{"family":"Deschamps","given":"Mélanie"},{"family":"Honoré","given":"Stéphane"},{"family":"Sudour","given":"Patrick"},{"family":"Baumstarck","given":"Karine"}],"issued":{"date-parts":[["2014",12]]}}},{"id":118,"uris":["http://zotero.org/users/12518303/items/9JIW84Y4"],"itemData":{"id":118,"type":"article-journal","container-title":"Journal of Palliative Medicine","DOI":"10.1089/jpm.2018.0257","ISSN":"1096-6218, 1557-7740","issue":"3","journalAbbreviation":"Journal of Palliative Medicine","language":"en","license":"https://www.liebertpub.com/nv/resources-tools/text-and-data-mining-policy/121/","page":"326-334","source":"DOI.org (Crossref)","title":"Lidocaine for Cancer Pain in Adults: A Systematic Review and Meta-Analysis","title-short":"Lidocaine for Cancer Pain in Adults","volume":"22","author":[{"family":"Lee","given":"Jessica T."},{"family":"Sanderson","given":"Christine R."},{"family":"Xuan","given":"Wei"},{"family":"Agar","given":"Meera"}],"issued":{"date-parts":[["2019",3]]}}}],"schema":"https://github.com/citation-style-language/schema/raw/master/csl-citation.json"} </w:instrText>
      </w:r>
      <w:r w:rsidR="000212C2"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(17,18)</w:t>
      </w:r>
      <w:r w:rsidR="000212C2" w:rsidRPr="00670245">
        <w:rPr>
          <w:rFonts w:ascii="Times New Roman" w:hAnsi="Times New Roman" w:cs="Times New Roman"/>
          <w:color w:val="000000" w:themeColor="text1"/>
        </w:rPr>
        <w:fldChar w:fldCharType="end"/>
      </w:r>
      <w:r w:rsidR="005572A3" w:rsidRPr="00670245">
        <w:rPr>
          <w:rFonts w:ascii="Times New Roman" w:hAnsi="Times New Roman" w:cs="Times New Roman"/>
          <w:color w:val="000000" w:themeColor="text1"/>
        </w:rPr>
        <w:t>.</w:t>
      </w:r>
    </w:p>
    <w:p w14:paraId="2DE4C45E" w14:textId="4DE532A7" w:rsidR="00C17A5F" w:rsidRPr="00B1354E" w:rsidRDefault="00C17A5F" w:rsidP="00670245">
      <w:pPr>
        <w:tabs>
          <w:tab w:val="left" w:pos="4820"/>
        </w:tabs>
        <w:spacing w:line="360" w:lineRule="auto"/>
        <w:jc w:val="both"/>
        <w:rPr>
          <w:rFonts w:ascii="Times New Roman" w:hAnsi="Times New Roman" w:cs="Times New Roman"/>
          <w:i/>
          <w:iCs/>
          <w:color w:val="000000" w:themeColor="text1"/>
          <w:lang w:val="es-ES"/>
        </w:rPr>
      </w:pPr>
      <w:r w:rsidRPr="00B1354E">
        <w:rPr>
          <w:rFonts w:ascii="Times New Roman" w:hAnsi="Times New Roman" w:cs="Times New Roman"/>
          <w:i/>
          <w:iCs/>
          <w:color w:val="000000" w:themeColor="text1"/>
        </w:rPr>
        <w:lastRenderedPageBreak/>
        <w:t xml:space="preserve">Evidencia clínica </w:t>
      </w:r>
    </w:p>
    <w:p w14:paraId="02BF3408" w14:textId="2F7DC48F" w:rsidR="005572A3" w:rsidRPr="00670245" w:rsidRDefault="005572A3"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Las revisiones sistemáticas previas han encontrado resultados contradictorios. Por ejemplo, la revisión de 2019 sugirió un posible beneficio de la lidocaína intravenosa en infusión corta, aunque basada en pocos estudios</w:t>
      </w:r>
      <w:r w:rsidR="000212C2" w:rsidRPr="00670245">
        <w:rPr>
          <w:rFonts w:ascii="Times New Roman" w:hAnsi="Times New Roman" w:cs="Times New Roman"/>
          <w:color w:val="000000" w:themeColor="text1"/>
        </w:rPr>
        <w:t>, sin tomar en cuenta infusión subcutánea,</w:t>
      </w:r>
      <w:r w:rsidRPr="00670245">
        <w:rPr>
          <w:rFonts w:ascii="Times New Roman" w:hAnsi="Times New Roman" w:cs="Times New Roman"/>
          <w:color w:val="000000" w:themeColor="text1"/>
        </w:rPr>
        <w:t xml:space="preserve"> y con calidad metodológica variable </w:t>
      </w:r>
      <w:r w:rsidR="000212C2" w:rsidRPr="00670245">
        <w:rPr>
          <w:rFonts w:ascii="Times New Roman" w:hAnsi="Times New Roman" w:cs="Times New Roman"/>
          <w:color w:val="000000" w:themeColor="text1"/>
        </w:rPr>
        <w:fldChar w:fldCharType="begin"/>
      </w:r>
      <w:r w:rsidR="00C17A5F" w:rsidRPr="00670245">
        <w:rPr>
          <w:rFonts w:ascii="Times New Roman" w:hAnsi="Times New Roman" w:cs="Times New Roman"/>
          <w:color w:val="000000" w:themeColor="text1"/>
        </w:rPr>
        <w:instrText xml:space="preserve"> ADDIN ZOTERO_ITEM CSL_CITATION {"citationID":"XikkP6ND","properties":{"formattedCitation":"(18)","plainCitation":"(18)","noteIndex":0},"citationItems":[{"id":118,"uris":["http://zotero.org/users/12518303/items/9JIW84Y4"],"itemData":{"id":118,"type":"article-journal","container-title":"Journal of Palliative Medicine","DOI":"10.1089/jpm.2018.0257","ISSN":"1096-6218, 1557-7740","issue":"3","journalAbbreviation":"Journal of Palliative Medicine","language":"en","license":"https://www.liebertpub.com/nv/resources-tools/text-and-data-mining-policy/121/","page":"326-334","source":"DOI.org (Crossref)","title":"Lidocaine for Cancer Pain in Adults: A Systematic Review and Meta-Analysis","title-short":"Lidocaine for Cancer Pain in Adults","volume":"22","author":[{"family":"Lee","given":"Jessica T."},{"family":"Sanderson","given":"Christine R."},{"family":"Xuan","given":"Wei"},{"family":"Agar","given":"Meera"}],"issued":{"date-parts":[["2019",3]]}}}],"schema":"https://github.com/citation-style-language/schema/raw/master/csl-citation.json"} </w:instrText>
      </w:r>
      <w:r w:rsidR="000212C2" w:rsidRPr="00670245">
        <w:rPr>
          <w:rFonts w:ascii="Times New Roman" w:hAnsi="Times New Roman" w:cs="Times New Roman"/>
          <w:color w:val="000000" w:themeColor="text1"/>
        </w:rPr>
        <w:fldChar w:fldCharType="separate"/>
      </w:r>
      <w:r w:rsidR="00C17A5F" w:rsidRPr="00670245">
        <w:rPr>
          <w:rFonts w:ascii="Times New Roman" w:hAnsi="Times New Roman" w:cs="Times New Roman"/>
          <w:noProof/>
          <w:color w:val="000000" w:themeColor="text1"/>
        </w:rPr>
        <w:t>(18)</w:t>
      </w:r>
      <w:r w:rsidR="000212C2"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Además, no se incluyeron datos más recientes sobre la administración subcutánea, que constituye una alternativa atractiva en cuidados paliativos por su facilidad de uso en domicilio</w:t>
      </w:r>
      <w:r w:rsidR="000212C2" w:rsidRPr="00670245">
        <w:rPr>
          <w:rFonts w:ascii="Times New Roman" w:hAnsi="Times New Roman" w:cs="Times New Roman"/>
          <w:color w:val="000000" w:themeColor="text1"/>
        </w:rPr>
        <w:t xml:space="preserve"> </w:t>
      </w:r>
      <w:r w:rsidR="000212C2" w:rsidRPr="00670245">
        <w:rPr>
          <w:rFonts w:ascii="Times New Roman" w:hAnsi="Times New Roman" w:cs="Times New Roman"/>
          <w:color w:val="000000" w:themeColor="text1"/>
        </w:rPr>
        <w:fldChar w:fldCharType="begin"/>
      </w:r>
      <w:r w:rsidR="00C17A5F" w:rsidRPr="00670245">
        <w:rPr>
          <w:rFonts w:ascii="Times New Roman" w:hAnsi="Times New Roman" w:cs="Times New Roman"/>
          <w:color w:val="000000" w:themeColor="text1"/>
        </w:rPr>
        <w:instrText xml:space="preserve"> ADDIN ZOTERO_ITEM CSL_CITATION {"citationID":"ll1LqnIy","properties":{"formattedCitation":"(9,18)","plainCitation":"(9,18)","noteIndex":0},"citationItems":[{"id":31,"uris":["http://zotero.org/users/12518303/items/Z775HBFS"],"itemData":{"id":31,"type":"article-journal","abstract":"Background: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G."}],"issued":{"date-parts":[["2020",10,1]]}}},{"id":118,"uris":["http://zotero.org/users/12518303/items/9JIW84Y4"],"itemData":{"id":118,"type":"article-journal","container-title":"Journal of Palliative Medicine","DOI":"10.1089/jpm.2018.0257","ISSN":"1096-6218, 1557-7740","issue":"3","journalAbbreviation":"Journal of Palliative Medicine","language":"en","license":"https://www.liebertpub.com/nv/resources-tools/text-and-data-mining-policy/121/","page":"326-334","source":"DOI.org (Crossref)","title":"Lidocaine for Cancer Pain in Adults: A Systematic Review and Meta-Analysis","title-short":"Lidocaine for Cancer Pain in Adults","volume":"22","author":[{"family":"Lee","given":"Jessica T."},{"family":"Sanderson","given":"Christine R."},{"family":"Xuan","given":"Wei"},{"family":"Agar","given":"Meera"}],"issued":{"date-parts":[["2019",3]]}}}],"schema":"https://github.com/citation-style-language/schema/raw/master/csl-citation.json"} </w:instrText>
      </w:r>
      <w:r w:rsidR="000212C2" w:rsidRPr="00670245">
        <w:rPr>
          <w:rFonts w:ascii="Times New Roman" w:hAnsi="Times New Roman" w:cs="Times New Roman"/>
          <w:color w:val="000000" w:themeColor="text1"/>
        </w:rPr>
        <w:fldChar w:fldCharType="separate"/>
      </w:r>
      <w:r w:rsidR="00C17A5F" w:rsidRPr="00670245">
        <w:rPr>
          <w:rFonts w:ascii="Times New Roman" w:hAnsi="Times New Roman" w:cs="Times New Roman"/>
          <w:noProof/>
          <w:color w:val="000000" w:themeColor="text1"/>
        </w:rPr>
        <w:t>(9,18)</w:t>
      </w:r>
      <w:r w:rsidR="000212C2"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34C14088" w14:textId="2155FCF3" w:rsidR="00B65B44" w:rsidRDefault="005572A3"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Dada la necesidad de opciones seguras y eficaces en pacientes con dolor oncológico neuropático de difícil manejo, y considerando la evidencia emergente sobre el uso de lidocaína tanto intravenosa como subcutánea, se justifica la presente revisión sistemática. El objetivo es sintetizar la evidencia disponible desde 1989 hasta 2024 sobre la eficacia y seguridad de la infusión de lidocaína sistémica en esta población, en comparación con placebo o con tratamiento activo, y establecer su rol potencial dentro de la práctica clínica paliativa.</w:t>
      </w:r>
    </w:p>
    <w:p w14:paraId="24391BD8" w14:textId="77777777" w:rsidR="00CA6A62" w:rsidRPr="00670245" w:rsidRDefault="00CA6A62" w:rsidP="00670245">
      <w:pPr>
        <w:tabs>
          <w:tab w:val="left" w:pos="4820"/>
        </w:tabs>
        <w:spacing w:line="360" w:lineRule="auto"/>
        <w:jc w:val="both"/>
        <w:rPr>
          <w:rFonts w:ascii="Times New Roman" w:hAnsi="Times New Roman" w:cs="Times New Roman"/>
          <w:color w:val="000000" w:themeColor="text1"/>
        </w:rPr>
      </w:pPr>
    </w:p>
    <w:p w14:paraId="2F6FCDC3" w14:textId="36BC31F3" w:rsidR="00B36A40" w:rsidRPr="00A269B6" w:rsidRDefault="00B36A40"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 xml:space="preserve">Métodos </w:t>
      </w:r>
    </w:p>
    <w:p w14:paraId="097B47B2" w14:textId="77777777" w:rsidR="00B65B44" w:rsidRP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Diseño</w:t>
      </w:r>
    </w:p>
    <w:p w14:paraId="1E272111" w14:textId="3B994FFC" w:rsidR="00AB7EE9" w:rsidRDefault="00AB7EE9" w:rsidP="00670245">
      <w:pPr>
        <w:pStyle w:val="Heading2"/>
        <w:tabs>
          <w:tab w:val="left" w:pos="4820"/>
        </w:tabs>
        <w:spacing w:line="360" w:lineRule="auto"/>
        <w:jc w:val="both"/>
        <w:rPr>
          <w:rFonts w:ascii="Times New Roman" w:eastAsiaTheme="minorHAnsi" w:hAnsi="Times New Roman" w:cs="Times New Roman"/>
          <w:color w:val="000000" w:themeColor="text1"/>
          <w:sz w:val="24"/>
          <w:szCs w:val="24"/>
        </w:rPr>
      </w:pPr>
      <w:r w:rsidRPr="00670245">
        <w:rPr>
          <w:rFonts w:ascii="Times New Roman" w:eastAsiaTheme="minorHAnsi" w:hAnsi="Times New Roman" w:cs="Times New Roman"/>
          <w:color w:val="000000" w:themeColor="text1"/>
          <w:sz w:val="24"/>
          <w:szCs w:val="24"/>
        </w:rPr>
        <w:t>Se realizó una revisión sistemática de la literatura</w:t>
      </w:r>
      <w:r w:rsidR="006E52C8" w:rsidRPr="00670245">
        <w:rPr>
          <w:rFonts w:ascii="Times New Roman" w:eastAsiaTheme="minorHAnsi" w:hAnsi="Times New Roman" w:cs="Times New Roman"/>
          <w:color w:val="000000" w:themeColor="text1"/>
          <w:sz w:val="24"/>
          <w:szCs w:val="24"/>
        </w:rPr>
        <w:t xml:space="preserve"> </w:t>
      </w:r>
      <w:r w:rsidRPr="00670245">
        <w:rPr>
          <w:rFonts w:ascii="Times New Roman" w:eastAsiaTheme="minorHAnsi" w:hAnsi="Times New Roman" w:cs="Times New Roman"/>
          <w:color w:val="000000" w:themeColor="text1"/>
          <w:sz w:val="24"/>
          <w:szCs w:val="24"/>
        </w:rPr>
        <w:t>siguiendo las recomendaciones de la declaración</w:t>
      </w:r>
      <w:r w:rsidR="006E52C8" w:rsidRPr="00670245">
        <w:rPr>
          <w:rFonts w:ascii="Times New Roman" w:eastAsiaTheme="minorHAnsi" w:hAnsi="Times New Roman" w:cs="Times New Roman"/>
          <w:color w:val="000000" w:themeColor="text1"/>
          <w:sz w:val="24"/>
          <w:szCs w:val="24"/>
        </w:rPr>
        <w:t xml:space="preserve"> Preferred Reporting Items for Systematic Reviews and Meta-Analysis </w:t>
      </w:r>
      <w:r w:rsidRPr="00670245">
        <w:rPr>
          <w:rFonts w:ascii="Times New Roman" w:eastAsiaTheme="minorHAnsi" w:hAnsi="Times New Roman" w:cs="Times New Roman"/>
          <w:color w:val="000000" w:themeColor="text1"/>
          <w:sz w:val="24"/>
          <w:szCs w:val="24"/>
        </w:rPr>
        <w:t xml:space="preserve">PRISMA 2020 </w:t>
      </w:r>
      <w:r w:rsidRPr="00670245">
        <w:rPr>
          <w:rFonts w:ascii="Times New Roman" w:eastAsiaTheme="minorHAnsi" w:hAnsi="Times New Roman" w:cs="Times New Roman"/>
          <w:color w:val="000000" w:themeColor="text1"/>
          <w:sz w:val="24"/>
          <w:szCs w:val="24"/>
        </w:rPr>
        <w:fldChar w:fldCharType="begin"/>
      </w:r>
      <w:r w:rsidR="00C17A5F" w:rsidRPr="00670245">
        <w:rPr>
          <w:rFonts w:ascii="Times New Roman" w:eastAsiaTheme="minorHAnsi" w:hAnsi="Times New Roman" w:cs="Times New Roman"/>
          <w:color w:val="000000" w:themeColor="text1"/>
          <w:sz w:val="24"/>
          <w:szCs w:val="24"/>
        </w:rPr>
        <w:instrText xml:space="preserve"> ADDIN ZOTERO_ITEM CSL_CITATION {"citationID":"NJcuWWX5","properties":{"formattedCitation":"(19)","plainCitation":"(19)","noteIndex":0},"citationItems":[{"id":129,"uris":["http://zotero.org/users/12518303/items/FBPR7TQD"],"itemData":{"id":129,"type":"article-journal","container-title":"BMJ","DOI":"10.1136/bmj.n71","ISSN":"1756-1833","journalAbbreviation":"BMJ","language":"en","page":"n71","source":"DOI.org (Crossref)","title":"The PRISMA 2020 statement: an updated guideline for reporting systematic reviews","title-short":"The PRISMA 2020 statement","author":[{"family":"Page","given":"Matthew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Pr="00670245">
        <w:rPr>
          <w:rFonts w:ascii="Times New Roman" w:eastAsiaTheme="minorHAnsi" w:hAnsi="Times New Roman" w:cs="Times New Roman"/>
          <w:color w:val="000000" w:themeColor="text1"/>
          <w:sz w:val="24"/>
          <w:szCs w:val="24"/>
        </w:rPr>
        <w:fldChar w:fldCharType="separate"/>
      </w:r>
      <w:r w:rsidR="00C17A5F" w:rsidRPr="00670245">
        <w:rPr>
          <w:rFonts w:ascii="Times New Roman" w:eastAsiaTheme="minorHAnsi" w:hAnsi="Times New Roman" w:cs="Times New Roman"/>
          <w:noProof/>
          <w:color w:val="000000" w:themeColor="text1"/>
          <w:sz w:val="24"/>
          <w:szCs w:val="24"/>
        </w:rPr>
        <w:t>(19)</w:t>
      </w:r>
      <w:r w:rsidRPr="00670245">
        <w:rPr>
          <w:rFonts w:ascii="Times New Roman" w:eastAsiaTheme="minorHAnsi" w:hAnsi="Times New Roman" w:cs="Times New Roman"/>
          <w:color w:val="000000" w:themeColor="text1"/>
          <w:sz w:val="24"/>
          <w:szCs w:val="24"/>
        </w:rPr>
        <w:fldChar w:fldCharType="end"/>
      </w:r>
      <w:r w:rsidRPr="00670245">
        <w:rPr>
          <w:rFonts w:ascii="Times New Roman" w:eastAsiaTheme="minorHAnsi" w:hAnsi="Times New Roman" w:cs="Times New Roman"/>
          <w:color w:val="000000" w:themeColor="text1"/>
          <w:sz w:val="24"/>
          <w:szCs w:val="24"/>
        </w:rPr>
        <w:t>. El protocolo fue previamente definido por el equipo investigador</w:t>
      </w:r>
      <w:r w:rsidR="009C7FE1">
        <w:rPr>
          <w:rFonts w:ascii="Times New Roman" w:eastAsiaTheme="minorHAnsi" w:hAnsi="Times New Roman" w:cs="Times New Roman"/>
          <w:color w:val="000000" w:themeColor="text1"/>
          <w:sz w:val="24"/>
          <w:szCs w:val="24"/>
        </w:rPr>
        <w:t>.</w:t>
      </w:r>
    </w:p>
    <w:p w14:paraId="68D57649" w14:textId="77777777" w:rsidR="009C7FE1" w:rsidRPr="00B1354E" w:rsidRDefault="009C7FE1" w:rsidP="009C7FE1">
      <w:pPr>
        <w:rPr>
          <w:i/>
          <w:iCs/>
        </w:rPr>
      </w:pPr>
    </w:p>
    <w:p w14:paraId="3EECD4B7" w14:textId="7F2A8B18" w:rsidR="00B65B44" w:rsidRP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Criterios de elegibilidad</w:t>
      </w:r>
    </w:p>
    <w:p w14:paraId="1C8435AA" w14:textId="273DAD31"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Población: adultos (≥18 años) con diagnóstico de cáncer y dolor oncológico de difícil manejo o refractario, ya sea por infiltración tumoral o secundario a cirugía, quimioterapia o radioterapia.</w:t>
      </w:r>
    </w:p>
    <w:p w14:paraId="170B7880" w14:textId="60D99542"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Intervención: infusión de lidocaína por vía intravenosa o subcutánea con fin terapéutico.</w:t>
      </w:r>
    </w:p>
    <w:p w14:paraId="2E1A93C1" w14:textId="14693F12"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Comparador: placebo o tratamiento activo (ej. dexmedetomidina, opioides u otros coadyuvantes).</w:t>
      </w:r>
    </w:p>
    <w:p w14:paraId="4CA31101" w14:textId="4DA5CE45"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Diseño de estudio: ensayos clínicos aleatorizado</w:t>
      </w:r>
      <w:r w:rsidR="00A269B6">
        <w:rPr>
          <w:rFonts w:ascii="Times New Roman" w:hAnsi="Times New Roman" w:cs="Times New Roman"/>
          <w:color w:val="000000" w:themeColor="text1"/>
        </w:rPr>
        <w:t>s</w:t>
      </w:r>
    </w:p>
    <w:p w14:paraId="26D02E8E" w14:textId="57D2BF06"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lastRenderedPageBreak/>
        <w:t>Idiomas: inglés o español.</w:t>
      </w:r>
    </w:p>
    <w:p w14:paraId="1B96B33D" w14:textId="7F7665E2"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Periodo de búsqueda: desde el 1 de enero de 198</w:t>
      </w:r>
      <w:r w:rsidR="00536068" w:rsidRPr="00670245">
        <w:rPr>
          <w:rFonts w:ascii="Times New Roman" w:hAnsi="Times New Roman" w:cs="Times New Roman"/>
          <w:color w:val="000000" w:themeColor="text1"/>
        </w:rPr>
        <w:t>9</w:t>
      </w:r>
      <w:r w:rsidRPr="00670245">
        <w:rPr>
          <w:rFonts w:ascii="Times New Roman" w:hAnsi="Times New Roman" w:cs="Times New Roman"/>
          <w:color w:val="000000" w:themeColor="text1"/>
        </w:rPr>
        <w:t xml:space="preserve"> hasta el 31 de mayo de 2024.</w:t>
      </w:r>
    </w:p>
    <w:p w14:paraId="48B3F862" w14:textId="6C01EC35" w:rsidR="00AB7EE9" w:rsidRPr="00670245" w:rsidRDefault="00AB7EE9" w:rsidP="00670245">
      <w:pPr>
        <w:pStyle w:val="ListParagraph"/>
        <w:numPr>
          <w:ilvl w:val="0"/>
          <w:numId w:val="13"/>
        </w:num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Tipo de publicación: artículos originales publicados en revistas revisadas por pares.</w:t>
      </w:r>
    </w:p>
    <w:p w14:paraId="04202F28" w14:textId="03F5B842" w:rsidR="00AB7EE9" w:rsidRDefault="00AB7EE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Se excluyeron estudios perioperatorios o con objetivo de prevención/profilaxis de dolor postquirúrgico, estudios sin grupo comparador (series de casos, reportes de caso, estudios de un solo brazo), estudios en población pediátrica o no oncológica (o mixta sin subgrupo de cáncer claramente separable), revisiones, editoriales, cartas y resúmenes de congreso, así como publicaciones en idiomas distintos a inglés/español.</w:t>
      </w:r>
    </w:p>
    <w:p w14:paraId="67A65318" w14:textId="77777777" w:rsidR="00B1354E" w:rsidRPr="00670245" w:rsidRDefault="00B1354E" w:rsidP="00670245">
      <w:pPr>
        <w:tabs>
          <w:tab w:val="left" w:pos="4820"/>
        </w:tabs>
        <w:spacing w:line="360" w:lineRule="auto"/>
        <w:jc w:val="both"/>
        <w:rPr>
          <w:rFonts w:ascii="Times New Roman" w:hAnsi="Times New Roman" w:cs="Times New Roman"/>
          <w:color w:val="000000" w:themeColor="text1"/>
        </w:rPr>
      </w:pPr>
    </w:p>
    <w:p w14:paraId="19ACF0A7" w14:textId="77777777" w:rsidR="00B65B44" w:rsidRP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Estrategia de búsqueda</w:t>
      </w:r>
    </w:p>
    <w:p w14:paraId="51D27CE9" w14:textId="533293B0" w:rsidR="00AB7EE9" w:rsidRPr="00670245" w:rsidRDefault="00AB7EE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La búsqueda se realizó en las bases de datos PubMed/MEDLINE y Embase, utilizando términos MeSH y DeCS relacionados con: </w:t>
      </w:r>
      <w:r w:rsidR="00B65B44" w:rsidRPr="00670245">
        <w:rPr>
          <w:rFonts w:ascii="Times New Roman" w:hAnsi="Times New Roman" w:cs="Times New Roman"/>
          <w:color w:val="000000" w:themeColor="text1"/>
        </w:rPr>
        <w:t>“lidocaine”, “infusion”, “</w:t>
      </w:r>
      <w:r w:rsidRPr="00670245">
        <w:rPr>
          <w:rFonts w:ascii="Times New Roman" w:hAnsi="Times New Roman" w:cs="Times New Roman"/>
          <w:color w:val="000000" w:themeColor="text1"/>
        </w:rPr>
        <w:t>cancer</w:t>
      </w:r>
      <w:r w:rsidR="00B65B44"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“pain”. El periodo comprendió desde el 1 de enero de 198</w:t>
      </w:r>
      <w:r w:rsidR="00536068" w:rsidRPr="00670245">
        <w:rPr>
          <w:rFonts w:ascii="Times New Roman" w:hAnsi="Times New Roman" w:cs="Times New Roman"/>
          <w:color w:val="000000" w:themeColor="text1"/>
        </w:rPr>
        <w:t>9</w:t>
      </w:r>
      <w:r w:rsidRPr="00670245">
        <w:rPr>
          <w:rFonts w:ascii="Times New Roman" w:hAnsi="Times New Roman" w:cs="Times New Roman"/>
          <w:color w:val="000000" w:themeColor="text1"/>
        </w:rPr>
        <w:t xml:space="preserve"> hasta el 31 de mayo de 2024. Adicionalmente, </w:t>
      </w:r>
      <w:r w:rsidR="00A269B6">
        <w:rPr>
          <w:rFonts w:ascii="Times New Roman" w:hAnsi="Times New Roman" w:cs="Times New Roman"/>
          <w:color w:val="000000" w:themeColor="text1"/>
        </w:rPr>
        <w:t xml:space="preserve">se </w:t>
      </w:r>
      <w:r w:rsidR="006E52C8" w:rsidRPr="00670245">
        <w:rPr>
          <w:rFonts w:ascii="Times New Roman" w:hAnsi="Times New Roman" w:cs="Times New Roman"/>
          <w:color w:val="000000" w:themeColor="text1"/>
        </w:rPr>
        <w:t>hizo una</w:t>
      </w:r>
      <w:r w:rsidRPr="00670245">
        <w:rPr>
          <w:rFonts w:ascii="Times New Roman" w:hAnsi="Times New Roman" w:cs="Times New Roman"/>
          <w:color w:val="000000" w:themeColor="text1"/>
        </w:rPr>
        <w:t xml:space="preserve"> búsqueda manual en las listas de referencias de los artículos incluidos y mediante técnica de bola de nieve </w:t>
      </w:r>
      <w:r w:rsidRPr="00670245">
        <w:rPr>
          <w:rFonts w:ascii="Times New Roman" w:hAnsi="Times New Roman" w:cs="Times New Roman"/>
          <w:color w:val="000000" w:themeColor="text1"/>
        </w:rPr>
        <w:fldChar w:fldCharType="begin"/>
      </w:r>
      <w:r w:rsidR="00C17A5F" w:rsidRPr="00670245">
        <w:rPr>
          <w:rFonts w:ascii="Times New Roman" w:hAnsi="Times New Roman" w:cs="Times New Roman"/>
          <w:color w:val="000000" w:themeColor="text1"/>
        </w:rPr>
        <w:instrText xml:space="preserve"> ADDIN ZOTERO_ITEM CSL_CITATION {"citationID":"iEuLwNNl","properties":{"formattedCitation":"(20)","plainCitation":"(20)","noteIndex":0},"citationItems":[{"id":131,"uris":["http://zotero.org/users/12518303/items/4F45R4GS"],"itemData":{"id":131,"type":"article-journal","container-title":"BMJ","DOI":"10.1136/bmj.38636.593461.68","ISSN":"0959-8138, 1468-5833","issue":"7524","journalAbbreviation":"BMJ","language":"en","license":"http://www.bmj.org/licenses/tdm/1.0/terms-and-conditions.html","page":"1064-1065","source":"DOI.org (Crossref)","title":"Effectiveness and efficiency of search methods in systematic reviews of complex evidence: audit of primary sources","title-short":"Effectiveness and efficiency of search methods in systematic reviews of complex evidence","volume":"331","author":[{"family":"Greenhalgh","given":"Trisha"},{"family":"Peacock","given":"Richard"}],"issued":{"date-parts":[["2005",11,5]]}}}],"schema":"https://github.com/citation-style-language/schema/raw/master/csl-citation.json"} </w:instrText>
      </w:r>
      <w:r w:rsidRPr="00670245">
        <w:rPr>
          <w:rFonts w:ascii="Times New Roman" w:hAnsi="Times New Roman" w:cs="Times New Roman"/>
          <w:color w:val="000000" w:themeColor="text1"/>
        </w:rPr>
        <w:fldChar w:fldCharType="separate"/>
      </w:r>
      <w:r w:rsidR="00C17A5F" w:rsidRPr="00670245">
        <w:rPr>
          <w:rFonts w:ascii="Times New Roman" w:hAnsi="Times New Roman" w:cs="Times New Roman"/>
          <w:noProof/>
          <w:color w:val="000000" w:themeColor="text1"/>
        </w:rPr>
        <w:t>(20)</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p>
    <w:p w14:paraId="325B119F" w14:textId="06FA7BD6" w:rsidR="00AB7EE9" w:rsidRDefault="006E52C8" w:rsidP="00670245">
      <w:pPr>
        <w:pStyle w:val="Heading2"/>
        <w:tabs>
          <w:tab w:val="left" w:pos="4820"/>
        </w:tabs>
        <w:spacing w:line="360" w:lineRule="auto"/>
        <w:jc w:val="both"/>
        <w:rPr>
          <w:rFonts w:ascii="Times New Roman" w:eastAsiaTheme="minorHAnsi" w:hAnsi="Times New Roman" w:cs="Times New Roman"/>
          <w:color w:val="000000" w:themeColor="text1"/>
          <w:sz w:val="24"/>
          <w:szCs w:val="24"/>
        </w:rPr>
      </w:pPr>
      <w:r w:rsidRPr="00670245">
        <w:rPr>
          <w:rFonts w:ascii="Times New Roman" w:eastAsiaTheme="minorHAnsi" w:hAnsi="Times New Roman" w:cs="Times New Roman"/>
          <w:color w:val="000000" w:themeColor="text1"/>
          <w:sz w:val="24"/>
          <w:szCs w:val="24"/>
        </w:rPr>
        <w:t>Para el proceso de selección, d</w:t>
      </w:r>
      <w:r w:rsidR="00AB7EE9" w:rsidRPr="00670245">
        <w:rPr>
          <w:rFonts w:ascii="Times New Roman" w:eastAsiaTheme="minorHAnsi" w:hAnsi="Times New Roman" w:cs="Times New Roman"/>
          <w:color w:val="000000" w:themeColor="text1"/>
          <w:sz w:val="24"/>
          <w:szCs w:val="24"/>
        </w:rPr>
        <w:t xml:space="preserve">os revisores de forma independiente evaluaron títulos y resúmenes para determinar su elegibilidad. Los </w:t>
      </w:r>
      <w:r w:rsidRPr="00670245">
        <w:rPr>
          <w:rFonts w:ascii="Times New Roman" w:eastAsiaTheme="minorHAnsi" w:hAnsi="Times New Roman" w:cs="Times New Roman"/>
          <w:color w:val="000000" w:themeColor="text1"/>
          <w:sz w:val="24"/>
          <w:szCs w:val="24"/>
        </w:rPr>
        <w:t xml:space="preserve">estudios que se consideraron </w:t>
      </w:r>
      <w:r w:rsidR="00AB7EE9" w:rsidRPr="00670245">
        <w:rPr>
          <w:rFonts w:ascii="Times New Roman" w:eastAsiaTheme="minorHAnsi" w:hAnsi="Times New Roman" w:cs="Times New Roman"/>
          <w:color w:val="000000" w:themeColor="text1"/>
          <w:sz w:val="24"/>
          <w:szCs w:val="24"/>
        </w:rPr>
        <w:t>potencialmente relevantes fueron revisados a texto completo</w:t>
      </w:r>
      <w:r w:rsidRPr="00670245">
        <w:rPr>
          <w:rFonts w:ascii="Times New Roman" w:eastAsiaTheme="minorHAnsi" w:hAnsi="Times New Roman" w:cs="Times New Roman"/>
          <w:color w:val="000000" w:themeColor="text1"/>
          <w:sz w:val="24"/>
          <w:szCs w:val="24"/>
        </w:rPr>
        <w:t>, posteriormente l</w:t>
      </w:r>
      <w:r w:rsidR="00AB7EE9" w:rsidRPr="00670245">
        <w:rPr>
          <w:rFonts w:ascii="Times New Roman" w:eastAsiaTheme="minorHAnsi" w:hAnsi="Times New Roman" w:cs="Times New Roman"/>
          <w:color w:val="000000" w:themeColor="text1"/>
          <w:sz w:val="24"/>
          <w:szCs w:val="24"/>
        </w:rPr>
        <w:t>as discrepancias se resolvieron por consenso</w:t>
      </w:r>
      <w:r w:rsidRPr="00670245">
        <w:rPr>
          <w:rFonts w:ascii="Times New Roman" w:eastAsiaTheme="minorHAnsi" w:hAnsi="Times New Roman" w:cs="Times New Roman"/>
          <w:color w:val="000000" w:themeColor="text1"/>
          <w:sz w:val="24"/>
          <w:szCs w:val="24"/>
        </w:rPr>
        <w:t>, y e</w:t>
      </w:r>
      <w:r w:rsidR="00AB7EE9" w:rsidRPr="00670245">
        <w:rPr>
          <w:rFonts w:ascii="Times New Roman" w:eastAsiaTheme="minorHAnsi" w:hAnsi="Times New Roman" w:cs="Times New Roman"/>
          <w:color w:val="000000" w:themeColor="text1"/>
          <w:sz w:val="24"/>
          <w:szCs w:val="24"/>
        </w:rPr>
        <w:t xml:space="preserve">l proceso se documentó en un diagrama de flujo PRISMA </w:t>
      </w:r>
      <w:r w:rsidR="00AB7EE9" w:rsidRPr="00670245">
        <w:rPr>
          <w:rFonts w:ascii="Times New Roman" w:eastAsiaTheme="minorHAnsi" w:hAnsi="Times New Roman" w:cs="Times New Roman"/>
          <w:color w:val="000000" w:themeColor="text1"/>
          <w:sz w:val="24"/>
          <w:szCs w:val="24"/>
        </w:rPr>
        <w:fldChar w:fldCharType="begin"/>
      </w:r>
      <w:r w:rsidR="00C17A5F" w:rsidRPr="00670245">
        <w:rPr>
          <w:rFonts w:ascii="Times New Roman" w:eastAsiaTheme="minorHAnsi" w:hAnsi="Times New Roman" w:cs="Times New Roman"/>
          <w:color w:val="000000" w:themeColor="text1"/>
          <w:sz w:val="24"/>
          <w:szCs w:val="24"/>
        </w:rPr>
        <w:instrText xml:space="preserve"> ADDIN ZOTERO_ITEM CSL_CITATION {"citationID":"EiGD4fQv","properties":{"formattedCitation":"(19)","plainCitation":"(19)","noteIndex":0},"citationItems":[{"id":129,"uris":["http://zotero.org/users/12518303/items/FBPR7TQD"],"itemData":{"id":129,"type":"article-journal","container-title":"BMJ","DOI":"10.1136/bmj.n71","ISSN":"1756-1833","journalAbbreviation":"BMJ","language":"en","page":"n71","source":"DOI.org (Crossref)","title":"The PRISMA 2020 statement: an updated guideline for reporting systematic reviews","title-short":"The PRISMA 2020 statement","author":[{"family":"Page","given":"Matthew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00AB7EE9" w:rsidRPr="00670245">
        <w:rPr>
          <w:rFonts w:ascii="Times New Roman" w:eastAsiaTheme="minorHAnsi" w:hAnsi="Times New Roman" w:cs="Times New Roman"/>
          <w:color w:val="000000" w:themeColor="text1"/>
          <w:sz w:val="24"/>
          <w:szCs w:val="24"/>
        </w:rPr>
        <w:fldChar w:fldCharType="separate"/>
      </w:r>
      <w:r w:rsidR="00C17A5F" w:rsidRPr="00670245">
        <w:rPr>
          <w:rFonts w:ascii="Times New Roman" w:eastAsiaTheme="minorHAnsi" w:hAnsi="Times New Roman" w:cs="Times New Roman"/>
          <w:noProof/>
          <w:color w:val="000000" w:themeColor="text1"/>
          <w:sz w:val="24"/>
          <w:szCs w:val="24"/>
        </w:rPr>
        <w:t>(19)</w:t>
      </w:r>
      <w:r w:rsidR="00AB7EE9" w:rsidRPr="00670245">
        <w:rPr>
          <w:rFonts w:ascii="Times New Roman" w:eastAsiaTheme="minorHAnsi" w:hAnsi="Times New Roman" w:cs="Times New Roman"/>
          <w:color w:val="000000" w:themeColor="text1"/>
          <w:sz w:val="24"/>
          <w:szCs w:val="24"/>
        </w:rPr>
        <w:fldChar w:fldCharType="end"/>
      </w:r>
      <w:r w:rsidR="00AB7EE9" w:rsidRPr="00670245">
        <w:rPr>
          <w:rFonts w:ascii="Times New Roman" w:eastAsiaTheme="minorHAnsi" w:hAnsi="Times New Roman" w:cs="Times New Roman"/>
          <w:color w:val="000000" w:themeColor="text1"/>
          <w:sz w:val="24"/>
          <w:szCs w:val="24"/>
        </w:rPr>
        <w:t>.</w:t>
      </w:r>
      <w:r w:rsidRPr="00670245">
        <w:rPr>
          <w:rFonts w:ascii="Times New Roman" w:eastAsiaTheme="minorHAnsi" w:hAnsi="Times New Roman" w:cs="Times New Roman"/>
          <w:color w:val="000000" w:themeColor="text1"/>
          <w:sz w:val="24"/>
          <w:szCs w:val="24"/>
        </w:rPr>
        <w:t xml:space="preserve"> (Figura 1)</w:t>
      </w:r>
    </w:p>
    <w:p w14:paraId="4AD7081D" w14:textId="77777777" w:rsidR="00175170" w:rsidRDefault="00175170" w:rsidP="00175170"/>
    <w:p w14:paraId="05F70533" w14:textId="77777777" w:rsidR="00175170" w:rsidRPr="00E32C02" w:rsidRDefault="00175170" w:rsidP="00175170">
      <w:pPr>
        <w:rPr>
          <w:b/>
          <w:bCs/>
        </w:rPr>
      </w:pPr>
      <w:r w:rsidRPr="00E32C02">
        <w:rPr>
          <w:b/>
          <w:bCs/>
        </w:rPr>
        <w:t xml:space="preserve">Figura 1. </w:t>
      </w:r>
      <w:r w:rsidRPr="00E32C02">
        <w:t>Diagrama de flujo PRISMA del proceso de selección de estudios.</w:t>
      </w:r>
    </w:p>
    <w:p w14:paraId="708F3032" w14:textId="77777777" w:rsidR="00175170" w:rsidRDefault="00175170" w:rsidP="00175170">
      <w:pPr>
        <w:rPr>
          <w:b/>
          <w:bCs/>
        </w:rPr>
      </w:pPr>
      <w:r>
        <w:rPr>
          <w:b/>
          <w:bCs/>
          <w:noProof/>
        </w:rPr>
        <w:lastRenderedPageBreak/>
        <w:drawing>
          <wp:inline distT="0" distB="0" distL="0" distR="0" wp14:anchorId="7578A3D3" wp14:editId="3031C6B8">
            <wp:extent cx="5943600" cy="3167380"/>
            <wp:effectExtent l="0" t="0" r="0" b="0"/>
            <wp:docPr id="4909703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970325" name="Picture 1" descr="A screenshot of a computer&#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3167380"/>
                    </a:xfrm>
                    <a:prstGeom prst="rect">
                      <a:avLst/>
                    </a:prstGeom>
                  </pic:spPr>
                </pic:pic>
              </a:graphicData>
            </a:graphic>
          </wp:inline>
        </w:drawing>
      </w:r>
    </w:p>
    <w:p w14:paraId="4038D09F" w14:textId="77777777" w:rsidR="00175170" w:rsidRPr="00175170" w:rsidRDefault="00175170" w:rsidP="00175170">
      <w:pPr>
        <w:rPr>
          <w:b/>
          <w:bCs/>
          <w:sz w:val="20"/>
          <w:szCs w:val="20"/>
        </w:rPr>
      </w:pPr>
    </w:p>
    <w:p w14:paraId="77C61A97" w14:textId="5EA83150" w:rsidR="00175170" w:rsidRPr="00175170" w:rsidRDefault="00175170" w:rsidP="00175170">
      <w:pPr>
        <w:rPr>
          <w:sz w:val="20"/>
          <w:szCs w:val="20"/>
        </w:rPr>
      </w:pPr>
      <w:r w:rsidRPr="00175170">
        <w:rPr>
          <w:i/>
          <w:iCs/>
          <w:sz w:val="20"/>
          <w:szCs w:val="20"/>
        </w:rPr>
        <w:t>Diagrama de flujo PRISMA del proceso de selección de estudios. La búsqueda en PubMed y Embase identificó 453 registros; tras eliminar 66 duplicados, se evaluaron 387 títulos y resúmenes. De ellos, 13 artículos fueron revisados a texto completo y 5 cumplieron criterios de inclusión.</w:t>
      </w:r>
    </w:p>
    <w:p w14:paraId="07830FBD" w14:textId="77777777" w:rsidR="00B1354E" w:rsidRDefault="00B1354E" w:rsidP="00B1354E"/>
    <w:p w14:paraId="43F3B106" w14:textId="77777777" w:rsidR="00175170" w:rsidRPr="00B1354E" w:rsidRDefault="00175170" w:rsidP="00B1354E"/>
    <w:p w14:paraId="58C6921A" w14:textId="7BBD9070" w:rsidR="00B65B44" w:rsidRP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Extracción de datos</w:t>
      </w:r>
    </w:p>
    <w:p w14:paraId="243D6AFA" w14:textId="56DF2839" w:rsidR="00AB7EE9" w:rsidRPr="00670245" w:rsidRDefault="00AB7EE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Se diseñó un formulario estandarizado en Microsoft Excel para recolectar</w:t>
      </w:r>
      <w:r w:rsidR="006E52C8" w:rsidRPr="00670245">
        <w:rPr>
          <w:rFonts w:ascii="Times New Roman" w:hAnsi="Times New Roman" w:cs="Times New Roman"/>
          <w:color w:val="000000" w:themeColor="text1"/>
        </w:rPr>
        <w:t xml:space="preserve"> la información de cada estudio</w:t>
      </w:r>
      <w:r w:rsidRPr="00670245">
        <w:rPr>
          <w:rFonts w:ascii="Times New Roman" w:hAnsi="Times New Roman" w:cs="Times New Roman"/>
          <w:color w:val="000000" w:themeColor="text1"/>
        </w:rPr>
        <w:t>:</w:t>
      </w:r>
      <w:r w:rsidR="00B1354E">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características (año, país, diseño, número de participantes, tipo de cáncer), intervención (vía de administración, dosis, duración, esquema de infusión),comparador,</w:t>
      </w:r>
      <w:r w:rsidR="006E52C8"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desenlace pri</w:t>
      </w:r>
      <w:r w:rsidR="006E52C8" w:rsidRPr="00670245">
        <w:rPr>
          <w:rFonts w:ascii="Times New Roman" w:hAnsi="Times New Roman" w:cs="Times New Roman"/>
          <w:color w:val="000000" w:themeColor="text1"/>
        </w:rPr>
        <w:t>mario</w:t>
      </w:r>
      <w:r w:rsidRPr="00670245">
        <w:rPr>
          <w:rFonts w:ascii="Times New Roman" w:hAnsi="Times New Roman" w:cs="Times New Roman"/>
          <w:color w:val="000000" w:themeColor="text1"/>
        </w:rPr>
        <w:t xml:space="preserve"> (reducción de dolor medida con escalas validadas),</w:t>
      </w:r>
      <w:r w:rsidR="006E52C8"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desenlaces secundarios (uso de opioides, calidad de vida, toxicidad, eventos adversos, satisfacción del paciente).</w:t>
      </w:r>
    </w:p>
    <w:p w14:paraId="633DB848" w14:textId="21BE4CCA" w:rsidR="00AB7EE9" w:rsidRPr="00670245" w:rsidRDefault="00AB7EE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La extracción se realizó de manera independiente por dos revisores, con resolución de discrepancias por consenso. </w:t>
      </w:r>
    </w:p>
    <w:p w14:paraId="1A8FA49D" w14:textId="77777777" w:rsidR="00B65B44" w:rsidRP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lastRenderedPageBreak/>
        <w:t>Evaluación del riesgo de sesgo</w:t>
      </w:r>
    </w:p>
    <w:p w14:paraId="0430FD1D" w14:textId="373FFA73" w:rsidR="00AB7EE9" w:rsidRDefault="00AB7EE9" w:rsidP="00670245">
      <w:pPr>
        <w:pStyle w:val="Heading2"/>
        <w:tabs>
          <w:tab w:val="left" w:pos="4820"/>
        </w:tabs>
        <w:spacing w:line="360" w:lineRule="auto"/>
        <w:jc w:val="both"/>
        <w:rPr>
          <w:rFonts w:ascii="Times New Roman" w:eastAsiaTheme="minorHAnsi" w:hAnsi="Times New Roman" w:cs="Times New Roman"/>
          <w:color w:val="000000" w:themeColor="text1"/>
          <w:sz w:val="24"/>
          <w:szCs w:val="24"/>
        </w:rPr>
      </w:pPr>
      <w:r w:rsidRPr="00670245">
        <w:rPr>
          <w:rFonts w:ascii="Times New Roman" w:eastAsiaTheme="minorHAnsi" w:hAnsi="Times New Roman" w:cs="Times New Roman"/>
          <w:color w:val="000000" w:themeColor="text1"/>
          <w:sz w:val="24"/>
          <w:szCs w:val="24"/>
        </w:rPr>
        <w:t xml:space="preserve">La calidad metodológica de los ensayos clínicos aleatorizados se evaluó mediante la herramienta RoB 2 de Cochrane </w:t>
      </w:r>
      <w:r w:rsidRPr="00670245">
        <w:rPr>
          <w:rFonts w:ascii="Times New Roman" w:eastAsiaTheme="minorHAnsi" w:hAnsi="Times New Roman" w:cs="Times New Roman"/>
          <w:color w:val="000000" w:themeColor="text1"/>
          <w:sz w:val="24"/>
          <w:szCs w:val="24"/>
        </w:rPr>
        <w:fldChar w:fldCharType="begin"/>
      </w:r>
      <w:r w:rsidR="00C17A5F" w:rsidRPr="00670245">
        <w:rPr>
          <w:rFonts w:ascii="Times New Roman" w:eastAsiaTheme="minorHAnsi" w:hAnsi="Times New Roman" w:cs="Times New Roman"/>
          <w:color w:val="000000" w:themeColor="text1"/>
          <w:sz w:val="24"/>
          <w:szCs w:val="24"/>
        </w:rPr>
        <w:instrText xml:space="preserve"> ADDIN ZOTERO_ITEM CSL_CITATION {"citationID":"C2Dk3kUc","properties":{"formattedCitation":"(21)","plainCitation":"(21)","noteIndex":0},"citationItems":[{"id":133,"uris":["http://zotero.org/users/12518303/items/EWY7LHUS"],"itemData":{"id":133,"type":"article-journal","container-title":"BMJ","DOI":"10.1136/bmj.l4898","ISSN":"0959-8138, 1756-1833","journalAbbreviation":"BMJ","language":"en","page":"l4898","source":"DOI.org (Crossref)","title":"RoB 2: a revised tool for assessing risk of bias in randomised trials","title-short":"RoB 2","author":[{"family":"Sterne","given":"Jonathan A C"},{"family":"Savović","given":"Jelena"},{"family":"Page","given":"Matthew J"},{"family":"Elbers","given":"Roy G"},{"family":"Blencowe","given":"Natalie S"},{"family":"Boutron","given":"Isabelle"},{"family":"Cates","given":"Christopher J"},{"family":"Cheng","given":"Hung-Yuan"},{"family":"Corbett","given":"Mark S"},{"family":"Eldridge","given":"Sandra M"},{"family":"Emberson","given":"Jonathan R"},{"family":"Hernán","given":"Miguel A"},{"family":"Hopewell","given":"Sally"},{"family":"Hróbjartsson","given":"Asbjørn"},{"family":"Junqueira","given":"Daniela R"},{"family":"Jüni","given":"Peter"},{"family":"Kirkham","given":"Jamie J"},{"family":"Lasserson","given":"Toby"},{"family":"Li","given":"Tianjing"},{"family":"McAleenan","given":"Alexandra"},{"family":"Reeves","given":"Barnaby C"},{"family":"Shepperd","given":"Sasha"},{"family":"Shrier","given":"Ian"},{"family":"Stewart","given":"Lesley A"},{"family":"Tilling","given":"Kate"},{"family":"White","given":"Ian R"},{"family":"Whiting","given":"Penny F"},{"family":"Higgins","given":"Julian P T"}],"issued":{"date-parts":[["2019",8,28]]}}}],"schema":"https://github.com/citation-style-language/schema/raw/master/csl-citation.json"} </w:instrText>
      </w:r>
      <w:r w:rsidRPr="00670245">
        <w:rPr>
          <w:rFonts w:ascii="Times New Roman" w:eastAsiaTheme="minorHAnsi" w:hAnsi="Times New Roman" w:cs="Times New Roman"/>
          <w:color w:val="000000" w:themeColor="text1"/>
          <w:sz w:val="24"/>
          <w:szCs w:val="24"/>
        </w:rPr>
        <w:fldChar w:fldCharType="separate"/>
      </w:r>
      <w:r w:rsidR="00C17A5F" w:rsidRPr="00670245">
        <w:rPr>
          <w:rFonts w:ascii="Times New Roman" w:eastAsiaTheme="minorHAnsi" w:hAnsi="Times New Roman" w:cs="Times New Roman"/>
          <w:noProof/>
          <w:color w:val="000000" w:themeColor="text1"/>
          <w:sz w:val="24"/>
          <w:szCs w:val="24"/>
        </w:rPr>
        <w:t>(21)</w:t>
      </w:r>
      <w:r w:rsidRPr="00670245">
        <w:rPr>
          <w:rFonts w:ascii="Times New Roman" w:eastAsiaTheme="minorHAnsi" w:hAnsi="Times New Roman" w:cs="Times New Roman"/>
          <w:color w:val="000000" w:themeColor="text1"/>
          <w:sz w:val="24"/>
          <w:szCs w:val="24"/>
        </w:rPr>
        <w:fldChar w:fldCharType="end"/>
      </w:r>
      <w:r w:rsidR="002A3D9C" w:rsidRPr="00670245">
        <w:rPr>
          <w:rFonts w:ascii="Times New Roman" w:eastAsiaTheme="minorHAnsi" w:hAnsi="Times New Roman" w:cs="Times New Roman"/>
          <w:color w:val="000000" w:themeColor="text1"/>
          <w:sz w:val="24"/>
          <w:szCs w:val="24"/>
        </w:rPr>
        <w:t xml:space="preserve">. </w:t>
      </w:r>
      <w:r w:rsidRPr="00670245">
        <w:rPr>
          <w:rFonts w:ascii="Times New Roman" w:eastAsiaTheme="minorHAnsi" w:hAnsi="Times New Roman" w:cs="Times New Roman"/>
          <w:color w:val="000000" w:themeColor="text1"/>
          <w:sz w:val="24"/>
          <w:szCs w:val="24"/>
        </w:rPr>
        <w:t>Cada estudio fue clasificado como de bajo riesgo, alto riesgo o con algunas preocupaciones.</w:t>
      </w:r>
    </w:p>
    <w:p w14:paraId="5584BD9D" w14:textId="77777777" w:rsidR="00B1354E" w:rsidRPr="00B1354E" w:rsidRDefault="00B1354E" w:rsidP="00B1354E"/>
    <w:p w14:paraId="3AD32618" w14:textId="5C8C729E" w:rsidR="00536068" w:rsidRPr="00B1354E" w:rsidRDefault="002A3D9C"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Certeza de la evidencia (GRADE)</w:t>
      </w:r>
    </w:p>
    <w:p w14:paraId="0E42927B" w14:textId="438A4858" w:rsidR="002A3D9C" w:rsidRDefault="002A3D9C"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La certeza de la evidencia se evaluó para cada desenlace utilizando el enfoque GRADE. Las decisiones de disminución de la certeza se basaron en el riesgo de sesgo de los estudios incluidos, la inconsistencia de los resultados entre ensayos, la imprecisión debida a tamaños muestrales pequeños y, cuando fue aplicable, la indirectitud relacionada con diferencias en la vía de administración y los desenlaces evaluados.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{"citationID":"y5TOvFPf","properties":{"formattedCitation":"(22)","plainCitation":"(22)","noteIndex":0},"citationItems":[{"id":142,"uris":["http://zotero.org/users/12518303/items/8IGZ69DE"],"itemData":{"id":142,"type":"book","publisher":"The GRADE Working Group","title":"GRADE handbook for grading quality of evidence and strength of recommendations","URL":"https://gdt.gradepro.org/app/handbook/handbook.html","author":[{"literal":"Schünemann, Holger"},{"literal":"Brożek, Jan"},{"literal":"Guyatt, Gordon"},{"literal":"Oxman, Andrew"}],"accessed":{"date-parts":[["2025",9,13]]},"issued":{"date-parts":[["2013"]]}}}],"schema":"https://github.com/citation-style-language/schema/raw/master/csl-citation.json"}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(22)</w:t>
      </w:r>
      <w:r w:rsidRPr="00670245">
        <w:rPr>
          <w:rFonts w:ascii="Times New Roman" w:hAnsi="Times New Roman" w:cs="Times New Roman"/>
          <w:color w:val="000000" w:themeColor="text1"/>
        </w:rPr>
        <w:fldChar w:fldCharType="end"/>
      </w:r>
    </w:p>
    <w:p w14:paraId="3A66414A" w14:textId="77777777" w:rsidR="00B1354E" w:rsidRPr="00670245" w:rsidRDefault="00B1354E" w:rsidP="00670245">
      <w:pPr>
        <w:tabs>
          <w:tab w:val="left" w:pos="4820"/>
        </w:tabs>
        <w:spacing w:line="360" w:lineRule="auto"/>
        <w:jc w:val="both"/>
        <w:rPr>
          <w:rFonts w:ascii="Times New Roman" w:hAnsi="Times New Roman" w:cs="Times New Roman"/>
          <w:color w:val="000000" w:themeColor="text1"/>
        </w:rPr>
      </w:pPr>
    </w:p>
    <w:p w14:paraId="62D7ADC7" w14:textId="77777777" w:rsidR="00B1354E" w:rsidRDefault="00B65B44"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B1354E">
        <w:rPr>
          <w:rFonts w:ascii="Times New Roman" w:hAnsi="Times New Roman" w:cs="Times New Roman"/>
          <w:i/>
          <w:iCs/>
          <w:color w:val="000000" w:themeColor="text1"/>
          <w:sz w:val="24"/>
          <w:szCs w:val="24"/>
        </w:rPr>
        <w:t>Síntesis de resultados</w:t>
      </w:r>
    </w:p>
    <w:p w14:paraId="422E2600" w14:textId="3278E436" w:rsidR="00CA6A62" w:rsidRPr="00B1354E" w:rsidRDefault="00536068" w:rsidP="00670245">
      <w:pPr>
        <w:pStyle w:val="Heading2"/>
        <w:tabs>
          <w:tab w:val="left" w:pos="4820"/>
        </w:tabs>
        <w:spacing w:line="360" w:lineRule="auto"/>
        <w:jc w:val="both"/>
        <w:rPr>
          <w:rFonts w:ascii="Times New Roman" w:hAnsi="Times New Roman" w:cs="Times New Roman"/>
          <w:i/>
          <w:iCs/>
          <w:color w:val="000000" w:themeColor="text1"/>
          <w:sz w:val="24"/>
          <w:szCs w:val="24"/>
        </w:rPr>
      </w:pPr>
      <w:r w:rsidRPr="00670245">
        <w:rPr>
          <w:rFonts w:ascii="Times New Roman" w:hAnsi="Times New Roman" w:cs="Times New Roman"/>
          <w:color w:val="000000" w:themeColor="text1"/>
          <w:sz w:val="24"/>
          <w:szCs w:val="24"/>
        </w:rPr>
        <w:t>Se planificó realizar una síntesis narrativa de los hallazgos de los estudios incluidos, considerando las características de los pacientes, intervenciones, comparadores, desenlaces y resultados reportados. Los hallazgos se presentan en texto y en tablas descriptivas.</w:t>
      </w:r>
      <w:r w:rsidR="00AB7EE9" w:rsidRPr="00670245">
        <w:rPr>
          <w:rFonts w:ascii="Times New Roman" w:eastAsiaTheme="minorHAnsi" w:hAnsi="Times New Roman" w:cs="Times New Roman"/>
          <w:color w:val="000000" w:themeColor="text1"/>
          <w:sz w:val="24"/>
          <w:szCs w:val="24"/>
        </w:rPr>
        <w:fldChar w:fldCharType="begin"/>
      </w:r>
      <w:r w:rsidR="00C17A5F" w:rsidRPr="00670245">
        <w:rPr>
          <w:rFonts w:ascii="Times New Roman" w:eastAsiaTheme="minorHAnsi" w:hAnsi="Times New Roman" w:cs="Times New Roman"/>
          <w:color w:val="000000" w:themeColor="text1"/>
          <w:sz w:val="24"/>
          <w:szCs w:val="24"/>
        </w:rPr>
        <w:instrText xml:space="preserve"> ADDIN ZOTERO_ITEM CSL_CITATION {"citationID":"1ajEmZum","properties":{"formattedCitation":"(23)","plainCitation":"(23)","noteIndex":0},"citationItems":[{"id":137,"uris":["http://zotero.org/users/12518303/items/PLAD46QN"],"itemData":{"id":137,"type":"book","edition":"1","ISBN":"978-1-119-53662-8","language":"en","license":"http://doi.wiley.com/10.1002/tdm_license_1.1","note":"DOI: 10.1002/9781119536604","publisher":"Wiley","source":"DOI.org (Crossref)","title":"Cochrane Handbook for Systematic Reviews of Interventions","URL":"https://onlinelibrary.wiley.com/doi/book/10.1002/9781119536604","editor":[{"family":"Higgins","given":"Julian P.T."},{"family":"Thomas","given":"James"},{"family":"Chandler","given":"Jacqueline"},{"family":"Cumpston","given":"Miranda"},{"family":"Li","given":"Tianjing"},{"family":"Page","given":"Matthew J."},{"family":"Welch","given":"Vivian A."}],"accessed":{"date-parts":[["2025",9,7]]},"issued":{"date-parts":[["2019",9,23]]}}}],"schema":"https://github.com/citation-style-language/schema/raw/master/csl-citation.json"} </w:instrText>
      </w:r>
      <w:r w:rsidR="00AB7EE9" w:rsidRPr="00670245">
        <w:rPr>
          <w:rFonts w:ascii="Times New Roman" w:eastAsiaTheme="minorHAnsi" w:hAnsi="Times New Roman" w:cs="Times New Roman"/>
          <w:color w:val="000000" w:themeColor="text1"/>
          <w:sz w:val="24"/>
          <w:szCs w:val="24"/>
        </w:rPr>
        <w:fldChar w:fldCharType="separate"/>
      </w:r>
      <w:r w:rsidR="00C17A5F" w:rsidRPr="00670245">
        <w:rPr>
          <w:rFonts w:ascii="Times New Roman" w:eastAsiaTheme="minorHAnsi" w:hAnsi="Times New Roman" w:cs="Times New Roman"/>
          <w:noProof/>
          <w:color w:val="000000" w:themeColor="text1"/>
          <w:sz w:val="24"/>
          <w:szCs w:val="24"/>
        </w:rPr>
        <w:t>(23)</w:t>
      </w:r>
      <w:r w:rsidR="00AB7EE9" w:rsidRPr="00670245">
        <w:rPr>
          <w:rFonts w:ascii="Times New Roman" w:eastAsiaTheme="minorHAnsi" w:hAnsi="Times New Roman" w:cs="Times New Roman"/>
          <w:color w:val="000000" w:themeColor="text1"/>
          <w:sz w:val="24"/>
          <w:szCs w:val="24"/>
        </w:rPr>
        <w:fldChar w:fldCharType="end"/>
      </w:r>
      <w:r w:rsidR="00AB7EE9" w:rsidRPr="00670245">
        <w:rPr>
          <w:rFonts w:ascii="Times New Roman" w:eastAsiaTheme="minorHAnsi" w:hAnsi="Times New Roman" w:cs="Times New Roman"/>
          <w:color w:val="000000" w:themeColor="text1"/>
          <w:sz w:val="24"/>
          <w:szCs w:val="24"/>
        </w:rPr>
        <w:t>.</w:t>
      </w:r>
    </w:p>
    <w:p w14:paraId="1ADCE4E3" w14:textId="77777777" w:rsidR="00B1354E" w:rsidRPr="00B1354E" w:rsidRDefault="00B1354E" w:rsidP="00B1354E"/>
    <w:p w14:paraId="637B6E34" w14:textId="0CDFAEB5" w:rsidR="00E32C02" w:rsidRPr="00B1354E" w:rsidRDefault="00E32C02" w:rsidP="00B1354E">
      <w:pPr>
        <w:tabs>
          <w:tab w:val="left" w:pos="4820"/>
        </w:tabs>
        <w:spacing w:line="360" w:lineRule="auto"/>
        <w:rPr>
          <w:rFonts w:ascii="Times New Roman" w:eastAsiaTheme="majorEastAsia" w:hAnsi="Times New Roman" w:cs="Times New Roman"/>
          <w:i/>
          <w:iCs/>
          <w:color w:val="000000" w:themeColor="text1"/>
        </w:rPr>
      </w:pPr>
      <w:r w:rsidRPr="00B1354E">
        <w:rPr>
          <w:rStyle w:val="Heading3Char"/>
          <w:rFonts w:ascii="Times New Roman" w:hAnsi="Times New Roman" w:cs="Times New Roman"/>
          <w:i/>
          <w:iCs/>
          <w:color w:val="000000" w:themeColor="text1"/>
          <w:sz w:val="24"/>
          <w:szCs w:val="24"/>
        </w:rPr>
        <w:t>Consideraciones</w:t>
      </w:r>
      <w:r w:rsidR="00B1354E" w:rsidRPr="00B1354E">
        <w:rPr>
          <w:rStyle w:val="Heading3Char"/>
          <w:rFonts w:ascii="Times New Roman" w:hAnsi="Times New Roman" w:cs="Times New Roman"/>
          <w:i/>
          <w:iCs/>
          <w:color w:val="000000" w:themeColor="text1"/>
          <w:sz w:val="24"/>
          <w:szCs w:val="24"/>
        </w:rPr>
        <w:t xml:space="preserve"> </w:t>
      </w:r>
      <w:r w:rsidRPr="00B1354E">
        <w:rPr>
          <w:rStyle w:val="Heading3Char"/>
          <w:rFonts w:ascii="Times New Roman" w:hAnsi="Times New Roman" w:cs="Times New Roman"/>
          <w:i/>
          <w:iCs/>
          <w:color w:val="000000" w:themeColor="text1"/>
          <w:sz w:val="24"/>
          <w:szCs w:val="24"/>
        </w:rPr>
        <w:t>étic</w:t>
      </w:r>
      <w:r w:rsidR="00B1354E">
        <w:rPr>
          <w:rStyle w:val="Heading3Char"/>
          <w:rFonts w:ascii="Times New Roman" w:hAnsi="Times New Roman" w:cs="Times New Roman"/>
          <w:i/>
          <w:iCs/>
          <w:color w:val="000000" w:themeColor="text1"/>
          <w:sz w:val="24"/>
          <w:szCs w:val="24"/>
        </w:rPr>
        <w:t>as</w:t>
      </w:r>
      <w:r w:rsidRPr="00670245">
        <w:rPr>
          <w:rStyle w:val="Heading3Char"/>
          <w:rFonts w:ascii="Times New Roman" w:hAnsi="Times New Roman" w:cs="Times New Roman"/>
          <w:color w:val="000000" w:themeColor="text1"/>
          <w:sz w:val="24"/>
          <w:szCs w:val="24"/>
        </w:rPr>
        <w:br/>
      </w:r>
      <w:r w:rsidRPr="00670245">
        <w:rPr>
          <w:rFonts w:ascii="Times New Roman" w:hAnsi="Times New Roman" w:cs="Times New Roman"/>
          <w:color w:val="000000" w:themeColor="text1"/>
        </w:rPr>
        <w:t>Esta revisión sistemática no requirió aprobación por un comité de ética en investigación, dado que se basa exclusivamente en el análisis de datos previamente publicados en la literatura científica y no involucró la recolección de información de pacientes ni acceso a datos identificables.</w:t>
      </w:r>
    </w:p>
    <w:p w14:paraId="33F6EE47" w14:textId="5C1461FD" w:rsidR="00B36A40" w:rsidRPr="00A269B6" w:rsidRDefault="00B36A40"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Resultados</w:t>
      </w:r>
    </w:p>
    <w:p w14:paraId="4579AB7F" w14:textId="3A4CDA24" w:rsidR="00F4431A" w:rsidRPr="00B1354E" w:rsidRDefault="00F4431A"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Estudios inclu</w:t>
      </w:r>
      <w:r w:rsidR="00B1354E" w:rsidRPr="00B1354E">
        <w:rPr>
          <w:rFonts w:ascii="Times New Roman" w:hAnsi="Times New Roman" w:cs="Times New Roman"/>
          <w:i/>
          <w:iCs/>
          <w:color w:val="000000" w:themeColor="text1"/>
        </w:rPr>
        <w:t>í</w:t>
      </w:r>
      <w:r w:rsidRPr="00B1354E">
        <w:rPr>
          <w:rFonts w:ascii="Times New Roman" w:hAnsi="Times New Roman" w:cs="Times New Roman"/>
          <w:i/>
          <w:iCs/>
          <w:color w:val="000000" w:themeColor="text1"/>
        </w:rPr>
        <w:t>dos</w:t>
      </w:r>
    </w:p>
    <w:p w14:paraId="67B4FC8E" w14:textId="46409CD3" w:rsidR="00F4431A" w:rsidRDefault="00F4431A"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Se incluyeron cinco ensayos clínicos aleatorizados, publicados entre 1989 y 2020, con tamaños muestrales entre 10 y 50 participantes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{"citationID":"JsBvQvFs","properties":{"formattedCitation":"(7\\uc0\\u8211{}9,24,25)","plainCitation":"(7–9,24,25)","noteIndex":0},"citationItems":[{"id":28,"uris":["http://zotero.org/users/12518303/items/SGTBTX7K"],"itemData":{"id":28,"type":"article-journal","abstract":"In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color w:val="000000" w:themeColor="text1"/>
          <w:kern w:val="0"/>
          <w:lang w:val="en-US"/>
        </w:rPr>
        <w:t>(7–9,24,25)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Tres estudios compararon lidocaína intravenosa con placebo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{"citationID":"h83f5RSL","properties":{"formattedCitation":"(7,24,25)","plainCitation":"(7,24,25)","noteIndex":0},"citationItems":[{"id":34,"uris":["http://zotero.org/users/12518303/items/PLM8W5A6"],"itemData":{"id":34,"type":"article-journal","container-title":"The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(7,24,25)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uno evaluó lidocaína intravenosa frente a dexmedetomidina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{"citationID":"JCWBgiCQ","properties":{"formattedCitation":"(8)","plainCitation":"(8)","noteIndex":0},"citationItems":[{"id":29,"uris":["http://zotero.org/users/12518303/items/T64IPWAM"],"itemData":{"id":29,"type":"article-journal","abstract":"Introduction: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y uno </w:t>
      </w:r>
      <w:r w:rsidRPr="00670245">
        <w:rPr>
          <w:rFonts w:ascii="Times New Roman" w:hAnsi="Times New Roman" w:cs="Times New Roman"/>
          <w:color w:val="000000" w:themeColor="text1"/>
        </w:rPr>
        <w:lastRenderedPageBreak/>
        <w:t xml:space="preserve">exploró la vía subcutánea frente a placebo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{"citationID":"BHiTk98H","properties":{"formattedCitation":"(9)","plainCitation":"(9)","noteIndex":0},"citationItems":[{"id":31,"uris":["http://zotero.org/users/12518303/items/Z775HBFS"],"itemData":{"id":31,"type":"article-journal","abstract":"Background: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Todos </w:t>
      </w:r>
      <w:r w:rsidR="006E52C8" w:rsidRPr="00670245">
        <w:rPr>
          <w:rFonts w:ascii="Times New Roman" w:hAnsi="Times New Roman" w:cs="Times New Roman"/>
          <w:color w:val="000000" w:themeColor="text1"/>
        </w:rPr>
        <w:t>tenían como población de estudio</w:t>
      </w:r>
      <w:r w:rsidRPr="00670245">
        <w:rPr>
          <w:rFonts w:ascii="Times New Roman" w:hAnsi="Times New Roman" w:cs="Times New Roman"/>
          <w:color w:val="000000" w:themeColor="text1"/>
        </w:rPr>
        <w:t xml:space="preserve"> adultos con </w:t>
      </w:r>
      <w:r w:rsidR="006E52C8" w:rsidRPr="00670245">
        <w:rPr>
          <w:rFonts w:ascii="Times New Roman" w:hAnsi="Times New Roman" w:cs="Times New Roman"/>
          <w:color w:val="000000" w:themeColor="text1"/>
        </w:rPr>
        <w:t>dolor oncológico refractario a opioides</w:t>
      </w:r>
      <w:r w:rsidRPr="00670245">
        <w:rPr>
          <w:rFonts w:ascii="Times New Roman" w:hAnsi="Times New Roman" w:cs="Times New Roman"/>
          <w:color w:val="000000" w:themeColor="text1"/>
        </w:rPr>
        <w:t>, con predominio de componente neuropático. Las características principales de los ensayos se presentan en la Tabla de estudios incluidos (Tabla 1).</w:t>
      </w:r>
    </w:p>
    <w:p w14:paraId="3F74E5B7" w14:textId="77777777" w:rsidR="0070218A" w:rsidRDefault="0070218A" w:rsidP="00670245">
      <w:pPr>
        <w:tabs>
          <w:tab w:val="left" w:pos="4820"/>
        </w:tabs>
        <w:spacing w:line="360" w:lineRule="auto"/>
        <w:jc w:val="both"/>
        <w:rPr>
          <w:rFonts w:ascii="Times New Roman" w:hAnsi="Times New Roman" w:cs="Times New Roman"/>
          <w:color w:val="000000" w:themeColor="text1"/>
        </w:rPr>
      </w:pPr>
    </w:p>
    <w:p w14:paraId="1C466F8C" w14:textId="77777777" w:rsidR="0070218A" w:rsidRDefault="0070218A" w:rsidP="0070218A">
      <w:r w:rsidRPr="004C2394">
        <w:rPr>
          <w:b/>
          <w:bCs/>
        </w:rPr>
        <w:t>Tabla 1.</w:t>
      </w:r>
      <w:r w:rsidRPr="004C2394">
        <w:t xml:space="preserve"> Características principales de los ensayos clínicos aleatorizados incluidos sobre lidocaína sistémica en dolor oncológico refractario</w:t>
      </w:r>
    </w:p>
    <w:p w14:paraId="55321AF6" w14:textId="77777777" w:rsidR="0070218A" w:rsidRDefault="0070218A" w:rsidP="0070218A"/>
    <w:tbl>
      <w:tblPr>
        <w:tblStyle w:val="TableGrid"/>
        <w:tblW w:w="0" w:type="auto"/>
        <w:tblLayout w:type="fixed"/>
        <w:tblLook w:val="04A0" w:firstRow="1" w:lastRow="0" w:firstColumn="1" w:lastColumn="0" w:noHBand="0" w:noVBand="1"/>
      </w:tblPr>
      <w:tblGrid>
        <w:gridCol w:w="823"/>
        <w:gridCol w:w="1157"/>
        <w:gridCol w:w="1134"/>
        <w:gridCol w:w="992"/>
        <w:gridCol w:w="1134"/>
        <w:gridCol w:w="992"/>
        <w:gridCol w:w="1560"/>
        <w:gridCol w:w="1558"/>
      </w:tblGrid>
      <w:tr w:rsidR="0070218A" w:rsidRPr="00F422D2" w14:paraId="103DF66B" w14:textId="77777777" w:rsidTr="00F34C93">
        <w:tc>
          <w:tcPr>
            <w:tcW w:w="823" w:type="dxa"/>
            <w:hideMark/>
          </w:tcPr>
          <w:p w14:paraId="7E4125AE" w14:textId="77777777" w:rsidR="0070218A" w:rsidRPr="00F422D2" w:rsidRDefault="0070218A" w:rsidP="00F34C93">
            <w:pPr>
              <w:rPr>
                <w:b/>
                <w:bCs/>
                <w:sz w:val="14"/>
                <w:szCs w:val="14"/>
              </w:rPr>
            </w:pPr>
            <w:r w:rsidRPr="00F422D2">
              <w:rPr>
                <w:b/>
                <w:bCs/>
                <w:sz w:val="14"/>
                <w:szCs w:val="14"/>
              </w:rPr>
              <w:t>Autor / Año</w:t>
            </w:r>
          </w:p>
        </w:tc>
        <w:tc>
          <w:tcPr>
            <w:tcW w:w="1157" w:type="dxa"/>
            <w:hideMark/>
          </w:tcPr>
          <w:p w14:paraId="244F8E02" w14:textId="77777777" w:rsidR="0070218A" w:rsidRPr="00F422D2" w:rsidRDefault="0070218A" w:rsidP="00F34C93">
            <w:pPr>
              <w:rPr>
                <w:b/>
                <w:bCs/>
                <w:sz w:val="14"/>
                <w:szCs w:val="14"/>
              </w:rPr>
            </w:pPr>
            <w:r w:rsidRPr="00F422D2">
              <w:rPr>
                <w:b/>
                <w:bCs/>
                <w:sz w:val="14"/>
                <w:szCs w:val="14"/>
              </w:rPr>
              <w:t>País / Centro</w:t>
            </w:r>
          </w:p>
        </w:tc>
        <w:tc>
          <w:tcPr>
            <w:tcW w:w="1134" w:type="dxa"/>
            <w:hideMark/>
          </w:tcPr>
          <w:p w14:paraId="1B0797B4" w14:textId="77777777" w:rsidR="0070218A" w:rsidRPr="00F422D2" w:rsidRDefault="0070218A" w:rsidP="00F34C93">
            <w:pPr>
              <w:rPr>
                <w:b/>
                <w:bCs/>
                <w:sz w:val="14"/>
                <w:szCs w:val="14"/>
              </w:rPr>
            </w:pPr>
            <w:r w:rsidRPr="00F422D2">
              <w:rPr>
                <w:b/>
                <w:bCs/>
                <w:sz w:val="14"/>
                <w:szCs w:val="14"/>
              </w:rPr>
              <w:t>Diseño y muestra</w:t>
            </w:r>
          </w:p>
        </w:tc>
        <w:tc>
          <w:tcPr>
            <w:tcW w:w="992" w:type="dxa"/>
            <w:hideMark/>
          </w:tcPr>
          <w:p w14:paraId="0D5397FB" w14:textId="77777777" w:rsidR="0070218A" w:rsidRPr="00F422D2" w:rsidRDefault="0070218A" w:rsidP="00F34C93">
            <w:pPr>
              <w:rPr>
                <w:b/>
                <w:bCs/>
                <w:sz w:val="14"/>
                <w:szCs w:val="14"/>
              </w:rPr>
            </w:pPr>
            <w:r w:rsidRPr="00F422D2">
              <w:rPr>
                <w:b/>
                <w:bCs/>
                <w:sz w:val="14"/>
                <w:szCs w:val="14"/>
              </w:rPr>
              <w:t>Población</w:t>
            </w:r>
          </w:p>
        </w:tc>
        <w:tc>
          <w:tcPr>
            <w:tcW w:w="1134" w:type="dxa"/>
            <w:hideMark/>
          </w:tcPr>
          <w:p w14:paraId="5AFA2584" w14:textId="77777777" w:rsidR="0070218A" w:rsidRPr="00F422D2" w:rsidRDefault="0070218A" w:rsidP="00F34C93">
            <w:pPr>
              <w:rPr>
                <w:b/>
                <w:bCs/>
                <w:sz w:val="14"/>
                <w:szCs w:val="14"/>
              </w:rPr>
            </w:pPr>
            <w:r w:rsidRPr="00F422D2">
              <w:rPr>
                <w:b/>
                <w:bCs/>
                <w:sz w:val="14"/>
                <w:szCs w:val="14"/>
              </w:rPr>
              <w:t xml:space="preserve">Intervención </w:t>
            </w:r>
          </w:p>
        </w:tc>
        <w:tc>
          <w:tcPr>
            <w:tcW w:w="992" w:type="dxa"/>
            <w:hideMark/>
          </w:tcPr>
          <w:p w14:paraId="497E0EAC" w14:textId="77777777" w:rsidR="0070218A" w:rsidRPr="00F422D2" w:rsidRDefault="0070218A" w:rsidP="00F34C93">
            <w:pPr>
              <w:rPr>
                <w:b/>
                <w:bCs/>
                <w:sz w:val="14"/>
                <w:szCs w:val="14"/>
              </w:rPr>
            </w:pPr>
            <w:r w:rsidRPr="00F422D2">
              <w:rPr>
                <w:b/>
                <w:bCs/>
                <w:sz w:val="14"/>
                <w:szCs w:val="14"/>
              </w:rPr>
              <w:t xml:space="preserve">Desenlace primario </w:t>
            </w:r>
          </w:p>
        </w:tc>
        <w:tc>
          <w:tcPr>
            <w:tcW w:w="1560" w:type="dxa"/>
            <w:hideMark/>
          </w:tcPr>
          <w:p w14:paraId="0405AE89" w14:textId="77777777" w:rsidR="0070218A" w:rsidRPr="00F422D2" w:rsidRDefault="0070218A" w:rsidP="00F34C93">
            <w:pPr>
              <w:rPr>
                <w:b/>
                <w:bCs/>
                <w:sz w:val="14"/>
                <w:szCs w:val="14"/>
              </w:rPr>
            </w:pPr>
            <w:r w:rsidRPr="00F422D2">
              <w:rPr>
                <w:b/>
                <w:bCs/>
                <w:sz w:val="14"/>
                <w:szCs w:val="14"/>
              </w:rPr>
              <w:t>Resultados principales</w:t>
            </w:r>
          </w:p>
        </w:tc>
        <w:tc>
          <w:tcPr>
            <w:tcW w:w="1558" w:type="dxa"/>
            <w:hideMark/>
          </w:tcPr>
          <w:p w14:paraId="69056D46" w14:textId="77777777" w:rsidR="0070218A" w:rsidRPr="00F422D2" w:rsidRDefault="0070218A" w:rsidP="00F34C93">
            <w:pPr>
              <w:rPr>
                <w:b/>
                <w:bCs/>
                <w:sz w:val="14"/>
                <w:szCs w:val="14"/>
              </w:rPr>
            </w:pPr>
            <w:r w:rsidRPr="00F422D2">
              <w:rPr>
                <w:b/>
                <w:bCs/>
                <w:sz w:val="14"/>
                <w:szCs w:val="14"/>
              </w:rPr>
              <w:t>Limitaciones clave</w:t>
            </w:r>
          </w:p>
        </w:tc>
      </w:tr>
      <w:tr w:rsidR="0070218A" w:rsidRPr="00F422D2" w14:paraId="18AB2680" w14:textId="77777777" w:rsidTr="00F34C93">
        <w:tc>
          <w:tcPr>
            <w:tcW w:w="823" w:type="dxa"/>
            <w:hideMark/>
          </w:tcPr>
          <w:p w14:paraId="34230E22" w14:textId="77777777" w:rsidR="0070218A" w:rsidRPr="00F422D2" w:rsidRDefault="0070218A" w:rsidP="00F34C93">
            <w:pPr>
              <w:rPr>
                <w:b/>
                <w:bCs/>
                <w:sz w:val="14"/>
                <w:szCs w:val="14"/>
              </w:rPr>
            </w:pPr>
            <w:r w:rsidRPr="00F422D2">
              <w:rPr>
                <w:b/>
                <w:bCs/>
                <w:sz w:val="14"/>
                <w:szCs w:val="14"/>
              </w:rPr>
              <w:t xml:space="preserve">Ellemann </w:t>
            </w:r>
            <w:r w:rsidRPr="00BB250F">
              <w:rPr>
                <w:b/>
                <w:bCs/>
                <w:i/>
                <w:iCs/>
                <w:sz w:val="14"/>
                <w:szCs w:val="14"/>
              </w:rPr>
              <w:t>et</w:t>
            </w:r>
            <w:r w:rsidRPr="00F422D2">
              <w:rPr>
                <w:b/>
                <w:bCs/>
                <w:sz w:val="14"/>
                <w:szCs w:val="14"/>
              </w:rPr>
              <w:t xml:space="preserve"> al., 1989</w:t>
            </w:r>
          </w:p>
        </w:tc>
        <w:tc>
          <w:tcPr>
            <w:tcW w:w="1157" w:type="dxa"/>
            <w:hideMark/>
          </w:tcPr>
          <w:p w14:paraId="3FE20F16" w14:textId="77777777" w:rsidR="0070218A" w:rsidRPr="00F422D2" w:rsidRDefault="0070218A" w:rsidP="00F34C93">
            <w:pPr>
              <w:rPr>
                <w:sz w:val="14"/>
                <w:szCs w:val="14"/>
              </w:rPr>
            </w:pPr>
            <w:r w:rsidRPr="00F422D2">
              <w:rPr>
                <w:sz w:val="14"/>
                <w:szCs w:val="14"/>
              </w:rPr>
              <w:t>Dinamarca (University Hospital, Copenhague</w:t>
            </w:r>
            <w:r>
              <w:rPr>
                <w:sz w:val="14"/>
                <w:szCs w:val="14"/>
              </w:rPr>
              <w:t>n</w:t>
            </w:r>
            <w:r w:rsidRPr="00F422D2">
              <w:rPr>
                <w:sz w:val="14"/>
                <w:szCs w:val="14"/>
              </w:rPr>
              <w:t>)</w:t>
            </w:r>
          </w:p>
        </w:tc>
        <w:tc>
          <w:tcPr>
            <w:tcW w:w="1134" w:type="dxa"/>
            <w:hideMark/>
          </w:tcPr>
          <w:p w14:paraId="5E698593" w14:textId="77777777" w:rsidR="0070218A" w:rsidRPr="00F422D2" w:rsidRDefault="0070218A" w:rsidP="00F34C93">
            <w:pPr>
              <w:rPr>
                <w:sz w:val="14"/>
                <w:szCs w:val="14"/>
              </w:rPr>
            </w:pPr>
            <w:r w:rsidRPr="00F422D2">
              <w:rPr>
                <w:sz w:val="14"/>
                <w:szCs w:val="14"/>
              </w:rPr>
              <w:t>Ensayo cruzado, doble ciego; n</w:t>
            </w:r>
            <w:r>
              <w:rPr>
                <w:sz w:val="14"/>
                <w:szCs w:val="14"/>
              </w:rPr>
              <w:t>=</w:t>
            </w:r>
            <w:r w:rsidRPr="00F422D2">
              <w:rPr>
                <w:sz w:val="14"/>
                <w:szCs w:val="14"/>
              </w:rPr>
              <w:t>10</w:t>
            </w:r>
          </w:p>
        </w:tc>
        <w:tc>
          <w:tcPr>
            <w:tcW w:w="992" w:type="dxa"/>
            <w:hideMark/>
          </w:tcPr>
          <w:p w14:paraId="1136364A" w14:textId="77777777" w:rsidR="0070218A" w:rsidRPr="00F422D2" w:rsidRDefault="0070218A" w:rsidP="00F34C93">
            <w:pPr>
              <w:rPr>
                <w:sz w:val="14"/>
                <w:szCs w:val="14"/>
              </w:rPr>
            </w:pPr>
            <w:r w:rsidRPr="00F422D2">
              <w:rPr>
                <w:sz w:val="14"/>
                <w:szCs w:val="14"/>
              </w:rPr>
              <w:t>Pacientes con cáncer y alodinia cutánea</w:t>
            </w:r>
          </w:p>
        </w:tc>
        <w:tc>
          <w:tcPr>
            <w:tcW w:w="1134" w:type="dxa"/>
            <w:hideMark/>
          </w:tcPr>
          <w:p w14:paraId="67CD7F36" w14:textId="77777777" w:rsidR="0070218A" w:rsidRPr="00F422D2" w:rsidRDefault="0070218A" w:rsidP="00F34C93">
            <w:pPr>
              <w:rPr>
                <w:sz w:val="14"/>
                <w:szCs w:val="14"/>
              </w:rPr>
            </w:pPr>
            <w:r w:rsidRPr="00F422D2">
              <w:rPr>
                <w:sz w:val="14"/>
                <w:szCs w:val="14"/>
              </w:rPr>
              <w:t>Lidocaína IV 5 mg/kg en 200 ml glucosa 30 min vs NaCl 0.9%, con ≥1 semana de lavado</w:t>
            </w:r>
          </w:p>
        </w:tc>
        <w:tc>
          <w:tcPr>
            <w:tcW w:w="992" w:type="dxa"/>
            <w:hideMark/>
          </w:tcPr>
          <w:p w14:paraId="51961BA6" w14:textId="77777777" w:rsidR="0070218A" w:rsidRPr="00F422D2" w:rsidRDefault="0070218A" w:rsidP="00F34C93">
            <w:pPr>
              <w:rPr>
                <w:sz w:val="14"/>
                <w:szCs w:val="14"/>
              </w:rPr>
            </w:pPr>
            <w:r w:rsidRPr="00F422D2">
              <w:rPr>
                <w:sz w:val="14"/>
                <w:szCs w:val="14"/>
              </w:rPr>
              <w:t>Reducción &gt;11 mm en EVA de 100 mm</w:t>
            </w:r>
          </w:p>
        </w:tc>
        <w:tc>
          <w:tcPr>
            <w:tcW w:w="1560" w:type="dxa"/>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18A" w:rsidRPr="00F422D2" w14:paraId="1877B33E" w14:textId="77777777" w:rsidTr="00F34C93">
              <w:trPr>
                <w:tblCellSpacing w:w="15" w:type="dxa"/>
              </w:trPr>
              <w:tc>
                <w:tcPr>
                  <w:tcW w:w="0" w:type="auto"/>
                  <w:vAlign w:val="center"/>
                  <w:hideMark/>
                </w:tcPr>
                <w:p w14:paraId="06AF91C4" w14:textId="77777777" w:rsidR="0070218A" w:rsidRPr="00F422D2" w:rsidRDefault="0070218A" w:rsidP="00F34C93">
                  <w:pPr>
                    <w:spacing w:after="0" w:line="240" w:lineRule="auto"/>
                    <w:rPr>
                      <w:sz w:val="14"/>
                      <w:szCs w:val="14"/>
                    </w:rPr>
                  </w:pPr>
                </w:p>
              </w:tc>
            </w:tr>
          </w:tbl>
          <w:p w14:paraId="43241D5A" w14:textId="77777777" w:rsidR="0070218A" w:rsidRPr="00F422D2" w:rsidRDefault="0070218A" w:rsidP="00F34C93">
            <w:pPr>
              <w:rPr>
                <w:vanish/>
                <w:sz w:val="14"/>
                <w:szCs w:val="14"/>
              </w:rPr>
            </w:pPr>
          </w:p>
          <w:p w14:paraId="5B86D8A4" w14:textId="77777777" w:rsidR="0070218A" w:rsidRPr="00F422D2" w:rsidRDefault="0070218A" w:rsidP="00F34C93">
            <w:pPr>
              <w:rPr>
                <w:sz w:val="14"/>
                <w:szCs w:val="14"/>
              </w:rPr>
            </w:pPr>
            <w:r w:rsidRPr="00F422D2">
              <w:rPr>
                <w:sz w:val="14"/>
                <w:szCs w:val="14"/>
              </w:rPr>
              <w:t xml:space="preserve">2 pacientes con alivio inmediato tras lidocaína: 1 con alivio parcial 8 h y 1 con alivio completo &lt;1 h; 3 pacientes con reducción parcial tras placebo; p=0.99 (no significativo). Sin eventos adversos salvo somnolencia leve transitoria en 1 paciente. Sin alteraciones </w:t>
            </w:r>
            <w:r>
              <w:rPr>
                <w:sz w:val="14"/>
                <w:szCs w:val="14"/>
              </w:rPr>
              <w:t xml:space="preserve">en el </w:t>
            </w:r>
            <w:r w:rsidRPr="00F422D2">
              <w:rPr>
                <w:sz w:val="14"/>
                <w:szCs w:val="14"/>
              </w:rPr>
              <w:t>ECG.</w:t>
            </w:r>
          </w:p>
        </w:tc>
        <w:tc>
          <w:tcPr>
            <w:tcW w:w="1558" w:type="dxa"/>
            <w:hideMark/>
          </w:tcPr>
          <w:p w14:paraId="5F31E856" w14:textId="77777777" w:rsidR="0070218A" w:rsidRPr="00F422D2" w:rsidRDefault="0070218A" w:rsidP="00F34C93">
            <w:pPr>
              <w:rPr>
                <w:sz w:val="14"/>
                <w:szCs w:val="14"/>
              </w:rPr>
            </w:pPr>
            <w:r w:rsidRPr="00F422D2">
              <w:rPr>
                <w:sz w:val="14"/>
                <w:szCs w:val="14"/>
              </w:rPr>
              <w:t>Muestra muy pequeña; potencia insuficiente; alivio clínicamente breve y no significativo; desenlace centrado solo en alodinia.</w:t>
            </w:r>
          </w:p>
        </w:tc>
      </w:tr>
      <w:tr w:rsidR="0070218A" w:rsidRPr="00F422D2" w14:paraId="6D4E441D" w14:textId="77777777" w:rsidTr="00F34C93">
        <w:tc>
          <w:tcPr>
            <w:tcW w:w="823" w:type="dxa"/>
            <w:hideMark/>
          </w:tcPr>
          <w:p w14:paraId="78F0CE9E" w14:textId="77777777" w:rsidR="0070218A" w:rsidRPr="00F422D2" w:rsidRDefault="0070218A" w:rsidP="00F34C93">
            <w:pPr>
              <w:rPr>
                <w:b/>
                <w:bCs/>
                <w:sz w:val="14"/>
                <w:szCs w:val="14"/>
              </w:rPr>
            </w:pPr>
            <w:r w:rsidRPr="00F422D2">
              <w:rPr>
                <w:b/>
                <w:bCs/>
                <w:sz w:val="14"/>
                <w:szCs w:val="14"/>
              </w:rPr>
              <w:t xml:space="preserve">Bruera </w:t>
            </w:r>
            <w:r w:rsidRPr="00BB250F">
              <w:rPr>
                <w:b/>
                <w:bCs/>
                <w:i/>
                <w:iCs/>
                <w:sz w:val="14"/>
                <w:szCs w:val="14"/>
              </w:rPr>
              <w:t xml:space="preserve">et </w:t>
            </w:r>
            <w:r w:rsidRPr="00F422D2">
              <w:rPr>
                <w:b/>
                <w:bCs/>
                <w:sz w:val="14"/>
                <w:szCs w:val="14"/>
              </w:rPr>
              <w:t>al., 1992</w:t>
            </w:r>
          </w:p>
        </w:tc>
        <w:tc>
          <w:tcPr>
            <w:tcW w:w="1157" w:type="dxa"/>
            <w:hideMark/>
          </w:tcPr>
          <w:p w14:paraId="49338699" w14:textId="77777777" w:rsidR="0070218A" w:rsidRPr="00F422D2" w:rsidRDefault="0070218A" w:rsidP="00F34C93">
            <w:pPr>
              <w:rPr>
                <w:sz w:val="14"/>
                <w:szCs w:val="14"/>
              </w:rPr>
            </w:pPr>
            <w:r w:rsidRPr="00F422D2">
              <w:rPr>
                <w:sz w:val="14"/>
                <w:szCs w:val="14"/>
              </w:rPr>
              <w:t>Canadá, Edmonton General Hospital y Cross Cancer Institute</w:t>
            </w:r>
          </w:p>
        </w:tc>
        <w:tc>
          <w:tcPr>
            <w:tcW w:w="1134" w:type="dxa"/>
            <w:hideMark/>
          </w:tcPr>
          <w:p w14:paraId="58BF7785" w14:textId="77777777" w:rsidR="0070218A" w:rsidRPr="00F422D2" w:rsidRDefault="0070218A" w:rsidP="00F34C93">
            <w:pPr>
              <w:rPr>
                <w:sz w:val="14"/>
                <w:szCs w:val="14"/>
              </w:rPr>
            </w:pPr>
            <w:r w:rsidRPr="00F422D2">
              <w:rPr>
                <w:sz w:val="14"/>
                <w:szCs w:val="14"/>
              </w:rPr>
              <w:t>Ensayo clínico aleatorizad</w:t>
            </w:r>
            <w:r>
              <w:rPr>
                <w:sz w:val="14"/>
                <w:szCs w:val="14"/>
              </w:rPr>
              <w:t>o</w:t>
            </w:r>
            <w:r w:rsidRPr="00F422D2">
              <w:rPr>
                <w:sz w:val="14"/>
                <w:szCs w:val="14"/>
              </w:rPr>
              <w:t>, doble ciego, cruzado; n=11 (10 evaluables)</w:t>
            </w:r>
          </w:p>
        </w:tc>
        <w:tc>
          <w:tcPr>
            <w:tcW w:w="992" w:type="dxa"/>
            <w:hideMark/>
          </w:tcPr>
          <w:p w14:paraId="4458FE49" w14:textId="77777777" w:rsidR="0070218A" w:rsidRPr="00F422D2" w:rsidRDefault="0070218A" w:rsidP="00F34C93">
            <w:pPr>
              <w:rPr>
                <w:sz w:val="14"/>
                <w:szCs w:val="14"/>
              </w:rPr>
            </w:pPr>
            <w:r w:rsidRPr="00F422D2">
              <w:rPr>
                <w:sz w:val="14"/>
                <w:szCs w:val="14"/>
              </w:rPr>
              <w:t>Pacientes con dolor neuropático oncológico (plexopatías) refractario a opioides</w:t>
            </w:r>
          </w:p>
        </w:tc>
        <w:tc>
          <w:tcPr>
            <w:tcW w:w="1134" w:type="dxa"/>
            <w:hideMark/>
          </w:tcPr>
          <w:p w14:paraId="25200F9C" w14:textId="77777777" w:rsidR="0070218A" w:rsidRPr="00F422D2" w:rsidRDefault="0070218A" w:rsidP="00F34C93">
            <w:pPr>
              <w:rPr>
                <w:sz w:val="14"/>
                <w:szCs w:val="14"/>
              </w:rPr>
            </w:pPr>
            <w:r w:rsidRPr="00F422D2">
              <w:rPr>
                <w:sz w:val="14"/>
                <w:szCs w:val="14"/>
              </w:rPr>
              <w:t>Lidocaína IV 5 mg/kg en 30 min</w:t>
            </w:r>
            <w:r w:rsidRPr="00997A85">
              <w:rPr>
                <w:sz w:val="14"/>
                <w:szCs w:val="14"/>
              </w:rPr>
              <w:t xml:space="preserve"> vs placebo</w:t>
            </w:r>
          </w:p>
        </w:tc>
        <w:tc>
          <w:tcPr>
            <w:tcW w:w="992" w:type="dxa"/>
            <w:hideMark/>
          </w:tcPr>
          <w:p w14:paraId="5A03AC63" w14:textId="77777777" w:rsidR="0070218A" w:rsidRPr="00F422D2" w:rsidRDefault="0070218A" w:rsidP="00F34C93">
            <w:pPr>
              <w:rPr>
                <w:sz w:val="14"/>
                <w:szCs w:val="14"/>
              </w:rPr>
            </w:pPr>
            <w:r w:rsidRPr="00F422D2">
              <w:rPr>
                <w:sz w:val="14"/>
                <w:szCs w:val="14"/>
              </w:rPr>
              <w:t>Intensidad de dolor (EVA en intervalos) y consumo de rescates</w:t>
            </w:r>
          </w:p>
        </w:tc>
        <w:tc>
          <w:tcPr>
            <w:tcW w:w="1560" w:type="dxa"/>
            <w:hideMark/>
          </w:tcPr>
          <w:p w14:paraId="59F92E33" w14:textId="77777777" w:rsidR="0070218A" w:rsidRPr="00F422D2" w:rsidRDefault="0070218A" w:rsidP="00F34C93">
            <w:pPr>
              <w:rPr>
                <w:sz w:val="14"/>
                <w:szCs w:val="14"/>
              </w:rPr>
            </w:pPr>
            <w:r w:rsidRPr="00F422D2">
              <w:rPr>
                <w:sz w:val="14"/>
                <w:szCs w:val="14"/>
              </w:rPr>
              <w:t>No hubo diferencia significativa en intensidad de dolor entre lidocaína y placebo en ningún momento. Rescates: 3 ± 2 tras lidocaína vs 3 ± 2 tras placebo (NS). En la elección final, lidocaína fue preferida por 1 paciente/investigador, placebo por 2/1, y 7/8 no mostraron diferencia. No se reportaron efectos adversos clínicos ni ECG anormales.</w:t>
            </w:r>
          </w:p>
        </w:tc>
        <w:tc>
          <w:tcPr>
            <w:tcW w:w="1558" w:type="dxa"/>
            <w:hideMark/>
          </w:tcPr>
          <w:p w14:paraId="476E4B5F" w14:textId="77777777" w:rsidR="0070218A" w:rsidRPr="00F422D2" w:rsidRDefault="0070218A" w:rsidP="00F34C93">
            <w:pPr>
              <w:rPr>
                <w:sz w:val="14"/>
                <w:szCs w:val="14"/>
              </w:rPr>
            </w:pPr>
            <w:r w:rsidRPr="00F422D2">
              <w:rPr>
                <w:sz w:val="14"/>
                <w:szCs w:val="14"/>
              </w:rPr>
              <w:t>Muestra muy pequeña (10 analizables), exclusión por sepsis, potencia insuficiente, ausencia de beneficio</w:t>
            </w:r>
          </w:p>
        </w:tc>
      </w:tr>
      <w:tr w:rsidR="0070218A" w:rsidRPr="00F422D2" w14:paraId="0C075C4E" w14:textId="77777777" w:rsidTr="00F34C93">
        <w:tc>
          <w:tcPr>
            <w:tcW w:w="823" w:type="dxa"/>
            <w:hideMark/>
          </w:tcPr>
          <w:p w14:paraId="6E980D1C" w14:textId="77777777" w:rsidR="0070218A" w:rsidRPr="00F422D2" w:rsidRDefault="0070218A" w:rsidP="00F34C93">
            <w:pPr>
              <w:rPr>
                <w:b/>
                <w:bCs/>
                <w:sz w:val="14"/>
                <w:szCs w:val="14"/>
              </w:rPr>
            </w:pPr>
            <w:r w:rsidRPr="00F422D2">
              <w:rPr>
                <w:b/>
                <w:bCs/>
                <w:sz w:val="14"/>
                <w:szCs w:val="14"/>
              </w:rPr>
              <w:t xml:space="preserve">Sharma </w:t>
            </w:r>
            <w:r w:rsidRPr="00BB250F">
              <w:rPr>
                <w:b/>
                <w:bCs/>
                <w:i/>
                <w:iCs/>
                <w:sz w:val="14"/>
                <w:szCs w:val="14"/>
              </w:rPr>
              <w:t xml:space="preserve">et </w:t>
            </w:r>
            <w:r w:rsidRPr="00F422D2">
              <w:rPr>
                <w:b/>
                <w:bCs/>
                <w:sz w:val="14"/>
                <w:szCs w:val="14"/>
              </w:rPr>
              <w:t>al., 2009</w:t>
            </w:r>
          </w:p>
        </w:tc>
        <w:tc>
          <w:tcPr>
            <w:tcW w:w="1157" w:type="dxa"/>
            <w:hideMark/>
          </w:tcPr>
          <w:p w14:paraId="5A3BDFAF" w14:textId="77777777" w:rsidR="0070218A" w:rsidRPr="00F422D2" w:rsidRDefault="0070218A" w:rsidP="00F34C93">
            <w:pPr>
              <w:rPr>
                <w:sz w:val="14"/>
                <w:szCs w:val="14"/>
              </w:rPr>
            </w:pPr>
            <w:r w:rsidRPr="00F422D2">
              <w:rPr>
                <w:sz w:val="14"/>
                <w:szCs w:val="14"/>
              </w:rPr>
              <w:t>India, Amrita Institute of Medical Sciences (Kochi)</w:t>
            </w:r>
          </w:p>
        </w:tc>
        <w:tc>
          <w:tcPr>
            <w:tcW w:w="1134" w:type="dxa"/>
            <w:hideMark/>
          </w:tcPr>
          <w:p w14:paraId="460127CC" w14:textId="77777777" w:rsidR="0070218A" w:rsidRPr="00BA7CE3" w:rsidRDefault="0070218A" w:rsidP="00F34C93">
            <w:pPr>
              <w:rPr>
                <w:sz w:val="14"/>
                <w:szCs w:val="14"/>
              </w:rPr>
            </w:pPr>
            <w:r w:rsidRPr="00BA7CE3">
              <w:rPr>
                <w:sz w:val="14"/>
                <w:szCs w:val="14"/>
              </w:rPr>
              <w:t>ECA, doble ciego, cruzado; n=50 analizados (de 88 elegibles)</w:t>
            </w:r>
          </w:p>
        </w:tc>
        <w:tc>
          <w:tcPr>
            <w:tcW w:w="992" w:type="dxa"/>
            <w:hideMark/>
          </w:tcPr>
          <w:p w14:paraId="3560942D" w14:textId="77777777" w:rsidR="0070218A" w:rsidRPr="00BA7CE3" w:rsidRDefault="0070218A" w:rsidP="00F34C93">
            <w:pPr>
              <w:rPr>
                <w:sz w:val="14"/>
                <w:szCs w:val="14"/>
              </w:rPr>
            </w:pPr>
            <w:r w:rsidRPr="00BA7CE3">
              <w:rPr>
                <w:sz w:val="14"/>
                <w:szCs w:val="14"/>
              </w:rPr>
              <w:t>Pacientes con cáncer y dolor refractario a opioides; la mayoría con dolor neuropático, en tratamiento con morfina y coadyuvantes</w:t>
            </w:r>
          </w:p>
        </w:tc>
        <w:tc>
          <w:tcPr>
            <w:tcW w:w="1134" w:type="dxa"/>
            <w:hideMark/>
          </w:tcPr>
          <w:p w14:paraId="55215EBC" w14:textId="77777777" w:rsidR="0070218A" w:rsidRPr="00BA7CE3" w:rsidRDefault="0070218A" w:rsidP="00F34C93">
            <w:pPr>
              <w:rPr>
                <w:sz w:val="14"/>
                <w:szCs w:val="14"/>
              </w:rPr>
            </w:pPr>
            <w:r w:rsidRPr="009F054C">
              <w:rPr>
                <w:sz w:val="14"/>
                <w:szCs w:val="14"/>
              </w:rPr>
              <w:t>Lidocaína IV total 4 mg/kg: 2 mg/kg en 20 min + 2 mg/kg en 60 min (total 80 min) vs placebo (volumen equivalente)</w:t>
            </w:r>
          </w:p>
        </w:tc>
        <w:tc>
          <w:tcPr>
            <w:tcW w:w="992" w:type="dxa"/>
            <w:hideMark/>
          </w:tcPr>
          <w:p w14:paraId="7C3C2AB5" w14:textId="77777777" w:rsidR="0070218A" w:rsidRPr="00F422D2" w:rsidRDefault="0070218A" w:rsidP="00F34C93">
            <w:pPr>
              <w:rPr>
                <w:sz w:val="14"/>
                <w:szCs w:val="14"/>
              </w:rPr>
            </w:pPr>
            <w:r w:rsidRPr="009F054C">
              <w:rPr>
                <w:sz w:val="14"/>
                <w:szCs w:val="14"/>
              </w:rPr>
              <w:t>Magnitud de cambio en NAS (0–10) y duración de analgesia postinfusión (seguimiento inmediato y hasta 2 h; y registro posterior)</w:t>
            </w:r>
          </w:p>
        </w:tc>
        <w:tc>
          <w:tcPr>
            <w:tcW w:w="1560" w:type="dxa"/>
            <w:hideMark/>
          </w:tcPr>
          <w:p w14:paraId="2B3F6ED8" w14:textId="77777777" w:rsidR="0070218A" w:rsidRPr="00F422D2" w:rsidRDefault="0070218A" w:rsidP="00F34C93">
            <w:pPr>
              <w:rPr>
                <w:sz w:val="14"/>
                <w:szCs w:val="14"/>
              </w:rPr>
            </w:pPr>
            <w:r w:rsidRPr="00BA7CE3">
              <w:rPr>
                <w:sz w:val="14"/>
                <w:szCs w:val="14"/>
              </w:rPr>
              <w:t>Reducción media del dolor significativamente mayor con lidocaína (6.3 vs 2.3); 82% alcanzaron ≥50% de alivio vs 16% con placebo; alivio más prolongado (9.3 vs 3.8 días) y de inicio más rápido (40 vs 75 min). Menor necesidad de rescates y mayor proporción reportó reducción subjetiva de analgésicos (64% vs 30%).</w:t>
            </w:r>
          </w:p>
        </w:tc>
        <w:tc>
          <w:tcPr>
            <w:tcW w:w="1558" w:type="dxa"/>
            <w:hideMark/>
          </w:tcPr>
          <w:p w14:paraId="3B8C2F82" w14:textId="77777777" w:rsidR="0070218A" w:rsidRPr="00F422D2" w:rsidRDefault="0070218A" w:rsidP="00F34C93">
            <w:pPr>
              <w:rPr>
                <w:sz w:val="14"/>
                <w:szCs w:val="14"/>
              </w:rPr>
            </w:pPr>
            <w:r w:rsidRPr="00BA7CE3">
              <w:rPr>
                <w:sz w:val="14"/>
                <w:szCs w:val="14"/>
              </w:rPr>
              <w:t>Centro único; sin cálculo de poder; no se midieron niveles plasmáticos; algunos efectos adversos (52% lidocaína vs 36% placebo), en su mayoría leves y autolimitados; un paciente requirió suspensión por tinnitus severo.</w:t>
            </w:r>
          </w:p>
        </w:tc>
      </w:tr>
      <w:tr w:rsidR="0070218A" w:rsidRPr="00F422D2" w14:paraId="4781268A" w14:textId="77777777" w:rsidTr="00F34C93">
        <w:tc>
          <w:tcPr>
            <w:tcW w:w="823" w:type="dxa"/>
            <w:hideMark/>
          </w:tcPr>
          <w:p w14:paraId="116CDA28" w14:textId="77777777" w:rsidR="0070218A" w:rsidRPr="00F422D2" w:rsidRDefault="0070218A" w:rsidP="00F34C93">
            <w:pPr>
              <w:rPr>
                <w:b/>
                <w:bCs/>
                <w:sz w:val="14"/>
                <w:szCs w:val="14"/>
              </w:rPr>
            </w:pPr>
            <w:r w:rsidRPr="00F422D2">
              <w:rPr>
                <w:b/>
                <w:bCs/>
                <w:sz w:val="14"/>
                <w:szCs w:val="14"/>
              </w:rPr>
              <w:t xml:space="preserve">Carrillo </w:t>
            </w:r>
            <w:r w:rsidRPr="00BB250F">
              <w:rPr>
                <w:b/>
                <w:bCs/>
                <w:i/>
                <w:iCs/>
                <w:sz w:val="14"/>
                <w:szCs w:val="14"/>
              </w:rPr>
              <w:t xml:space="preserve">et </w:t>
            </w:r>
            <w:r w:rsidRPr="00F422D2">
              <w:rPr>
                <w:b/>
                <w:bCs/>
                <w:sz w:val="14"/>
                <w:szCs w:val="14"/>
              </w:rPr>
              <w:t>al., 2015</w:t>
            </w:r>
          </w:p>
        </w:tc>
        <w:tc>
          <w:tcPr>
            <w:tcW w:w="1157" w:type="dxa"/>
            <w:hideMark/>
          </w:tcPr>
          <w:p w14:paraId="17F9DE64" w14:textId="77777777" w:rsidR="0070218A" w:rsidRPr="00F422D2" w:rsidRDefault="0070218A" w:rsidP="00F34C93">
            <w:pPr>
              <w:rPr>
                <w:sz w:val="14"/>
                <w:szCs w:val="14"/>
              </w:rPr>
            </w:pPr>
            <w:r w:rsidRPr="00F422D2">
              <w:rPr>
                <w:sz w:val="14"/>
                <w:szCs w:val="14"/>
              </w:rPr>
              <w:t xml:space="preserve">México, Hospital </w:t>
            </w:r>
            <w:r w:rsidRPr="00F422D2">
              <w:rPr>
                <w:sz w:val="14"/>
                <w:szCs w:val="14"/>
              </w:rPr>
              <w:lastRenderedPageBreak/>
              <w:t>General de México</w:t>
            </w:r>
          </w:p>
        </w:tc>
        <w:tc>
          <w:tcPr>
            <w:tcW w:w="1134" w:type="dxa"/>
            <w:hideMark/>
          </w:tcPr>
          <w:p w14:paraId="67D55C19" w14:textId="77777777" w:rsidR="0070218A" w:rsidRPr="00BA7CE3" w:rsidRDefault="0070218A" w:rsidP="00F34C93">
            <w:pPr>
              <w:rPr>
                <w:sz w:val="14"/>
                <w:szCs w:val="14"/>
              </w:rPr>
            </w:pPr>
            <w:r w:rsidRPr="00BA7CE3">
              <w:rPr>
                <w:sz w:val="14"/>
                <w:szCs w:val="14"/>
              </w:rPr>
              <w:lastRenderedPageBreak/>
              <w:t xml:space="preserve">Ensayo clínico aleatorizado, triple ciego; </w:t>
            </w:r>
            <w:r w:rsidRPr="00BA7CE3">
              <w:rPr>
                <w:sz w:val="14"/>
                <w:szCs w:val="14"/>
              </w:rPr>
              <w:lastRenderedPageBreak/>
              <w:t>n=16 (14 evaluados)</w:t>
            </w:r>
          </w:p>
        </w:tc>
        <w:tc>
          <w:tcPr>
            <w:tcW w:w="992" w:type="dxa"/>
            <w:hideMark/>
          </w:tcPr>
          <w:p w14:paraId="7F3B06A4" w14:textId="77777777" w:rsidR="0070218A" w:rsidRPr="00BA7CE3" w:rsidRDefault="0070218A" w:rsidP="00F34C93">
            <w:pPr>
              <w:rPr>
                <w:sz w:val="14"/>
                <w:szCs w:val="14"/>
              </w:rPr>
            </w:pPr>
            <w:r w:rsidRPr="00BA7CE3">
              <w:rPr>
                <w:sz w:val="14"/>
                <w:szCs w:val="14"/>
              </w:rPr>
              <w:lastRenderedPageBreak/>
              <w:t xml:space="preserve">Pacientes con dolor oncológico </w:t>
            </w:r>
            <w:r w:rsidRPr="00BA7CE3">
              <w:rPr>
                <w:sz w:val="14"/>
                <w:szCs w:val="14"/>
              </w:rPr>
              <w:lastRenderedPageBreak/>
              <w:t>refractario a opioides (componente neuropático)</w:t>
            </w:r>
          </w:p>
        </w:tc>
        <w:tc>
          <w:tcPr>
            <w:tcW w:w="1134" w:type="dxa"/>
            <w:hideMark/>
          </w:tcPr>
          <w:p w14:paraId="167AC06F" w14:textId="77777777" w:rsidR="0070218A" w:rsidRPr="00BA7CE3" w:rsidRDefault="0070218A" w:rsidP="00F34C93">
            <w:pPr>
              <w:rPr>
                <w:sz w:val="14"/>
                <w:szCs w:val="14"/>
              </w:rPr>
            </w:pPr>
            <w:r w:rsidRPr="009F054C">
              <w:rPr>
                <w:sz w:val="14"/>
                <w:szCs w:val="14"/>
              </w:rPr>
              <w:lastRenderedPageBreak/>
              <w:t xml:space="preserve">Lidocaína IV 3 mg/kg de </w:t>
            </w:r>
            <w:r w:rsidRPr="009F054C">
              <w:rPr>
                <w:i/>
                <w:iCs/>
                <w:sz w:val="14"/>
                <w:szCs w:val="14"/>
              </w:rPr>
              <w:t>peso ideal</w:t>
            </w:r>
            <w:r w:rsidRPr="009F054C">
              <w:rPr>
                <w:sz w:val="14"/>
                <w:szCs w:val="14"/>
              </w:rPr>
              <w:t xml:space="preserve"> en NaCl </w:t>
            </w:r>
            <w:r w:rsidRPr="009F054C">
              <w:rPr>
                <w:sz w:val="14"/>
                <w:szCs w:val="14"/>
              </w:rPr>
              <w:lastRenderedPageBreak/>
              <w:t xml:space="preserve">0.9% (100 ml) en 60 min vs dexmedetomidina IV 0.2 µg/kg de </w:t>
            </w:r>
            <w:r w:rsidRPr="009F054C">
              <w:rPr>
                <w:i/>
                <w:iCs/>
                <w:sz w:val="14"/>
                <w:szCs w:val="14"/>
              </w:rPr>
              <w:t>peso ideal</w:t>
            </w:r>
            <w:r w:rsidRPr="009F054C">
              <w:rPr>
                <w:sz w:val="14"/>
                <w:szCs w:val="14"/>
              </w:rPr>
              <w:t xml:space="preserve"> en NaCl 0.9% (100 ml) en 60 min</w:t>
            </w:r>
          </w:p>
        </w:tc>
        <w:tc>
          <w:tcPr>
            <w:tcW w:w="992" w:type="dxa"/>
            <w:hideMark/>
          </w:tcPr>
          <w:p w14:paraId="7E3529BA" w14:textId="77777777" w:rsidR="0070218A" w:rsidRPr="00F422D2" w:rsidRDefault="0070218A" w:rsidP="00F34C93">
            <w:pPr>
              <w:rPr>
                <w:sz w:val="14"/>
                <w:szCs w:val="14"/>
              </w:rPr>
            </w:pPr>
            <w:r w:rsidRPr="009F054C">
              <w:rPr>
                <w:sz w:val="14"/>
                <w:szCs w:val="14"/>
              </w:rPr>
              <w:lastRenderedPageBreak/>
              <w:t xml:space="preserve">EVA seriada durante la infusión y </w:t>
            </w:r>
            <w:r w:rsidRPr="009F054C">
              <w:rPr>
                <w:sz w:val="14"/>
                <w:szCs w:val="14"/>
              </w:rPr>
              <w:lastRenderedPageBreak/>
              <w:t>evaluación postinfusión; necesidad de rescate</w:t>
            </w:r>
          </w:p>
        </w:tc>
        <w:tc>
          <w:tcPr>
            <w:tcW w:w="1560" w:type="dxa"/>
            <w:hideMark/>
          </w:tcPr>
          <w:p w14:paraId="588EC8BE" w14:textId="77777777" w:rsidR="0070218A" w:rsidRPr="00BA7CE3" w:rsidRDefault="0070218A" w:rsidP="00F34C93">
            <w:pPr>
              <w:rPr>
                <w:sz w:val="14"/>
                <w:szCs w:val="14"/>
              </w:rPr>
            </w:pPr>
            <w:r w:rsidRPr="00BA7CE3">
              <w:rPr>
                <w:sz w:val="14"/>
                <w:szCs w:val="14"/>
              </w:rPr>
              <w:lastRenderedPageBreak/>
              <w:t xml:space="preserve">No hubo diferencia significativa en EVA postinfusión entre </w:t>
            </w:r>
            <w:r w:rsidRPr="00BA7CE3">
              <w:rPr>
                <w:sz w:val="14"/>
                <w:szCs w:val="14"/>
              </w:rPr>
              <w:lastRenderedPageBreak/>
              <w:t xml:space="preserve">grupos. Hubo diferencia estadísticamente significativa en necesidad de rescates, a favor de dexmedetomidina (p=0.0001). Variables hemodinámicas (FC, TA, FR, SaO2) sin diferencias. La sedación posterior a la infusión fue </w:t>
            </w:r>
            <w:r>
              <w:rPr>
                <w:sz w:val="14"/>
                <w:szCs w:val="14"/>
              </w:rPr>
              <w:t>significativamente mayor con</w:t>
            </w:r>
            <w:r w:rsidRPr="00BA7CE3">
              <w:rPr>
                <w:sz w:val="14"/>
                <w:szCs w:val="14"/>
              </w:rPr>
              <w:t xml:space="preserve"> </w:t>
            </w:r>
            <w:r>
              <w:rPr>
                <w:sz w:val="14"/>
                <w:szCs w:val="14"/>
              </w:rPr>
              <w:t xml:space="preserve">dexmedetomidina desde los 40 minutos, postinfusión no hubo diferencia. </w:t>
            </w:r>
          </w:p>
        </w:tc>
        <w:tc>
          <w:tcPr>
            <w:tcW w:w="1558" w:type="dxa"/>
            <w:hideMark/>
          </w:tcPr>
          <w:p w14:paraId="78B80ABE" w14:textId="77777777" w:rsidR="0070218A" w:rsidRPr="00F422D2" w:rsidRDefault="0070218A" w:rsidP="00F34C93">
            <w:pPr>
              <w:rPr>
                <w:sz w:val="14"/>
                <w:szCs w:val="14"/>
              </w:rPr>
            </w:pPr>
            <w:r w:rsidRPr="00BA7CE3">
              <w:rPr>
                <w:sz w:val="14"/>
                <w:szCs w:val="14"/>
              </w:rPr>
              <w:lastRenderedPageBreak/>
              <w:t xml:space="preserve">Muestra muy pequeña; 2 pacientes no evaluados; </w:t>
            </w:r>
            <w:r w:rsidRPr="00BA7CE3">
              <w:rPr>
                <w:sz w:val="14"/>
                <w:szCs w:val="14"/>
              </w:rPr>
              <w:lastRenderedPageBreak/>
              <w:t>unicéntrico; sin seguimiento más allá de la fase inmediata; sin farmacocinética.</w:t>
            </w:r>
          </w:p>
        </w:tc>
      </w:tr>
      <w:tr w:rsidR="0070218A" w:rsidRPr="00F422D2" w14:paraId="18B07762" w14:textId="77777777" w:rsidTr="00F34C93">
        <w:tc>
          <w:tcPr>
            <w:tcW w:w="823" w:type="dxa"/>
            <w:hideMark/>
          </w:tcPr>
          <w:p w14:paraId="40B05E5D" w14:textId="77777777" w:rsidR="0070218A" w:rsidRPr="00F422D2" w:rsidRDefault="0070218A" w:rsidP="00F34C93">
            <w:pPr>
              <w:rPr>
                <w:b/>
                <w:bCs/>
                <w:sz w:val="14"/>
                <w:szCs w:val="14"/>
              </w:rPr>
            </w:pPr>
            <w:r w:rsidRPr="00F422D2">
              <w:rPr>
                <w:b/>
                <w:bCs/>
                <w:sz w:val="14"/>
                <w:szCs w:val="14"/>
              </w:rPr>
              <w:lastRenderedPageBreak/>
              <w:t xml:space="preserve">Hawley </w:t>
            </w:r>
            <w:r w:rsidRPr="00BB250F">
              <w:rPr>
                <w:b/>
                <w:bCs/>
                <w:i/>
                <w:iCs/>
                <w:sz w:val="14"/>
                <w:szCs w:val="14"/>
              </w:rPr>
              <w:t>et</w:t>
            </w:r>
            <w:r w:rsidRPr="00F422D2">
              <w:rPr>
                <w:b/>
                <w:bCs/>
                <w:sz w:val="14"/>
                <w:szCs w:val="14"/>
              </w:rPr>
              <w:t xml:space="preserve"> al., 2020</w:t>
            </w:r>
          </w:p>
        </w:tc>
        <w:tc>
          <w:tcPr>
            <w:tcW w:w="1157" w:type="dxa"/>
            <w:hideMark/>
          </w:tcPr>
          <w:p w14:paraId="4920F4A5" w14:textId="77777777" w:rsidR="0070218A" w:rsidRPr="00F422D2" w:rsidRDefault="0070218A" w:rsidP="00F34C93">
            <w:pPr>
              <w:rPr>
                <w:sz w:val="14"/>
                <w:szCs w:val="14"/>
              </w:rPr>
            </w:pPr>
            <w:r w:rsidRPr="00F422D2">
              <w:rPr>
                <w:sz w:val="14"/>
                <w:szCs w:val="14"/>
              </w:rPr>
              <w:t>Canadá, BC Cancer (Vancouver y Kelowna)</w:t>
            </w:r>
          </w:p>
        </w:tc>
        <w:tc>
          <w:tcPr>
            <w:tcW w:w="1134" w:type="dxa"/>
            <w:hideMark/>
          </w:tcPr>
          <w:p w14:paraId="10563623" w14:textId="77777777" w:rsidR="0070218A" w:rsidRPr="00BA7CE3" w:rsidRDefault="0070218A" w:rsidP="00F34C93">
            <w:pPr>
              <w:rPr>
                <w:sz w:val="14"/>
                <w:szCs w:val="14"/>
              </w:rPr>
            </w:pPr>
            <w:r w:rsidRPr="00BA7CE3">
              <w:rPr>
                <w:sz w:val="14"/>
                <w:szCs w:val="14"/>
              </w:rPr>
              <w:t>ECA, doble ciego, cruzado 2×2; n=33 reclutados, 25 analizados</w:t>
            </w:r>
          </w:p>
        </w:tc>
        <w:tc>
          <w:tcPr>
            <w:tcW w:w="992" w:type="dxa"/>
            <w:hideMark/>
          </w:tcPr>
          <w:p w14:paraId="5667882C" w14:textId="77777777" w:rsidR="0070218A" w:rsidRPr="00BA7CE3" w:rsidRDefault="0070218A" w:rsidP="00F34C93">
            <w:pPr>
              <w:rPr>
                <w:sz w:val="14"/>
                <w:szCs w:val="14"/>
              </w:rPr>
            </w:pPr>
            <w:r w:rsidRPr="00BA7CE3">
              <w:rPr>
                <w:sz w:val="14"/>
                <w:szCs w:val="14"/>
              </w:rPr>
              <w:t>Pacientes con dolor por cáncer ≥4/10, refractario a opioides y coadyuvantes; 80% con componente neuropático; mediana edad ~50s</w:t>
            </w:r>
          </w:p>
        </w:tc>
        <w:tc>
          <w:tcPr>
            <w:tcW w:w="1134" w:type="dxa"/>
            <w:hideMark/>
          </w:tcPr>
          <w:p w14:paraId="5CDFE74F" w14:textId="77777777" w:rsidR="0070218A" w:rsidRPr="00BA7CE3" w:rsidRDefault="0070218A" w:rsidP="00F34C93">
            <w:pPr>
              <w:rPr>
                <w:sz w:val="14"/>
                <w:szCs w:val="14"/>
              </w:rPr>
            </w:pPr>
            <w:r w:rsidRPr="00BA7CE3">
              <w:rPr>
                <w:sz w:val="14"/>
                <w:szCs w:val="14"/>
              </w:rPr>
              <w:t>Lidocaína SC 10 mg/kg en 5.5 h vs placebo</w:t>
            </w:r>
          </w:p>
        </w:tc>
        <w:tc>
          <w:tcPr>
            <w:tcW w:w="992" w:type="dxa"/>
            <w:hideMark/>
          </w:tcPr>
          <w:p w14:paraId="14B9AE0C" w14:textId="77777777" w:rsidR="0070218A" w:rsidRPr="00545D26" w:rsidRDefault="0070218A" w:rsidP="00F34C93">
            <w:pPr>
              <w:rPr>
                <w:sz w:val="14"/>
                <w:szCs w:val="14"/>
              </w:rPr>
            </w:pPr>
            <w:r w:rsidRPr="00545D26">
              <w:rPr>
                <w:sz w:val="14"/>
                <w:szCs w:val="14"/>
              </w:rPr>
              <w:t>Reducción ≥2 puntos en el “worst pain” del BPI dentro de las 48 horas posteriores a la infusión y sostenida hasta el día 7</w:t>
            </w:r>
          </w:p>
        </w:tc>
        <w:tc>
          <w:tcPr>
            <w:tcW w:w="1560" w:type="dxa"/>
            <w:hideMark/>
          </w:tcPr>
          <w:p w14:paraId="3256CEDD" w14:textId="77777777" w:rsidR="0070218A" w:rsidRPr="00BA7CE3" w:rsidRDefault="0070218A" w:rsidP="00F34C93">
            <w:pPr>
              <w:rPr>
                <w:sz w:val="14"/>
                <w:szCs w:val="14"/>
              </w:rPr>
            </w:pPr>
            <w:r w:rsidRPr="00BA7CE3">
              <w:rPr>
                <w:sz w:val="14"/>
                <w:szCs w:val="14"/>
              </w:rPr>
              <w:t xml:space="preserve">Solo 2/25 pacientes respondedores con lidocaína vs 4/25 con placebo; OR 0.45 (IC95% 0.06–3.15). Niveles plasmáticos: </w:t>
            </w:r>
            <w:r w:rsidRPr="006E52C8">
              <w:rPr>
                <w:sz w:val="14"/>
                <w:szCs w:val="14"/>
              </w:rPr>
              <w:t>0.7–4.5 mcg/mL, media 1.7; 23/25 ≤2.5 mcg/mL (probablemente subterapéuticos).</w:t>
            </w:r>
            <w:r w:rsidRPr="00BA7CE3">
              <w:rPr>
                <w:sz w:val="14"/>
                <w:szCs w:val="14"/>
              </w:rPr>
              <w:t xml:space="preserve"> </w:t>
            </w:r>
            <w:r w:rsidRPr="006E52C8">
              <w:rPr>
                <w:sz w:val="14"/>
                <w:szCs w:val="14"/>
              </w:rPr>
              <w:t>El estudio se detuvo tras el análisis interino al 50% de la muestra porque no hubo evidencia de efectividad de lidocaína vs placebo</w:t>
            </w:r>
            <w:r>
              <w:rPr>
                <w:sz w:val="14"/>
                <w:szCs w:val="14"/>
              </w:rPr>
              <w:t xml:space="preserve">. </w:t>
            </w:r>
            <w:r w:rsidRPr="00BA7CE3">
              <w:rPr>
                <w:sz w:val="14"/>
                <w:szCs w:val="14"/>
              </w:rPr>
              <w:t>Mejoría exploratoria en síntomas depresivos (POS).</w:t>
            </w:r>
          </w:p>
        </w:tc>
        <w:tc>
          <w:tcPr>
            <w:tcW w:w="1558" w:type="dxa"/>
            <w:hideMark/>
          </w:tcPr>
          <w:p w14:paraId="474AB938" w14:textId="77777777" w:rsidR="0070218A" w:rsidRPr="00F422D2" w:rsidRDefault="0070218A" w:rsidP="00F34C93">
            <w:pPr>
              <w:rPr>
                <w:sz w:val="14"/>
                <w:szCs w:val="14"/>
              </w:rPr>
            </w:pPr>
            <w:r w:rsidRPr="00F422D2">
              <w:rPr>
                <w:sz w:val="14"/>
                <w:szCs w:val="14"/>
              </w:rPr>
              <w:t>Subdosificación evidente (niveles &lt;2.5 mcg/mL en 92%); potencia insuficiente; abandono de pacientes; interrupción temprana del ensayo.</w:t>
            </w:r>
          </w:p>
        </w:tc>
      </w:tr>
    </w:tbl>
    <w:p w14:paraId="77E0D9A6" w14:textId="77777777" w:rsidR="0070218A" w:rsidRPr="0070218A" w:rsidRDefault="0070218A" w:rsidP="0070218A">
      <w:pPr>
        <w:rPr>
          <w:i/>
          <w:iCs/>
          <w:sz w:val="20"/>
          <w:szCs w:val="20"/>
        </w:rPr>
      </w:pPr>
      <w:r w:rsidRPr="0070218A">
        <w:rPr>
          <w:i/>
          <w:iCs/>
          <w:sz w:val="20"/>
          <w:szCs w:val="20"/>
        </w:rPr>
        <w:t>La tabla resume autores, año de publicación, país, tamaño muestral, población incluida, intervención, comparador, desenlace primario, resultados principales y limitaciones reportadas en cada estudio.</w:t>
      </w:r>
    </w:p>
    <w:p w14:paraId="080ABEE0" w14:textId="77777777" w:rsidR="0070218A" w:rsidRPr="0070218A" w:rsidRDefault="0070218A" w:rsidP="0070218A">
      <w:pPr>
        <w:rPr>
          <w:i/>
          <w:iCs/>
          <w:sz w:val="20"/>
          <w:szCs w:val="20"/>
        </w:rPr>
      </w:pPr>
      <w:r w:rsidRPr="0070218A">
        <w:rPr>
          <w:i/>
          <w:iCs/>
          <w:sz w:val="20"/>
          <w:szCs w:val="20"/>
        </w:rPr>
        <w:t xml:space="preserve">Abreviaturas: ECA: ensayo clínico aleatorizado; IV: intravenosa; SC: subcutánea; EVA: escala visual análoga; POS: Patient Outcome Scale. </w:t>
      </w:r>
    </w:p>
    <w:p w14:paraId="1F495DBC" w14:textId="77777777" w:rsidR="0070218A" w:rsidRPr="0070218A" w:rsidRDefault="0070218A" w:rsidP="0070218A">
      <w:pPr>
        <w:rPr>
          <w:i/>
          <w:iCs/>
          <w:sz w:val="20"/>
          <w:szCs w:val="20"/>
        </w:rPr>
      </w:pPr>
      <w:r w:rsidRPr="0070218A">
        <w:rPr>
          <w:i/>
          <w:iCs/>
          <w:sz w:val="20"/>
          <w:szCs w:val="20"/>
        </w:rPr>
        <w:t xml:space="preserve">Fuente: elaboración propia a partir de los estudios incluídos. </w:t>
      </w:r>
    </w:p>
    <w:p w14:paraId="6D7BBC05" w14:textId="77777777" w:rsidR="0070218A" w:rsidRDefault="0070218A" w:rsidP="00670245">
      <w:pPr>
        <w:tabs>
          <w:tab w:val="left" w:pos="4820"/>
        </w:tabs>
        <w:spacing w:line="360" w:lineRule="auto"/>
        <w:jc w:val="both"/>
        <w:rPr>
          <w:rFonts w:ascii="Times New Roman" w:hAnsi="Times New Roman" w:cs="Times New Roman"/>
          <w:color w:val="000000" w:themeColor="text1"/>
        </w:rPr>
      </w:pPr>
    </w:p>
    <w:p w14:paraId="62EEFEB7" w14:textId="77777777" w:rsidR="0070218A" w:rsidRPr="00670245" w:rsidRDefault="0070218A" w:rsidP="00670245">
      <w:pPr>
        <w:tabs>
          <w:tab w:val="left" w:pos="4820"/>
        </w:tabs>
        <w:spacing w:line="360" w:lineRule="auto"/>
        <w:jc w:val="both"/>
        <w:rPr>
          <w:rFonts w:ascii="Times New Roman" w:hAnsi="Times New Roman" w:cs="Times New Roman"/>
          <w:color w:val="000000" w:themeColor="text1"/>
        </w:rPr>
      </w:pPr>
    </w:p>
    <w:p w14:paraId="2549B020" w14:textId="77777777" w:rsidR="00F4431A" w:rsidRPr="00B1354E" w:rsidRDefault="00F4431A"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Riesgo de sesgo</w:t>
      </w:r>
    </w:p>
    <w:p w14:paraId="27A33328" w14:textId="3AEE5794" w:rsidR="0070218A" w:rsidRDefault="00F4431A"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La evaluación</w:t>
      </w:r>
      <w:r w:rsidR="003B4E48">
        <w:rPr>
          <w:rFonts w:ascii="Times New Roman" w:hAnsi="Times New Roman" w:cs="Times New Roman"/>
          <w:color w:val="000000" w:themeColor="text1"/>
        </w:rPr>
        <w:t xml:space="preserve"> de riesgo de sesgo mediante la herramienta Cochrane</w:t>
      </w:r>
      <w:r w:rsidRPr="00670245">
        <w:rPr>
          <w:rFonts w:ascii="Times New Roman" w:hAnsi="Times New Roman" w:cs="Times New Roman"/>
          <w:color w:val="000000" w:themeColor="text1"/>
        </w:rPr>
        <w:t xml:space="preserve"> RoB2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Xj2OYvWz","properties":{"formattedCitation":"(21)","plainCitation":"(21)","noteIndex":0},"citationItems":[{"id":133,"uris":["http://zotero.org/users/12518303/items/EWY7LHUS"],"itemData":{"id":133,"type":"article-journal","container-title":"BMJ","DOI":"10.1136/bmj.l4898","ISSN":"0959-8138, 1756-1833","journalAbbreviation":"BMJ","language":"en","page":"l4898","source":"DOI.org (Crossref)","title":"RoB 2: a revised tool for assessing risk of bias in randomised trials","title-short":"RoB 2","author":[{"family":"Sterne","given":"Jonathan A C"},{"family":"Savović","given":"Jelena"},{"family":"Page","given":"Matthew J"},{"family":"Elbers","given":"Roy G"},{"family":"Blencowe","given":"Natalie S"},{"family":"Boutron","given":"Isabelle"},{"family":"Cates","given":"Christopher J"},{"family":"Cheng","given":"Hung-Yuan"},{"family":"Corbett","given":"Mark S"},{"family":"Eldridge","given":"Sandra M"},{"family":"Emberson","given":"Jonathan R"},{"family":"Hernán","given":"Miguel A"},{"family":"Hopewell","given":"Sally"},{"family":"Hróbjartsson","given":"Asbjørn"},{"family":"Junqueira","given":"Daniela R"},{"family":"Jüni","given":"Peter"},{"family":"Kirkham","given":"Jamie J"},{"family":"Lasserson","given":"Toby"},{"family":"Li","given":"Tianjing"},{"family":"McAleenan","given":"Alexandra"},{"family":"Reeves","given":"Barnaby C"},{"family":"Shepperd","given":"Sasha"},{"family":"Shrier","given":"Ian"},{"family":"Stewart","given":"Lesley A"},{"family":"Tilling","given":"Kate"},{"family":"White","given":"Ian R"},{"family":"Whiting","given":"Penny F"},{"family":"Higgins","given":"Julian P T"}],"issued":{"date-parts":[["2019",8,28]]}}}],"schema":"https://github.com/citation-style-language/schema/raw/master/csl-citation.json"}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(21)</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mostró</w:t>
      </w:r>
      <w:r w:rsidR="003B4E48">
        <w:rPr>
          <w:rFonts w:ascii="Times New Roman" w:hAnsi="Times New Roman" w:cs="Times New Roman"/>
          <w:color w:val="000000" w:themeColor="text1"/>
        </w:rPr>
        <w:t xml:space="preserve"> hetergoenicidad en la calidad de la metodología de los estudios incluídos.</w:t>
      </w:r>
      <w:r w:rsidRPr="00670245">
        <w:rPr>
          <w:rFonts w:ascii="Times New Roman" w:hAnsi="Times New Roman" w:cs="Times New Roman"/>
          <w:color w:val="000000" w:themeColor="text1"/>
        </w:rPr>
        <w:t xml:space="preserve"> Ellemann et al.</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{"citationID":"s863ZrGc","properties":{"formattedCitation":"(25)","plainCitation":"(25)","noteIndex":0},"citationItems":[{"id":34,"uris":["http://zotero.org/users/12518303/items/PLM8W5A6"],"itemData":{"id":34,"type":"article-journal","container-title":"The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(25)</w:t>
      </w:r>
      <w:r w:rsidRPr="00670245">
        <w:rPr>
          <w:rFonts w:ascii="Times New Roman" w:hAnsi="Times New Roman" w:cs="Times New Roman"/>
          <w:color w:val="000000" w:themeColor="text1"/>
        </w:rPr>
        <w:fldChar w:fldCharType="end"/>
      </w:r>
      <w:r w:rsidR="003B4E48">
        <w:rPr>
          <w:rFonts w:ascii="Times New Roman" w:hAnsi="Times New Roman" w:cs="Times New Roman"/>
          <w:color w:val="000000" w:themeColor="text1"/>
        </w:rPr>
        <w:t xml:space="preserve">, </w:t>
      </w:r>
      <w:r w:rsidR="003B4E48" w:rsidRPr="00670245">
        <w:rPr>
          <w:rFonts w:ascii="Times New Roman" w:hAnsi="Times New Roman" w:cs="Times New Roman"/>
          <w:color w:val="000000" w:themeColor="text1"/>
        </w:rPr>
        <w:t>Sharma et al.</w:t>
      </w:r>
      <w:r w:rsidR="003B4E48" w:rsidRPr="00670245">
        <w:rPr>
          <w:rFonts w:ascii="Times New Roman" w:hAnsi="Times New Roman" w:cs="Times New Roman"/>
          <w:color w:val="000000" w:themeColor="text1"/>
        </w:rPr>
        <w:fldChar w:fldCharType="begin"/>
      </w:r>
      <w:r w:rsidR="003B4E48" w:rsidRPr="00670245">
        <w:rPr>
          <w:rFonts w:ascii="Times New Roman" w:hAnsi="Times New Roman" w:cs="Times New Roman"/>
          <w:color w:val="000000" w:themeColor="text1"/>
        </w:rPr>
        <w:instrText xml:space="preserve"> ADDIN ZOTERO_ITEM CSL_CITATION {"citationID":"zWNnsRZa","properties":{"formattedCitation":"(7)","plainCitation":"(7)","noteIndex":0},"citationItems":[{"id":27,"uris":["http://zotero.org/users/12518303/items/2HGHYVR8"],"itemData":{"id":27,"type":"article-journal","abstract":"Opioid-refractory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G."},{"family":"Jain","given":"Dimpel"}],"issued":{"date-parts":[["2009",1]]}}}],"schema":"https://github.com/citation-style-language/schema/raw/master/csl-citation.json"} </w:instrText>
      </w:r>
      <w:r w:rsidR="003B4E48" w:rsidRPr="00670245">
        <w:rPr>
          <w:rFonts w:ascii="Times New Roman" w:hAnsi="Times New Roman" w:cs="Times New Roman"/>
          <w:color w:val="000000" w:themeColor="text1"/>
        </w:rPr>
        <w:fldChar w:fldCharType="separate"/>
      </w:r>
      <w:r w:rsidR="003B4E48" w:rsidRPr="00670245">
        <w:rPr>
          <w:rFonts w:ascii="Times New Roman" w:hAnsi="Times New Roman" w:cs="Times New Roman"/>
          <w:noProof/>
          <w:color w:val="000000" w:themeColor="text1"/>
        </w:rPr>
        <w:t>(7)</w:t>
      </w:r>
      <w:r w:rsidR="003B4E48"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y Bruera et al.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{"citationID":"OnG7yXdT","properties":{"formattedCitation":"(24)","plainCitation":"(24)","noteIndex":0},"citationItems":[{"id":28,"uris":["http://zotero.org/users/12518303/items/SGTBTX7K"],"itemData":{"id":28,"type":"article-journal","abstract":"In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(24)</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presentaron alto riesgo de sesgo, debido </w:t>
      </w:r>
      <w:r w:rsidR="003B4E48" w:rsidRPr="003B4E48">
        <w:rPr>
          <w:rFonts w:ascii="Times New Roman" w:hAnsi="Times New Roman" w:cs="Times New Roman"/>
          <w:color w:val="000000" w:themeColor="text1"/>
        </w:rPr>
        <w:t>debido principalmente a sesgo en la selección del resultado informado o a la presencia de datos incompletos del desenlace</w:t>
      </w:r>
      <w:r w:rsidRPr="00670245">
        <w:rPr>
          <w:rFonts w:ascii="Times New Roman" w:hAnsi="Times New Roman" w:cs="Times New Roman"/>
          <w:color w:val="000000" w:themeColor="text1"/>
        </w:rPr>
        <w:t xml:space="preserve">. El estudio de Carrillo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{"citationID":"ipFARFJ0","properties":{"formattedCitation":"(8)","plainCitation":"(8)","noteIndex":0},"citationItems":[{"id":29,"uris":["http://zotero.org/users/12518303/items/T64IPWAM"],"itemData":{"id":29,"type":"article-journal","abstract":"Introduction: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presentó </w:t>
      </w:r>
      <w:r w:rsidR="003B4E48">
        <w:rPr>
          <w:rFonts w:ascii="Times New Roman" w:hAnsi="Times New Roman" w:cs="Times New Roman"/>
          <w:color w:val="000000" w:themeColor="text1"/>
        </w:rPr>
        <w:t>algunas preocupaciones</w:t>
      </w:r>
      <w:r w:rsidRPr="00670245">
        <w:rPr>
          <w:rFonts w:ascii="Times New Roman" w:hAnsi="Times New Roman" w:cs="Times New Roman"/>
          <w:color w:val="000000" w:themeColor="text1"/>
        </w:rPr>
        <w:t>,</w:t>
      </w:r>
      <w:r w:rsidR="003B4E48">
        <w:rPr>
          <w:rFonts w:ascii="Times New Roman" w:hAnsi="Times New Roman" w:cs="Times New Roman"/>
          <w:color w:val="000000" w:themeColor="text1"/>
        </w:rPr>
        <w:t xml:space="preserve"> </w:t>
      </w:r>
      <w:r w:rsidR="003B4E48" w:rsidRPr="003B4E48">
        <w:rPr>
          <w:rFonts w:ascii="Times New Roman" w:hAnsi="Times New Roman" w:cs="Times New Roman"/>
          <w:color w:val="000000" w:themeColor="text1"/>
        </w:rPr>
        <w:t>principalmente relacionadas con el proceso de aleatorización o con posibles desviaciones de la intervención asignada</w:t>
      </w:r>
      <w:r w:rsidRPr="00670245">
        <w:rPr>
          <w:rFonts w:ascii="Times New Roman" w:hAnsi="Times New Roman" w:cs="Times New Roman"/>
          <w:color w:val="000000" w:themeColor="text1"/>
        </w:rPr>
        <w:t xml:space="preserve">. Por último, </w:t>
      </w:r>
      <w:r w:rsidRPr="00670245">
        <w:rPr>
          <w:rFonts w:ascii="Times New Roman" w:hAnsi="Times New Roman" w:cs="Times New Roman"/>
          <w:color w:val="000000" w:themeColor="text1"/>
        </w:rPr>
        <w:lastRenderedPageBreak/>
        <w:t xml:space="preserve">el ensayo de Hawley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{"citationID":"WQqsy1yN","properties":{"formattedCitation":"(9)","plainCitation":"(9)","noteIndex":0},"citationItems":[{"id":31,"uris":["http://zotero.org/users/12518303/items/Z775HBFS"],"itemData":{"id":31,"type":"article-journal","abstract":"Background: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fue evaluado </w:t>
      </w:r>
      <w:r w:rsidR="003B4E48">
        <w:rPr>
          <w:rFonts w:ascii="Times New Roman" w:hAnsi="Times New Roman" w:cs="Times New Roman"/>
          <w:color w:val="000000" w:themeColor="text1"/>
        </w:rPr>
        <w:t xml:space="preserve">como de bajo riesgo de sesgo global </w:t>
      </w:r>
      <w:r w:rsidR="003B4E48" w:rsidRPr="003B4E48">
        <w:rPr>
          <w:rFonts w:ascii="Times New Roman" w:hAnsi="Times New Roman" w:cs="Times New Roman"/>
          <w:color w:val="000000" w:themeColor="text1"/>
        </w:rPr>
        <w:t xml:space="preserve">al presentar bajo riesgo en todos los dominios evaluados </w:t>
      </w:r>
      <w:r w:rsidRPr="00670245">
        <w:rPr>
          <w:rFonts w:ascii="Times New Roman" w:hAnsi="Times New Roman" w:cs="Times New Roman"/>
          <w:color w:val="000000" w:themeColor="text1"/>
        </w:rPr>
        <w:t>(Tabla 2).</w:t>
      </w:r>
    </w:p>
    <w:p w14:paraId="28487B17" w14:textId="77777777" w:rsidR="0070218A" w:rsidRDefault="0070218A" w:rsidP="00670245">
      <w:pPr>
        <w:tabs>
          <w:tab w:val="left" w:pos="4820"/>
        </w:tabs>
        <w:spacing w:line="360" w:lineRule="auto"/>
        <w:jc w:val="both"/>
        <w:rPr>
          <w:rFonts w:ascii="Times New Roman" w:hAnsi="Times New Roman" w:cs="Times New Roman"/>
          <w:color w:val="000000" w:themeColor="text1"/>
        </w:rPr>
      </w:pPr>
    </w:p>
    <w:p w14:paraId="78BC1653" w14:textId="77777777" w:rsidR="0070218A" w:rsidRPr="00AC6E1E" w:rsidRDefault="0070218A" w:rsidP="0070218A">
      <w:r w:rsidRPr="00AC6E1E">
        <w:rPr>
          <w:b/>
          <w:bCs/>
        </w:rPr>
        <w:t>Tabla 2. Evaluación del riesgo de sesgo (RoB2) en los ensayos clínicos incluidos</w:t>
      </w:r>
    </w:p>
    <w:tbl>
      <w:tblPr>
        <w:tblStyle w:val="TableGrid"/>
        <w:tblW w:w="9805" w:type="dxa"/>
        <w:tblLook w:val="04A0" w:firstRow="1" w:lastRow="0" w:firstColumn="1" w:lastColumn="0" w:noHBand="0" w:noVBand="1"/>
      </w:tblPr>
      <w:tblGrid>
        <w:gridCol w:w="940"/>
        <w:gridCol w:w="1392"/>
        <w:gridCol w:w="1489"/>
        <w:gridCol w:w="1803"/>
        <w:gridCol w:w="725"/>
        <w:gridCol w:w="647"/>
        <w:gridCol w:w="606"/>
        <w:gridCol w:w="567"/>
        <w:gridCol w:w="567"/>
        <w:gridCol w:w="567"/>
        <w:gridCol w:w="738"/>
      </w:tblGrid>
      <w:tr w:rsidR="0070218A" w:rsidRPr="00D5599B" w14:paraId="7616FA67" w14:textId="77777777" w:rsidTr="00F34C93">
        <w:trPr>
          <w:trHeight w:val="170"/>
        </w:trPr>
        <w:tc>
          <w:tcPr>
            <w:tcW w:w="704" w:type="dxa"/>
            <w:noWrap/>
            <w:vAlign w:val="center"/>
            <w:hideMark/>
          </w:tcPr>
          <w:p w14:paraId="62B15913" w14:textId="77777777" w:rsidR="0070218A" w:rsidRPr="00D5599B" w:rsidRDefault="0070218A" w:rsidP="00F34C93">
            <w:pPr>
              <w:jc w:val="center"/>
              <w:rPr>
                <w:b/>
                <w:bCs/>
                <w:sz w:val="16"/>
                <w:szCs w:val="16"/>
                <w:u w:val="single"/>
              </w:rPr>
            </w:pPr>
            <w:r>
              <w:rPr>
                <w:b/>
                <w:bCs/>
                <w:sz w:val="16"/>
                <w:szCs w:val="16"/>
                <w:u w:val="single"/>
              </w:rPr>
              <w:t>Autor/año</w:t>
            </w:r>
          </w:p>
        </w:tc>
        <w:tc>
          <w:tcPr>
            <w:tcW w:w="1392" w:type="dxa"/>
            <w:noWrap/>
            <w:vAlign w:val="center"/>
            <w:hideMark/>
          </w:tcPr>
          <w:p w14:paraId="48B30F89" w14:textId="77777777" w:rsidR="0070218A" w:rsidRPr="00D5599B" w:rsidRDefault="0070218A" w:rsidP="00F34C93">
            <w:pPr>
              <w:rPr>
                <w:b/>
                <w:bCs/>
                <w:sz w:val="16"/>
                <w:szCs w:val="16"/>
                <w:u w:val="single"/>
              </w:rPr>
            </w:pPr>
            <w:r>
              <w:rPr>
                <w:b/>
                <w:bCs/>
                <w:sz w:val="16"/>
                <w:szCs w:val="16"/>
                <w:u w:val="single"/>
              </w:rPr>
              <w:t>Muestra</w:t>
            </w:r>
          </w:p>
        </w:tc>
        <w:tc>
          <w:tcPr>
            <w:tcW w:w="1489" w:type="dxa"/>
            <w:noWrap/>
            <w:vAlign w:val="center"/>
            <w:hideMark/>
          </w:tcPr>
          <w:p w14:paraId="1867C840" w14:textId="77777777" w:rsidR="0070218A" w:rsidRPr="00D5599B" w:rsidRDefault="0070218A" w:rsidP="00F34C93">
            <w:pPr>
              <w:rPr>
                <w:b/>
                <w:bCs/>
                <w:sz w:val="16"/>
                <w:szCs w:val="16"/>
                <w:u w:val="single"/>
              </w:rPr>
            </w:pPr>
            <w:r w:rsidRPr="00D5599B">
              <w:rPr>
                <w:b/>
                <w:bCs/>
                <w:sz w:val="16"/>
                <w:szCs w:val="16"/>
                <w:u w:val="single"/>
              </w:rPr>
              <w:t>Comp</w:t>
            </w:r>
            <w:r>
              <w:rPr>
                <w:b/>
                <w:bCs/>
                <w:sz w:val="16"/>
                <w:szCs w:val="16"/>
                <w:u w:val="single"/>
              </w:rPr>
              <w:t>arador</w:t>
            </w:r>
          </w:p>
        </w:tc>
        <w:tc>
          <w:tcPr>
            <w:tcW w:w="1803" w:type="dxa"/>
            <w:noWrap/>
            <w:vAlign w:val="center"/>
            <w:hideMark/>
          </w:tcPr>
          <w:p w14:paraId="6079EBAE" w14:textId="77777777" w:rsidR="0070218A" w:rsidRPr="00D5599B" w:rsidRDefault="0070218A" w:rsidP="00F34C93">
            <w:pPr>
              <w:rPr>
                <w:b/>
                <w:bCs/>
                <w:sz w:val="16"/>
                <w:szCs w:val="16"/>
                <w:u w:val="single"/>
              </w:rPr>
            </w:pPr>
            <w:r>
              <w:rPr>
                <w:b/>
                <w:bCs/>
                <w:sz w:val="16"/>
                <w:szCs w:val="16"/>
                <w:u w:val="single"/>
              </w:rPr>
              <w:t>Desenlace</w:t>
            </w:r>
          </w:p>
        </w:tc>
        <w:tc>
          <w:tcPr>
            <w:tcW w:w="725" w:type="dxa"/>
            <w:noWrap/>
            <w:vAlign w:val="center"/>
            <w:hideMark/>
          </w:tcPr>
          <w:p w14:paraId="40536766" w14:textId="77777777" w:rsidR="0070218A" w:rsidRPr="00D5599B" w:rsidRDefault="0070218A" w:rsidP="00F34C93">
            <w:pPr>
              <w:jc w:val="center"/>
              <w:rPr>
                <w:b/>
                <w:bCs/>
                <w:sz w:val="16"/>
                <w:szCs w:val="16"/>
                <w:u w:val="single"/>
              </w:rPr>
            </w:pPr>
            <w:r>
              <w:rPr>
                <w:b/>
                <w:bCs/>
                <w:sz w:val="16"/>
                <w:szCs w:val="16"/>
                <w:u w:val="single"/>
              </w:rPr>
              <w:t>Peso</w:t>
            </w:r>
          </w:p>
        </w:tc>
        <w:tc>
          <w:tcPr>
            <w:tcW w:w="647" w:type="dxa"/>
            <w:noWrap/>
            <w:vAlign w:val="center"/>
            <w:hideMark/>
          </w:tcPr>
          <w:p w14:paraId="5AB29130" w14:textId="77777777" w:rsidR="0070218A" w:rsidRPr="00D5599B" w:rsidRDefault="0070218A" w:rsidP="00F34C93">
            <w:pPr>
              <w:rPr>
                <w:b/>
                <w:bCs/>
                <w:sz w:val="16"/>
                <w:szCs w:val="16"/>
                <w:u w:val="single"/>
              </w:rPr>
            </w:pPr>
            <w:r w:rsidRPr="00D5599B">
              <w:rPr>
                <w:b/>
                <w:bCs/>
                <w:sz w:val="16"/>
                <w:szCs w:val="16"/>
                <w:u w:val="single"/>
              </w:rPr>
              <w:t>D1</w:t>
            </w:r>
          </w:p>
        </w:tc>
        <w:tc>
          <w:tcPr>
            <w:tcW w:w="606" w:type="dxa"/>
            <w:noWrap/>
            <w:vAlign w:val="center"/>
            <w:hideMark/>
          </w:tcPr>
          <w:p w14:paraId="0F78D62D" w14:textId="77777777" w:rsidR="0070218A" w:rsidRPr="00D5599B" w:rsidRDefault="0070218A" w:rsidP="00F34C93">
            <w:pPr>
              <w:rPr>
                <w:b/>
                <w:bCs/>
                <w:sz w:val="16"/>
                <w:szCs w:val="16"/>
                <w:u w:val="single"/>
              </w:rPr>
            </w:pPr>
            <w:r w:rsidRPr="00D5599B">
              <w:rPr>
                <w:b/>
                <w:bCs/>
                <w:sz w:val="16"/>
                <w:szCs w:val="16"/>
                <w:u w:val="single"/>
              </w:rPr>
              <w:t>D2</w:t>
            </w:r>
          </w:p>
        </w:tc>
        <w:tc>
          <w:tcPr>
            <w:tcW w:w="567" w:type="dxa"/>
            <w:noWrap/>
            <w:vAlign w:val="center"/>
            <w:hideMark/>
          </w:tcPr>
          <w:p w14:paraId="29BD39DE" w14:textId="77777777" w:rsidR="0070218A" w:rsidRPr="00D5599B" w:rsidRDefault="0070218A" w:rsidP="00F34C93">
            <w:pPr>
              <w:rPr>
                <w:b/>
                <w:bCs/>
                <w:sz w:val="16"/>
                <w:szCs w:val="16"/>
                <w:u w:val="single"/>
              </w:rPr>
            </w:pPr>
            <w:r w:rsidRPr="00D5599B">
              <w:rPr>
                <w:b/>
                <w:bCs/>
                <w:sz w:val="16"/>
                <w:szCs w:val="16"/>
                <w:u w:val="single"/>
              </w:rPr>
              <w:t>D3</w:t>
            </w:r>
          </w:p>
        </w:tc>
        <w:tc>
          <w:tcPr>
            <w:tcW w:w="567" w:type="dxa"/>
            <w:noWrap/>
            <w:vAlign w:val="center"/>
            <w:hideMark/>
          </w:tcPr>
          <w:p w14:paraId="5B61B1FE" w14:textId="77777777" w:rsidR="0070218A" w:rsidRPr="00D5599B" w:rsidRDefault="0070218A" w:rsidP="00F34C93">
            <w:pPr>
              <w:rPr>
                <w:b/>
                <w:bCs/>
                <w:sz w:val="16"/>
                <w:szCs w:val="16"/>
                <w:u w:val="single"/>
              </w:rPr>
            </w:pPr>
            <w:r w:rsidRPr="00D5599B">
              <w:rPr>
                <w:b/>
                <w:bCs/>
                <w:sz w:val="16"/>
                <w:szCs w:val="16"/>
                <w:u w:val="single"/>
              </w:rPr>
              <w:t>D4</w:t>
            </w:r>
          </w:p>
        </w:tc>
        <w:tc>
          <w:tcPr>
            <w:tcW w:w="567" w:type="dxa"/>
            <w:noWrap/>
            <w:vAlign w:val="center"/>
            <w:hideMark/>
          </w:tcPr>
          <w:p w14:paraId="4DF64DE4" w14:textId="77777777" w:rsidR="0070218A" w:rsidRPr="00D5599B" w:rsidRDefault="0070218A" w:rsidP="00F34C93">
            <w:pPr>
              <w:rPr>
                <w:b/>
                <w:bCs/>
                <w:sz w:val="16"/>
                <w:szCs w:val="16"/>
                <w:u w:val="single"/>
              </w:rPr>
            </w:pPr>
            <w:r w:rsidRPr="00D5599B">
              <w:rPr>
                <w:b/>
                <w:bCs/>
                <w:sz w:val="16"/>
                <w:szCs w:val="16"/>
                <w:u w:val="single"/>
              </w:rPr>
              <w:t>D5</w:t>
            </w:r>
          </w:p>
        </w:tc>
        <w:tc>
          <w:tcPr>
            <w:tcW w:w="738" w:type="dxa"/>
            <w:noWrap/>
            <w:vAlign w:val="center"/>
            <w:hideMark/>
          </w:tcPr>
          <w:p w14:paraId="7D16FDE3" w14:textId="77777777" w:rsidR="0070218A" w:rsidRPr="00D5599B" w:rsidRDefault="0070218A" w:rsidP="00F34C93">
            <w:pPr>
              <w:rPr>
                <w:b/>
                <w:bCs/>
                <w:sz w:val="16"/>
                <w:szCs w:val="16"/>
                <w:u w:val="single"/>
              </w:rPr>
            </w:pPr>
            <w:r>
              <w:rPr>
                <w:b/>
                <w:bCs/>
                <w:sz w:val="16"/>
                <w:szCs w:val="16"/>
                <w:u w:val="single"/>
              </w:rPr>
              <w:t>J</w:t>
            </w:r>
            <w:r w:rsidRPr="00946A87">
              <w:rPr>
                <w:b/>
                <w:bCs/>
                <w:sz w:val="16"/>
                <w:szCs w:val="16"/>
                <w:u w:val="single"/>
              </w:rPr>
              <w:t>uicio global de riesgo de sesgo</w:t>
            </w:r>
          </w:p>
        </w:tc>
      </w:tr>
      <w:tr w:rsidR="0070218A" w:rsidRPr="00D5599B" w14:paraId="1429559C" w14:textId="77777777" w:rsidTr="00F34C93">
        <w:trPr>
          <w:trHeight w:val="170"/>
        </w:trPr>
        <w:tc>
          <w:tcPr>
            <w:tcW w:w="704" w:type="dxa"/>
            <w:noWrap/>
            <w:vAlign w:val="center"/>
            <w:hideMark/>
          </w:tcPr>
          <w:p w14:paraId="6A9134E1" w14:textId="77777777" w:rsidR="0070218A" w:rsidRPr="00D5599B" w:rsidRDefault="0070218A" w:rsidP="00F34C93">
            <w:pPr>
              <w:jc w:val="center"/>
              <w:rPr>
                <w:sz w:val="16"/>
                <w:szCs w:val="16"/>
              </w:rPr>
            </w:pPr>
            <w:r w:rsidRPr="00F422D2">
              <w:rPr>
                <w:b/>
                <w:bCs/>
                <w:sz w:val="14"/>
                <w:szCs w:val="14"/>
              </w:rPr>
              <w:t xml:space="preserve">Sharma </w:t>
            </w:r>
            <w:r w:rsidRPr="00BB250F">
              <w:rPr>
                <w:b/>
                <w:bCs/>
                <w:i/>
                <w:iCs/>
                <w:sz w:val="14"/>
                <w:szCs w:val="14"/>
              </w:rPr>
              <w:t xml:space="preserve">et </w:t>
            </w:r>
            <w:r w:rsidRPr="00F422D2">
              <w:rPr>
                <w:b/>
                <w:bCs/>
                <w:sz w:val="14"/>
                <w:szCs w:val="14"/>
              </w:rPr>
              <w:t>al., 2009</w:t>
            </w:r>
          </w:p>
        </w:tc>
        <w:tc>
          <w:tcPr>
            <w:tcW w:w="1392" w:type="dxa"/>
            <w:vAlign w:val="center"/>
            <w:hideMark/>
          </w:tcPr>
          <w:p w14:paraId="5FA6987E" w14:textId="77777777" w:rsidR="0070218A" w:rsidRPr="00D5599B" w:rsidRDefault="0070218A" w:rsidP="00F34C93">
            <w:pPr>
              <w:rPr>
                <w:sz w:val="16"/>
                <w:szCs w:val="16"/>
              </w:rPr>
            </w:pPr>
            <w:r w:rsidRPr="00D5599B">
              <w:rPr>
                <w:sz w:val="16"/>
                <w:szCs w:val="16"/>
              </w:rPr>
              <w:t>Pacientes que reciben Lidocaína Intravenosa (IV).</w:t>
            </w:r>
          </w:p>
        </w:tc>
        <w:tc>
          <w:tcPr>
            <w:tcW w:w="1489" w:type="dxa"/>
            <w:vAlign w:val="center"/>
            <w:hideMark/>
          </w:tcPr>
          <w:p w14:paraId="1535042D" w14:textId="77777777" w:rsidR="0070218A" w:rsidRPr="00D5599B" w:rsidRDefault="0070218A" w:rsidP="00F34C93">
            <w:pPr>
              <w:rPr>
                <w:sz w:val="16"/>
                <w:szCs w:val="16"/>
              </w:rPr>
            </w:pPr>
            <w:r w:rsidRPr="00D5599B">
              <w:rPr>
                <w:sz w:val="16"/>
                <w:szCs w:val="16"/>
              </w:rPr>
              <w:t>Pacientes que reciben Solución Salina (Placebo)</w:t>
            </w:r>
          </w:p>
        </w:tc>
        <w:tc>
          <w:tcPr>
            <w:tcW w:w="1803" w:type="dxa"/>
            <w:vAlign w:val="center"/>
            <w:hideMark/>
          </w:tcPr>
          <w:p w14:paraId="2DEDE321" w14:textId="77777777" w:rsidR="0070218A" w:rsidRPr="00D5599B" w:rsidRDefault="0070218A" w:rsidP="00F34C93">
            <w:pPr>
              <w:rPr>
                <w:sz w:val="16"/>
                <w:szCs w:val="16"/>
              </w:rPr>
            </w:pPr>
            <w:r w:rsidRPr="00D5599B">
              <w:rPr>
                <w:sz w:val="16"/>
                <w:szCs w:val="16"/>
              </w:rPr>
              <w:t>evaluar la eficacia analgésica de la lidocaína intravenosa en pacientes con dolor oncológico refractario a opioides</w:t>
            </w:r>
          </w:p>
        </w:tc>
        <w:tc>
          <w:tcPr>
            <w:tcW w:w="725" w:type="dxa"/>
            <w:noWrap/>
            <w:vAlign w:val="center"/>
            <w:hideMark/>
          </w:tcPr>
          <w:p w14:paraId="1A2F25FC" w14:textId="77777777" w:rsidR="0070218A" w:rsidRPr="00D5599B" w:rsidRDefault="0070218A" w:rsidP="00F34C93">
            <w:pPr>
              <w:jc w:val="center"/>
              <w:rPr>
                <w:sz w:val="16"/>
                <w:szCs w:val="16"/>
              </w:rPr>
            </w:pPr>
            <w:r w:rsidRPr="00D5599B">
              <w:rPr>
                <w:sz w:val="16"/>
                <w:szCs w:val="16"/>
              </w:rPr>
              <w:t>1</w:t>
            </w:r>
          </w:p>
        </w:tc>
        <w:tc>
          <w:tcPr>
            <w:tcW w:w="647" w:type="dxa"/>
            <w:noWrap/>
            <w:vAlign w:val="center"/>
            <w:hideMark/>
          </w:tcPr>
          <w:p w14:paraId="1DD0E27B"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59264" behindDoc="0" locked="0" layoutInCell="1" allowOverlap="1" wp14:anchorId="426B7E58" wp14:editId="30DACB77">
                      <wp:simplePos x="0" y="0"/>
                      <wp:positionH relativeFrom="column">
                        <wp:posOffset>-7620</wp:posOffset>
                      </wp:positionH>
                      <wp:positionV relativeFrom="paragraph">
                        <wp:posOffset>-8255</wp:posOffset>
                      </wp:positionV>
                      <wp:extent cx="304800" cy="304800"/>
                      <wp:effectExtent l="12700" t="12700" r="25400" b="25400"/>
                      <wp:wrapNone/>
                      <wp:docPr id="810568439" name="Oval 210">
                        <a:extLst xmlns:a="http://schemas.openxmlformats.org/drawingml/2006/main">
                          <a:ext uri="{FF2B5EF4-FFF2-40B4-BE49-F238E27FC236}">
                            <a16:creationId xmlns:a16="http://schemas.microsoft.com/office/drawing/2014/main" id="{A6F49285-B071-7A4D-9B7F-BFC9A35C549B}"/>
                          </a:ext>
                        </a:extLst>
                      </wp:docPr>
                      <wp:cNvGraphicFramePr/>
                      <a:graphic xmlns:a="http://schemas.openxmlformats.org/drawingml/2006/main">
                        <a:graphicData uri="http://schemas.microsoft.com/office/word/2010/wordprocessingShape">
                          <wps:wsp>
                            <wps:cNvSpPr/>
                            <wps:spPr>
                              <a:xfrm>
                                <a:off x="0" y="0"/>
                                <a:ext cx="304800" cy="304800"/>
                              </a:xfrm>
                              <a:prstGeom prst="ellipse">
                                <a:avLst/>
                              </a:prstGeom>
                              <a:solidFill>
                                <a:srgbClr val="FF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32475AD0"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426B7E58" id="Oval 210" o:spid="_x0000_s1026" style="position:absolute;margin-left:-.6pt;margin-top:-.65pt;width:24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" fillcolor="yellow" strokecolor="white" strokeweight="3pt">
                      <v:stroke opacity="0" joinstyle="miter"/>
                      <v:textbox inset="1pt,0,0,0">
                        <w:txbxContent>
                          <w:p w14:paraId="32475AD0"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v:textbox>
                    </v:oval>
                  </w:pict>
                </mc:Fallback>
              </mc:AlternateContent>
            </w:r>
          </w:p>
        </w:tc>
        <w:tc>
          <w:tcPr>
            <w:tcW w:w="606" w:type="dxa"/>
            <w:noWrap/>
            <w:vAlign w:val="center"/>
            <w:hideMark/>
          </w:tcPr>
          <w:p w14:paraId="718D496B"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4384" behindDoc="0" locked="0" layoutInCell="1" allowOverlap="1" wp14:anchorId="54BC515F" wp14:editId="578A8BBE">
                      <wp:simplePos x="0" y="0"/>
                      <wp:positionH relativeFrom="column">
                        <wp:posOffset>-28575</wp:posOffset>
                      </wp:positionH>
                      <wp:positionV relativeFrom="paragraph">
                        <wp:posOffset>6350</wp:posOffset>
                      </wp:positionV>
                      <wp:extent cx="277495" cy="267335"/>
                      <wp:effectExtent l="12700" t="12700" r="27305" b="24765"/>
                      <wp:wrapNone/>
                      <wp:docPr id="1666447900" name="Oval 209">
                        <a:extLst xmlns:a="http://schemas.openxmlformats.org/drawingml/2006/main">
                          <a:ext uri="{FF2B5EF4-FFF2-40B4-BE49-F238E27FC236}">
                            <a16:creationId xmlns:a16="http://schemas.microsoft.com/office/drawing/2014/main" id="{27F17605-6714-8F46-B243-5E3E423C1709}"/>
                          </a:ext>
                        </a:extLst>
                      </wp:docPr>
                      <wp:cNvGraphicFramePr/>
                      <a:graphic xmlns:a="http://schemas.openxmlformats.org/drawingml/2006/main">
                        <a:graphicData uri="http://schemas.microsoft.com/office/word/2010/wordprocessingShape">
                          <wps:wsp>
                            <wps:cNvSpPr/>
                            <wps:spPr>
                              <a:xfrm>
                                <a:off x="0" y="0"/>
                                <a:ext cx="277495" cy="267335"/>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4EDFCCA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wrap="square"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54BC515F" id="Oval 209" o:spid="_x0000_s1027" style="position:absolute;margin-left:-2.25pt;margin-top:.5pt;width:21.85pt;height:2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" fillcolor="lime" strokecolor="white" strokeweight="3pt">
                      <v:stroke opacity="0" joinstyle="miter"/>
                      <v:textbox inset="1pt,0,0,0">
                        <w:txbxContent>
                          <w:p w14:paraId="4EDFCCA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54468BAD"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7936" behindDoc="0" locked="0" layoutInCell="1" allowOverlap="1" wp14:anchorId="791FD6E1" wp14:editId="5583744B">
                      <wp:simplePos x="0" y="0"/>
                      <wp:positionH relativeFrom="column">
                        <wp:posOffset>-15875</wp:posOffset>
                      </wp:positionH>
                      <wp:positionV relativeFrom="paragraph">
                        <wp:posOffset>5715</wp:posOffset>
                      </wp:positionV>
                      <wp:extent cx="270510" cy="272415"/>
                      <wp:effectExtent l="12700" t="12700" r="21590" b="19685"/>
                      <wp:wrapNone/>
                      <wp:docPr id="2073427781" name="Oval 208">
                        <a:extLst xmlns:a="http://schemas.openxmlformats.org/drawingml/2006/main">
                          <a:ext uri="{FF2B5EF4-FFF2-40B4-BE49-F238E27FC236}">
                            <a16:creationId xmlns:a16="http://schemas.microsoft.com/office/drawing/2014/main" id="{1DE87629-FF95-E040-8C32-C281DE0DC7FB}"/>
                          </a:ext>
                        </a:extLst>
                      </wp:docPr>
                      <wp:cNvGraphicFramePr/>
                      <a:graphic xmlns:a="http://schemas.openxmlformats.org/drawingml/2006/main">
                        <a:graphicData uri="http://schemas.microsoft.com/office/word/2010/wordprocessingShape">
                          <wps:wsp>
                            <wps:cNvSpPr/>
                            <wps:spPr>
                              <a:xfrm>
                                <a:off x="0" y="0"/>
                                <a:ext cx="270510" cy="272415"/>
                              </a:xfrm>
                              <a:prstGeom prst="ellipse">
                                <a:avLst/>
                              </a:prstGeom>
                              <a:solidFill>
                                <a:srgbClr val="FF00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57AEE66" w14:textId="77777777" w:rsidR="0070218A" w:rsidRDefault="0070218A" w:rsidP="0070218A">
                                  <w:pPr>
                                    <w:rPr>
                                      <w:rFonts w:hAnsi="Aptos"/>
                                      <w:b/>
                                      <w:bCs/>
                                      <w:color w:val="000000"/>
                                      <w:kern w:val="0"/>
                                      <w:sz w:val="28"/>
                                      <w:szCs w:val="28"/>
                                      <w:lang w:val="es-CO"/>
                                      <w14:ligatures w14:val="none"/>
                                    </w:rPr>
                                  </w:pPr>
                                  <w:r>
                                    <w:rPr>
                                      <w:rFonts w:hAnsi="Aptos"/>
                                      <w:b/>
                                      <w:bCs/>
                                      <w:color w:val="000000"/>
                                      <w:sz w:val="28"/>
                                      <w:szCs w:val="28"/>
                                      <w:lang w:val="es-CO"/>
                                    </w:rPr>
                                    <w:t xml:space="preserve"> -</w:t>
                                  </w:r>
                                </w:p>
                              </w:txbxContent>
                            </wps:txbx>
                            <wps:bodyPr vertOverflow="clip" horzOverflow="clip" wrap="square"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791FD6E1" id="Oval 208" o:spid="_x0000_s1028" style="position:absolute;margin-left:-1.25pt;margin-top:.45pt;width:21.3pt;height:2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" fillcolor="red" strokecolor="white" strokeweight="3pt">
                      <v:stroke opacity="0" joinstyle="miter"/>
                      <v:textbox inset="1pt,0,0,0">
                        <w:txbxContent>
                          <w:p w14:paraId="657AEE66" w14:textId="77777777" w:rsidR="0070218A" w:rsidRDefault="0070218A" w:rsidP="0070218A">
                            <w:pPr>
                              <w:rPr>
                                <w:rFonts w:hAnsi="Aptos"/>
                                <w:b/>
                                <w:bCs/>
                                <w:color w:val="000000"/>
                                <w:kern w:val="0"/>
                                <w:sz w:val="28"/>
                                <w:szCs w:val="28"/>
                                <w:lang w:val="es-CO"/>
                                <w14:ligatures w14:val="none"/>
                              </w:rPr>
                            </w:pPr>
                            <w:r>
                              <w:rPr>
                                <w:rFonts w:hAnsi="Aptos"/>
                                <w:b/>
                                <w:bCs/>
                                <w:color w:val="000000"/>
                                <w:sz w:val="28"/>
                                <w:szCs w:val="28"/>
                                <w:lang w:val="es-CO"/>
                              </w:rPr>
                              <w:t xml:space="preserve"> </w:t>
                            </w:r>
                            <w:r>
                              <w:rPr>
                                <w:rFonts w:hAnsi="Aptos"/>
                                <w:b/>
                                <w:bCs/>
                                <w:color w:val="000000"/>
                                <w:sz w:val="28"/>
                                <w:szCs w:val="28"/>
                                <w:lang w:val="es-CO"/>
                              </w:rPr>
                              <w:t>-</w:t>
                            </w:r>
                          </w:p>
                        </w:txbxContent>
                      </v:textbox>
                    </v:oval>
                  </w:pict>
                </mc:Fallback>
              </mc:AlternateContent>
            </w:r>
          </w:p>
        </w:tc>
        <w:tc>
          <w:tcPr>
            <w:tcW w:w="567" w:type="dxa"/>
            <w:noWrap/>
            <w:vAlign w:val="center"/>
            <w:hideMark/>
          </w:tcPr>
          <w:p w14:paraId="316944CA"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3600" behindDoc="0" locked="0" layoutInCell="1" allowOverlap="1" wp14:anchorId="2F113325" wp14:editId="41E3DA5F">
                      <wp:simplePos x="0" y="0"/>
                      <wp:positionH relativeFrom="column">
                        <wp:posOffset>-31750</wp:posOffset>
                      </wp:positionH>
                      <wp:positionV relativeFrom="paragraph">
                        <wp:posOffset>-1905</wp:posOffset>
                      </wp:positionV>
                      <wp:extent cx="292100" cy="283210"/>
                      <wp:effectExtent l="12700" t="12700" r="25400" b="21590"/>
                      <wp:wrapNone/>
                      <wp:docPr id="615278345" name="Oval 207">
                        <a:extLst xmlns:a="http://schemas.openxmlformats.org/drawingml/2006/main">
                          <a:ext uri="{FF2B5EF4-FFF2-40B4-BE49-F238E27FC236}">
                            <a16:creationId xmlns:a16="http://schemas.microsoft.com/office/drawing/2014/main" id="{F70B69B3-F88B-2B44-A92B-58CD56DF2E7D}"/>
                          </a:ext>
                        </a:extLst>
                      </wp:docPr>
                      <wp:cNvGraphicFramePr/>
                      <a:graphic xmlns:a="http://schemas.openxmlformats.org/drawingml/2006/main">
                        <a:graphicData uri="http://schemas.microsoft.com/office/word/2010/wordprocessingShape">
                          <wps:wsp>
                            <wps:cNvSpPr/>
                            <wps:spPr>
                              <a:xfrm>
                                <a:off x="0" y="0"/>
                                <a:ext cx="292100" cy="28321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23AB4F7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2F113325" id="Oval 207" o:spid="_x0000_s1029" style="position:absolute;margin-left:-2.5pt;margin-top:-.15pt;width:23pt;height:22.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" fillcolor="lime" strokecolor="white" strokeweight="3pt">
                      <v:stroke opacity="0" joinstyle="miter"/>
                      <v:textbox inset="1pt,0,0,0">
                        <w:txbxContent>
                          <w:p w14:paraId="23AB4F7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2E80C42A"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8720" behindDoc="0" locked="0" layoutInCell="1" allowOverlap="1" wp14:anchorId="5D3D56BC" wp14:editId="15355D8A">
                      <wp:simplePos x="0" y="0"/>
                      <wp:positionH relativeFrom="column">
                        <wp:posOffset>-10795</wp:posOffset>
                      </wp:positionH>
                      <wp:positionV relativeFrom="paragraph">
                        <wp:posOffset>-1905</wp:posOffset>
                      </wp:positionV>
                      <wp:extent cx="278130" cy="288925"/>
                      <wp:effectExtent l="12700" t="12700" r="26670" b="28575"/>
                      <wp:wrapNone/>
                      <wp:docPr id="965861835" name="Oval 206">
                        <a:extLst xmlns:a="http://schemas.openxmlformats.org/drawingml/2006/main">
                          <a:ext uri="{FF2B5EF4-FFF2-40B4-BE49-F238E27FC236}">
                            <a16:creationId xmlns:a16="http://schemas.microsoft.com/office/drawing/2014/main" id="{576C50BF-2B56-5444-BA32-4A62E0FBC222}"/>
                          </a:ext>
                        </a:extLst>
                      </wp:docPr>
                      <wp:cNvGraphicFramePr/>
                      <a:graphic xmlns:a="http://schemas.openxmlformats.org/drawingml/2006/main">
                        <a:graphicData uri="http://schemas.microsoft.com/office/word/2010/wordprocessingShape">
                          <wps:wsp>
                            <wps:cNvSpPr/>
                            <wps:spPr>
                              <a:xfrm>
                                <a:off x="0" y="0"/>
                                <a:ext cx="278130" cy="288925"/>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0915B1EB"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wrap="square"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5D3D56BC" id="Oval 206" o:spid="_x0000_s1030" style="position:absolute;margin-left:-.85pt;margin-top:-.15pt;width:21.9pt;height:22.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" fillcolor="lime" strokecolor="white" strokeweight="3pt">
                      <v:stroke opacity="0" joinstyle="miter"/>
                      <v:textbox inset="1pt,0,0,0">
                        <w:txbxContent>
                          <w:p w14:paraId="0915B1EB"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738" w:type="dxa"/>
            <w:noWrap/>
            <w:vAlign w:val="center"/>
            <w:hideMark/>
          </w:tcPr>
          <w:p w14:paraId="1CF23D60"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8960" behindDoc="0" locked="0" layoutInCell="1" allowOverlap="1" wp14:anchorId="3B52388C" wp14:editId="5C501C4A">
                      <wp:simplePos x="0" y="0"/>
                      <wp:positionH relativeFrom="column">
                        <wp:posOffset>0</wp:posOffset>
                      </wp:positionH>
                      <wp:positionV relativeFrom="paragraph">
                        <wp:posOffset>-3175</wp:posOffset>
                      </wp:positionV>
                      <wp:extent cx="270510" cy="272415"/>
                      <wp:effectExtent l="12700" t="12700" r="21590" b="19685"/>
                      <wp:wrapNone/>
                      <wp:docPr id="2050964006" name="Oval 208"/>
                      <wp:cNvGraphicFramePr/>
                      <a:graphic xmlns:a="http://schemas.openxmlformats.org/drawingml/2006/main">
                        <a:graphicData uri="http://schemas.microsoft.com/office/word/2010/wordprocessingShape">
                          <wps:wsp>
                            <wps:cNvSpPr/>
                            <wps:spPr>
                              <a:xfrm>
                                <a:off x="0" y="0"/>
                                <a:ext cx="270510" cy="272415"/>
                              </a:xfrm>
                              <a:prstGeom prst="ellipse">
                                <a:avLst/>
                              </a:prstGeom>
                              <a:solidFill>
                                <a:srgbClr val="FF00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5036ACC6" w14:textId="77777777" w:rsidR="0070218A" w:rsidRDefault="0070218A" w:rsidP="0070218A">
                                  <w:pPr>
                                    <w:rPr>
                                      <w:rFonts w:hAnsi="Aptos"/>
                                      <w:b/>
                                      <w:bCs/>
                                      <w:color w:val="000000"/>
                                      <w:kern w:val="0"/>
                                      <w:sz w:val="28"/>
                                      <w:szCs w:val="28"/>
                                      <w:lang w:val="es-CO"/>
                                      <w14:ligatures w14:val="none"/>
                                    </w:rPr>
                                  </w:pPr>
                                  <w:r>
                                    <w:rPr>
                                      <w:rFonts w:hAnsi="Aptos"/>
                                      <w:b/>
                                      <w:bCs/>
                                      <w:color w:val="000000"/>
                                      <w:sz w:val="28"/>
                                      <w:szCs w:val="28"/>
                                      <w:lang w:val="es-CO"/>
                                    </w:rPr>
                                    <w:t xml:space="preserve"> -</w:t>
                                  </w:r>
                                </w:p>
                              </w:txbxContent>
                            </wps:txbx>
                            <wps:bodyPr vertOverflow="clip" horzOverflow="clip" wrap="square"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3B52388C" id="_x0000_s1031" style="position:absolute;margin-left:0;margin-top:-.25pt;width:21.3pt;height:21.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" fillcolor="red" strokecolor="white" strokeweight="3pt">
                      <v:stroke opacity="0" joinstyle="miter"/>
                      <v:textbox inset="1pt,0,0,0">
                        <w:txbxContent>
                          <w:p w14:paraId="5036ACC6" w14:textId="77777777" w:rsidR="0070218A" w:rsidRDefault="0070218A" w:rsidP="0070218A">
                            <w:pPr>
                              <w:rPr>
                                <w:rFonts w:hAnsi="Aptos"/>
                                <w:b/>
                                <w:bCs/>
                                <w:color w:val="000000"/>
                                <w:kern w:val="0"/>
                                <w:sz w:val="28"/>
                                <w:szCs w:val="28"/>
                                <w:lang w:val="es-CO"/>
                                <w14:ligatures w14:val="none"/>
                              </w:rPr>
                            </w:pPr>
                            <w:r>
                              <w:rPr>
                                <w:rFonts w:hAnsi="Aptos"/>
                                <w:b/>
                                <w:bCs/>
                                <w:color w:val="000000"/>
                                <w:sz w:val="28"/>
                                <w:szCs w:val="28"/>
                                <w:lang w:val="es-CO"/>
                              </w:rPr>
                              <w:t xml:space="preserve"> </w:t>
                            </w:r>
                            <w:r>
                              <w:rPr>
                                <w:rFonts w:hAnsi="Aptos"/>
                                <w:b/>
                                <w:bCs/>
                                <w:color w:val="000000"/>
                                <w:sz w:val="28"/>
                                <w:szCs w:val="28"/>
                                <w:lang w:val="es-CO"/>
                              </w:rPr>
                              <w:t>-</w:t>
                            </w:r>
                          </w:p>
                        </w:txbxContent>
                      </v:textbox>
                    </v:oval>
                  </w:pict>
                </mc:Fallback>
              </mc:AlternateContent>
            </w:r>
          </w:p>
        </w:tc>
      </w:tr>
      <w:tr w:rsidR="0070218A" w:rsidRPr="00D5599B" w14:paraId="00AD80B3" w14:textId="77777777" w:rsidTr="00F34C93">
        <w:trPr>
          <w:trHeight w:val="170"/>
        </w:trPr>
        <w:tc>
          <w:tcPr>
            <w:tcW w:w="704" w:type="dxa"/>
            <w:noWrap/>
            <w:vAlign w:val="center"/>
            <w:hideMark/>
          </w:tcPr>
          <w:p w14:paraId="10C5EAF6" w14:textId="77777777" w:rsidR="0070218A" w:rsidRPr="00D5599B" w:rsidRDefault="0070218A" w:rsidP="00F34C93">
            <w:pPr>
              <w:jc w:val="center"/>
              <w:rPr>
                <w:sz w:val="16"/>
                <w:szCs w:val="16"/>
              </w:rPr>
            </w:pPr>
            <w:r w:rsidRPr="00F422D2">
              <w:rPr>
                <w:b/>
                <w:bCs/>
                <w:sz w:val="14"/>
                <w:szCs w:val="14"/>
              </w:rPr>
              <w:t xml:space="preserve">Carrillo </w:t>
            </w:r>
            <w:r w:rsidRPr="00BB250F">
              <w:rPr>
                <w:b/>
                <w:bCs/>
                <w:i/>
                <w:iCs/>
                <w:sz w:val="14"/>
                <w:szCs w:val="14"/>
              </w:rPr>
              <w:t xml:space="preserve">et </w:t>
            </w:r>
            <w:r w:rsidRPr="00F422D2">
              <w:rPr>
                <w:b/>
                <w:bCs/>
                <w:sz w:val="14"/>
                <w:szCs w:val="14"/>
              </w:rPr>
              <w:t>al., 2015</w:t>
            </w:r>
          </w:p>
        </w:tc>
        <w:tc>
          <w:tcPr>
            <w:tcW w:w="1392" w:type="dxa"/>
            <w:vAlign w:val="center"/>
            <w:hideMark/>
          </w:tcPr>
          <w:p w14:paraId="13D39611" w14:textId="77777777" w:rsidR="0070218A" w:rsidRPr="00D5599B" w:rsidRDefault="0070218A" w:rsidP="00F34C93">
            <w:pPr>
              <w:rPr>
                <w:sz w:val="16"/>
                <w:szCs w:val="16"/>
              </w:rPr>
            </w:pPr>
            <w:r w:rsidRPr="00D5599B">
              <w:rPr>
                <w:sz w:val="16"/>
                <w:szCs w:val="16"/>
              </w:rPr>
              <w:t>Pacientes que reciben Lidocaína en Infusión Intravenosa</w:t>
            </w:r>
          </w:p>
        </w:tc>
        <w:tc>
          <w:tcPr>
            <w:tcW w:w="1489" w:type="dxa"/>
            <w:vAlign w:val="center"/>
            <w:hideMark/>
          </w:tcPr>
          <w:p w14:paraId="3730D495" w14:textId="77777777" w:rsidR="0070218A" w:rsidRPr="00D5599B" w:rsidRDefault="0070218A" w:rsidP="00F34C93">
            <w:pPr>
              <w:rPr>
                <w:sz w:val="16"/>
                <w:szCs w:val="16"/>
              </w:rPr>
            </w:pPr>
            <w:r w:rsidRPr="00D5599B">
              <w:rPr>
                <w:sz w:val="16"/>
                <w:szCs w:val="16"/>
              </w:rPr>
              <w:t>Pacientes que reciben Dexmedetomidina en Infusión Intravenosa.</w:t>
            </w:r>
          </w:p>
        </w:tc>
        <w:tc>
          <w:tcPr>
            <w:tcW w:w="1803" w:type="dxa"/>
            <w:vAlign w:val="center"/>
            <w:hideMark/>
          </w:tcPr>
          <w:p w14:paraId="675819C4" w14:textId="77777777" w:rsidR="0070218A" w:rsidRPr="00D5599B" w:rsidRDefault="0070218A" w:rsidP="00F34C93">
            <w:pPr>
              <w:rPr>
                <w:sz w:val="16"/>
                <w:szCs w:val="16"/>
              </w:rPr>
            </w:pPr>
            <w:r w:rsidRPr="00D5599B">
              <w:rPr>
                <w:sz w:val="16"/>
                <w:szCs w:val="16"/>
              </w:rPr>
              <w:t>determinar cuál de los dos fármacos era más efectivo y seguro como alternativa para el dolor que no puede controlarse con dosis altas de opioides</w:t>
            </w:r>
          </w:p>
        </w:tc>
        <w:tc>
          <w:tcPr>
            <w:tcW w:w="725" w:type="dxa"/>
            <w:noWrap/>
            <w:vAlign w:val="center"/>
            <w:hideMark/>
          </w:tcPr>
          <w:p w14:paraId="39E1528A" w14:textId="77777777" w:rsidR="0070218A" w:rsidRPr="00D5599B" w:rsidRDefault="0070218A" w:rsidP="00F34C93">
            <w:pPr>
              <w:jc w:val="center"/>
              <w:rPr>
                <w:sz w:val="16"/>
                <w:szCs w:val="16"/>
              </w:rPr>
            </w:pPr>
            <w:r w:rsidRPr="00D5599B">
              <w:rPr>
                <w:sz w:val="16"/>
                <w:szCs w:val="16"/>
              </w:rPr>
              <w:t>1</w:t>
            </w:r>
          </w:p>
        </w:tc>
        <w:tc>
          <w:tcPr>
            <w:tcW w:w="647" w:type="dxa"/>
            <w:noWrap/>
            <w:vAlign w:val="center"/>
            <w:hideMark/>
          </w:tcPr>
          <w:p w14:paraId="142845E9"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0288" behindDoc="0" locked="0" layoutInCell="1" allowOverlap="1" wp14:anchorId="085A1D06" wp14:editId="0418365E">
                      <wp:simplePos x="0" y="0"/>
                      <wp:positionH relativeFrom="column">
                        <wp:posOffset>-6838</wp:posOffset>
                      </wp:positionH>
                      <wp:positionV relativeFrom="paragraph">
                        <wp:posOffset>58336</wp:posOffset>
                      </wp:positionV>
                      <wp:extent cx="304800" cy="292100"/>
                      <wp:effectExtent l="12700" t="12700" r="25400" b="25400"/>
                      <wp:wrapNone/>
                      <wp:docPr id="646680134" name="Oval 204">
                        <a:extLst xmlns:a="http://schemas.openxmlformats.org/drawingml/2006/main">
                          <a:ext uri="{FF2B5EF4-FFF2-40B4-BE49-F238E27FC236}">
                            <a16:creationId xmlns:a16="http://schemas.microsoft.com/office/drawing/2014/main" id="{F5235594-FC3F-B34A-BB44-524653AE53F7}"/>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FF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7806D46C"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85A1D06" id="Oval 204" o:spid="_x0000_s1032" style="position:absolute;margin-left:-.55pt;margin-top:4.6pt;width:24pt;height:2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" fillcolor="yellow" strokecolor="white" strokeweight="3pt">
                      <v:stroke opacity="0" joinstyle="miter"/>
                      <v:textbox inset="1pt,0,0,0">
                        <w:txbxContent>
                          <w:p w14:paraId="7806D46C"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v:textbox>
                    </v:oval>
                  </w:pict>
                </mc:Fallback>
              </mc:AlternateContent>
            </w:r>
          </w:p>
        </w:tc>
        <w:tc>
          <w:tcPr>
            <w:tcW w:w="606" w:type="dxa"/>
            <w:noWrap/>
            <w:vAlign w:val="center"/>
            <w:hideMark/>
          </w:tcPr>
          <w:p w14:paraId="680EC3F3"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5408" behindDoc="0" locked="0" layoutInCell="1" allowOverlap="1" wp14:anchorId="2FEA56B1" wp14:editId="4C0C9406">
                      <wp:simplePos x="0" y="0"/>
                      <wp:positionH relativeFrom="column">
                        <wp:posOffset>-31115</wp:posOffset>
                      </wp:positionH>
                      <wp:positionV relativeFrom="paragraph">
                        <wp:posOffset>66675</wp:posOffset>
                      </wp:positionV>
                      <wp:extent cx="304800" cy="292100"/>
                      <wp:effectExtent l="12700" t="12700" r="25400" b="25400"/>
                      <wp:wrapNone/>
                      <wp:docPr id="686385704" name="Oval 203">
                        <a:extLst xmlns:a="http://schemas.openxmlformats.org/drawingml/2006/main">
                          <a:ext uri="{FF2B5EF4-FFF2-40B4-BE49-F238E27FC236}">
                            <a16:creationId xmlns:a16="http://schemas.microsoft.com/office/drawing/2014/main" id="{9201BC4B-1F31-DF47-918A-2398E6955373}"/>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3B0E3E67"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2FEA56B1" id="Oval 203" o:spid="_x0000_s1033" style="position:absolute;margin-left:-2.45pt;margin-top:5.25pt;width:24pt;height:2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" fillcolor="lime" strokecolor="white" strokeweight="3pt">
                      <v:stroke opacity="0" joinstyle="miter"/>
                      <v:textbox inset="1pt,0,0,0">
                        <w:txbxContent>
                          <w:p w14:paraId="3B0E3E67"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198025FC"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9504" behindDoc="0" locked="0" layoutInCell="1" allowOverlap="1" wp14:anchorId="19978E36" wp14:editId="663773E6">
                      <wp:simplePos x="0" y="0"/>
                      <wp:positionH relativeFrom="column">
                        <wp:posOffset>-19685</wp:posOffset>
                      </wp:positionH>
                      <wp:positionV relativeFrom="paragraph">
                        <wp:posOffset>100330</wp:posOffset>
                      </wp:positionV>
                      <wp:extent cx="292100" cy="292100"/>
                      <wp:effectExtent l="12700" t="12700" r="25400" b="25400"/>
                      <wp:wrapNone/>
                      <wp:docPr id="1913194398" name="Oval 202">
                        <a:extLst xmlns:a="http://schemas.openxmlformats.org/drawingml/2006/main">
                          <a:ext uri="{FF2B5EF4-FFF2-40B4-BE49-F238E27FC236}">
                            <a16:creationId xmlns:a16="http://schemas.microsoft.com/office/drawing/2014/main" id="{C06CB9F3-EC7B-5743-A1AF-A176E01AEABF}"/>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4C7DF94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19978E36" id="Oval 202" o:spid="_x0000_s1034" style="position:absolute;margin-left:-1.55pt;margin-top:7.9pt;width:23pt;height:2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" fillcolor="lime" strokecolor="white" strokeweight="3pt">
                      <v:stroke opacity="0" joinstyle="miter"/>
                      <v:textbox inset="1pt,0,0,0">
                        <w:txbxContent>
                          <w:p w14:paraId="4C7DF94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643DECD1"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4624" behindDoc="0" locked="0" layoutInCell="1" allowOverlap="1" wp14:anchorId="786626ED" wp14:editId="01F05347">
                      <wp:simplePos x="0" y="0"/>
                      <wp:positionH relativeFrom="column">
                        <wp:posOffset>-34290</wp:posOffset>
                      </wp:positionH>
                      <wp:positionV relativeFrom="paragraph">
                        <wp:posOffset>62230</wp:posOffset>
                      </wp:positionV>
                      <wp:extent cx="292100" cy="292100"/>
                      <wp:effectExtent l="12700" t="12700" r="25400" b="25400"/>
                      <wp:wrapNone/>
                      <wp:docPr id="1618640193" name="Oval 201">
                        <a:extLst xmlns:a="http://schemas.openxmlformats.org/drawingml/2006/main">
                          <a:ext uri="{FF2B5EF4-FFF2-40B4-BE49-F238E27FC236}">
                            <a16:creationId xmlns:a16="http://schemas.microsoft.com/office/drawing/2014/main" id="{01673C09-A228-4C4B-B53A-6AACFA92D1F3}"/>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2A68200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86626ED" id="Oval 201" o:spid="_x0000_s1035" style="position:absolute;margin-left:-2.7pt;margin-top:4.9pt;width:23pt;height:2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" fillcolor="lime" strokecolor="white" strokeweight="3pt">
                      <v:stroke opacity="0" joinstyle="miter"/>
                      <v:textbox inset="1pt,0,0,0">
                        <w:txbxContent>
                          <w:p w14:paraId="2A68200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36B2F793"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9744" behindDoc="0" locked="0" layoutInCell="1" allowOverlap="1" wp14:anchorId="7BB783F6" wp14:editId="4A4E64E9">
                      <wp:simplePos x="0" y="0"/>
                      <wp:positionH relativeFrom="column">
                        <wp:posOffset>-48895</wp:posOffset>
                      </wp:positionH>
                      <wp:positionV relativeFrom="paragraph">
                        <wp:posOffset>55880</wp:posOffset>
                      </wp:positionV>
                      <wp:extent cx="304800" cy="292100"/>
                      <wp:effectExtent l="12700" t="12700" r="25400" b="25400"/>
                      <wp:wrapNone/>
                      <wp:docPr id="2073731903" name="Oval 200">
                        <a:extLst xmlns:a="http://schemas.openxmlformats.org/drawingml/2006/main">
                          <a:ext uri="{FF2B5EF4-FFF2-40B4-BE49-F238E27FC236}">
                            <a16:creationId xmlns:a16="http://schemas.microsoft.com/office/drawing/2014/main" id="{4D96DB81-B62A-E84A-A270-8EB3B54BA415}"/>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7D8166F8"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BB783F6" id="Oval 200" o:spid="_x0000_s1036" style="position:absolute;margin-left:-3.85pt;margin-top:4.4pt;width:24pt;height:2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" fillcolor="lime" strokecolor="white" strokeweight="3pt">
                      <v:stroke opacity="0" joinstyle="miter"/>
                      <v:textbox inset="1pt,0,0,0">
                        <w:txbxContent>
                          <w:p w14:paraId="7D8166F8"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738" w:type="dxa"/>
            <w:noWrap/>
            <w:vAlign w:val="center"/>
            <w:hideMark/>
          </w:tcPr>
          <w:p w14:paraId="0AD0A097"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3840" behindDoc="0" locked="0" layoutInCell="1" allowOverlap="1" wp14:anchorId="3C8228D2" wp14:editId="6864C286">
                      <wp:simplePos x="0" y="0"/>
                      <wp:positionH relativeFrom="column">
                        <wp:posOffset>38100</wp:posOffset>
                      </wp:positionH>
                      <wp:positionV relativeFrom="paragraph">
                        <wp:posOffset>50800</wp:posOffset>
                      </wp:positionV>
                      <wp:extent cx="266700" cy="266700"/>
                      <wp:effectExtent l="0" t="0" r="12700" b="12700"/>
                      <wp:wrapNone/>
                      <wp:docPr id="354017365" name="Oval 199">
                        <a:extLst xmlns:a="http://schemas.openxmlformats.org/drawingml/2006/main">
                          <a:ext uri="{FF2B5EF4-FFF2-40B4-BE49-F238E27FC236}">
                            <a16:creationId xmlns:a16="http://schemas.microsoft.com/office/drawing/2014/main" id="{33614AC5-CA59-334D-A5FB-DB005532D04B}"/>
                          </a:ext>
                        </a:extLst>
                      </wp:docPr>
                      <wp:cNvGraphicFramePr/>
                      <a:graphic xmlns:a="http://schemas.openxmlformats.org/drawingml/2006/main">
                        <a:graphicData uri="http://schemas.microsoft.com/office/word/2010/wordprocessingShape">
                          <wps:wsp>
                            <wps:cNvSpPr/>
                            <wps:spPr>
                              <a:xfrm>
                                <a:off x="0" y="0"/>
                                <a:ext cx="266700" cy="266700"/>
                              </a:xfrm>
                              <a:prstGeom prst="ellipse">
                                <a:avLst/>
                              </a:prstGeom>
                              <a:solidFill>
                                <a:srgbClr val="FFFF00"/>
                              </a:solidFill>
                              <a:ln w="3175" cap="flat" cmpd="sng" algn="ctr">
                                <a:solidFill>
                                  <a:srgbClr val="000000"/>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1B6ECD9E"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3C8228D2" id="Oval 199" o:spid="_x0000_s1037" style="position:absolute;margin-left:3pt;margin-top:4pt;width:21pt;height:2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" fillcolor="yellow" strokeweight=".25pt">
                      <v:stroke joinstyle="miter"/>
                      <v:textbox inset="1pt,0,0,0">
                        <w:txbxContent>
                          <w:p w14:paraId="1B6ECD9E" w14:textId="77777777" w:rsidR="0070218A" w:rsidRDefault="0070218A" w:rsidP="0070218A">
                            <w:pPr>
                              <w:jc w:val="center"/>
                              <w:rPr>
                                <w:rFonts w:hAnsi="Aptos"/>
                                <w:b/>
                                <w:bCs/>
                                <w:color w:val="000000"/>
                                <w:kern w:val="0"/>
                                <w:sz w:val="22"/>
                                <w:szCs w:val="22"/>
                                <w:lang w:val="es-CO"/>
                                <w14:ligatures w14:val="none"/>
                              </w:rPr>
                            </w:pPr>
                            <w:r>
                              <w:rPr>
                                <w:rFonts w:hAnsi="Aptos"/>
                                <w:b/>
                                <w:bCs/>
                                <w:color w:val="000000"/>
                                <w:sz w:val="22"/>
                                <w:szCs w:val="22"/>
                                <w:lang w:val="es-CO"/>
                              </w:rPr>
                              <w:t>!</w:t>
                            </w:r>
                          </w:p>
                        </w:txbxContent>
                      </v:textbox>
                    </v:oval>
                  </w:pict>
                </mc:Fallback>
              </mc:AlternateContent>
            </w:r>
          </w:p>
        </w:tc>
      </w:tr>
      <w:tr w:rsidR="0070218A" w:rsidRPr="00D5599B" w14:paraId="4F906E54" w14:textId="77777777" w:rsidTr="00F34C93">
        <w:trPr>
          <w:trHeight w:val="170"/>
        </w:trPr>
        <w:tc>
          <w:tcPr>
            <w:tcW w:w="704" w:type="dxa"/>
            <w:noWrap/>
            <w:vAlign w:val="center"/>
            <w:hideMark/>
          </w:tcPr>
          <w:p w14:paraId="1B2EFD37" w14:textId="77777777" w:rsidR="0070218A" w:rsidRPr="00D5599B" w:rsidRDefault="0070218A" w:rsidP="00F34C93">
            <w:pPr>
              <w:jc w:val="center"/>
              <w:rPr>
                <w:sz w:val="16"/>
                <w:szCs w:val="16"/>
              </w:rPr>
            </w:pPr>
            <w:r w:rsidRPr="00F422D2">
              <w:rPr>
                <w:b/>
                <w:bCs/>
                <w:sz w:val="14"/>
                <w:szCs w:val="14"/>
              </w:rPr>
              <w:t xml:space="preserve">Bruera </w:t>
            </w:r>
            <w:r w:rsidRPr="00BB250F">
              <w:rPr>
                <w:b/>
                <w:bCs/>
                <w:i/>
                <w:iCs/>
                <w:sz w:val="14"/>
                <w:szCs w:val="14"/>
              </w:rPr>
              <w:t xml:space="preserve">et </w:t>
            </w:r>
            <w:r w:rsidRPr="00F422D2">
              <w:rPr>
                <w:b/>
                <w:bCs/>
                <w:sz w:val="14"/>
                <w:szCs w:val="14"/>
              </w:rPr>
              <w:t>al., 1992</w:t>
            </w:r>
          </w:p>
        </w:tc>
        <w:tc>
          <w:tcPr>
            <w:tcW w:w="1392" w:type="dxa"/>
            <w:vAlign w:val="center"/>
            <w:hideMark/>
          </w:tcPr>
          <w:p w14:paraId="74B4E492" w14:textId="77777777" w:rsidR="0070218A" w:rsidRPr="00D5599B" w:rsidRDefault="0070218A" w:rsidP="00F34C93">
            <w:pPr>
              <w:rPr>
                <w:sz w:val="16"/>
                <w:szCs w:val="16"/>
              </w:rPr>
            </w:pPr>
            <w:r w:rsidRPr="00D5599B">
              <w:rPr>
                <w:sz w:val="16"/>
                <w:szCs w:val="16"/>
              </w:rPr>
              <w:t>Lidocaína en infusión intravenosa</w:t>
            </w:r>
          </w:p>
        </w:tc>
        <w:tc>
          <w:tcPr>
            <w:tcW w:w="1489" w:type="dxa"/>
            <w:vAlign w:val="center"/>
            <w:hideMark/>
          </w:tcPr>
          <w:p w14:paraId="5AB1A638" w14:textId="77777777" w:rsidR="0070218A" w:rsidRPr="00D5599B" w:rsidRDefault="0070218A" w:rsidP="00F34C93">
            <w:pPr>
              <w:rPr>
                <w:sz w:val="16"/>
                <w:szCs w:val="16"/>
              </w:rPr>
            </w:pPr>
            <w:r w:rsidRPr="00D5599B">
              <w:rPr>
                <w:sz w:val="16"/>
                <w:szCs w:val="16"/>
              </w:rPr>
              <w:t>Placebo en Infusión Intravenosa</w:t>
            </w:r>
          </w:p>
        </w:tc>
        <w:tc>
          <w:tcPr>
            <w:tcW w:w="1803" w:type="dxa"/>
            <w:vAlign w:val="center"/>
            <w:hideMark/>
          </w:tcPr>
          <w:p w14:paraId="6C42873C" w14:textId="77777777" w:rsidR="0070218A" w:rsidRPr="00D5599B" w:rsidRDefault="0070218A" w:rsidP="00F34C93">
            <w:pPr>
              <w:rPr>
                <w:sz w:val="16"/>
                <w:szCs w:val="16"/>
              </w:rPr>
            </w:pPr>
            <w:r w:rsidRPr="00D5599B">
              <w:rPr>
                <w:sz w:val="16"/>
                <w:szCs w:val="16"/>
              </w:rPr>
              <w:t>evaluar el efecto de la lidocaína intravenosa en el dolor neuropático de pacientes con cáncer avanzado</w:t>
            </w:r>
          </w:p>
        </w:tc>
        <w:tc>
          <w:tcPr>
            <w:tcW w:w="725" w:type="dxa"/>
            <w:noWrap/>
            <w:vAlign w:val="center"/>
            <w:hideMark/>
          </w:tcPr>
          <w:p w14:paraId="4F4B0148" w14:textId="77777777" w:rsidR="0070218A" w:rsidRPr="00D5599B" w:rsidRDefault="0070218A" w:rsidP="00F34C93">
            <w:pPr>
              <w:jc w:val="center"/>
              <w:rPr>
                <w:sz w:val="16"/>
                <w:szCs w:val="16"/>
              </w:rPr>
            </w:pPr>
            <w:r w:rsidRPr="00D5599B">
              <w:rPr>
                <w:sz w:val="16"/>
                <w:szCs w:val="16"/>
              </w:rPr>
              <w:t>1</w:t>
            </w:r>
          </w:p>
        </w:tc>
        <w:tc>
          <w:tcPr>
            <w:tcW w:w="647" w:type="dxa"/>
            <w:noWrap/>
            <w:vAlign w:val="center"/>
            <w:hideMark/>
          </w:tcPr>
          <w:p w14:paraId="0B7D03FF"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1312" behindDoc="0" locked="0" layoutInCell="1" allowOverlap="1" wp14:anchorId="7C877E65" wp14:editId="7508E239">
                      <wp:simplePos x="0" y="0"/>
                      <wp:positionH relativeFrom="column">
                        <wp:posOffset>-7620</wp:posOffset>
                      </wp:positionH>
                      <wp:positionV relativeFrom="paragraph">
                        <wp:posOffset>-2540</wp:posOffset>
                      </wp:positionV>
                      <wp:extent cx="304800" cy="292100"/>
                      <wp:effectExtent l="12700" t="12700" r="25400" b="25400"/>
                      <wp:wrapNone/>
                      <wp:docPr id="681073707" name="Oval 198">
                        <a:extLst xmlns:a="http://schemas.openxmlformats.org/drawingml/2006/main">
                          <a:ext uri="{FF2B5EF4-FFF2-40B4-BE49-F238E27FC236}">
                            <a16:creationId xmlns:a16="http://schemas.microsoft.com/office/drawing/2014/main" id="{097DE6C1-2C4E-3445-9036-BB475C77450F}"/>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2A337E9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C877E65" id="Oval 198" o:spid="_x0000_s1038" style="position:absolute;margin-left:-.6pt;margin-top:-.2pt;width:24pt;height: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" fillcolor="lime" strokecolor="white" strokeweight="3pt">
                      <v:stroke opacity="0" joinstyle="miter"/>
                      <v:textbox inset="1pt,0,0,0">
                        <w:txbxContent>
                          <w:p w14:paraId="2A337E9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606" w:type="dxa"/>
            <w:noWrap/>
            <w:vAlign w:val="center"/>
            <w:hideMark/>
          </w:tcPr>
          <w:p w14:paraId="560F0322"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6432" behindDoc="0" locked="0" layoutInCell="1" allowOverlap="1" wp14:anchorId="70DB9685" wp14:editId="332A6939">
                      <wp:simplePos x="0" y="0"/>
                      <wp:positionH relativeFrom="column">
                        <wp:posOffset>-29210</wp:posOffset>
                      </wp:positionH>
                      <wp:positionV relativeFrom="paragraph">
                        <wp:posOffset>-2540</wp:posOffset>
                      </wp:positionV>
                      <wp:extent cx="304800" cy="292100"/>
                      <wp:effectExtent l="12700" t="12700" r="25400" b="25400"/>
                      <wp:wrapNone/>
                      <wp:docPr id="136229638" name="Oval 197">
                        <a:extLst xmlns:a="http://schemas.openxmlformats.org/drawingml/2006/main">
                          <a:ext uri="{FF2B5EF4-FFF2-40B4-BE49-F238E27FC236}">
                            <a16:creationId xmlns:a16="http://schemas.microsoft.com/office/drawing/2014/main" id="{0DAE8FB3-824F-474D-ABA4-387E481521BE}"/>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45DC34E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0DB9685" id="Oval 197" o:spid="_x0000_s1039" style="position:absolute;margin-left:-2.3pt;margin-top:-.2pt;width:24pt;height:2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" fillcolor="lime" strokecolor="white" strokeweight="3pt">
                      <v:stroke opacity="0" joinstyle="miter"/>
                      <v:textbox inset="1pt,0,0,0">
                        <w:txbxContent>
                          <w:p w14:paraId="45DC34E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18F823B8"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0528" behindDoc="0" locked="0" layoutInCell="1" allowOverlap="1" wp14:anchorId="7D1381C0" wp14:editId="70659EFA">
                      <wp:simplePos x="0" y="0"/>
                      <wp:positionH relativeFrom="column">
                        <wp:posOffset>-53340</wp:posOffset>
                      </wp:positionH>
                      <wp:positionV relativeFrom="paragraph">
                        <wp:posOffset>3175</wp:posOffset>
                      </wp:positionV>
                      <wp:extent cx="292100" cy="292100"/>
                      <wp:effectExtent l="12700" t="12700" r="25400" b="25400"/>
                      <wp:wrapNone/>
                      <wp:docPr id="1058493974" name="Oval 196">
                        <a:extLst xmlns:a="http://schemas.openxmlformats.org/drawingml/2006/main">
                          <a:ext uri="{FF2B5EF4-FFF2-40B4-BE49-F238E27FC236}">
                            <a16:creationId xmlns:a16="http://schemas.microsoft.com/office/drawing/2014/main" id="{2532A0AE-BF2B-E34F-B616-E2AE12A0A419}"/>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5981A5F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D1381C0" id="Oval 196" o:spid="_x0000_s1040" style="position:absolute;margin-left:-4.2pt;margin-top:.25pt;width:23pt;height:2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" fillcolor="lime" strokecolor="white" strokeweight="3pt">
                      <v:stroke opacity="0" joinstyle="miter"/>
                      <v:textbox inset="1pt,0,0,0">
                        <w:txbxContent>
                          <w:p w14:paraId="5981A5F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027F00B2"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5648" behindDoc="0" locked="0" layoutInCell="1" allowOverlap="1" wp14:anchorId="0590E352" wp14:editId="226D7611">
                      <wp:simplePos x="0" y="0"/>
                      <wp:positionH relativeFrom="column">
                        <wp:posOffset>-35560</wp:posOffset>
                      </wp:positionH>
                      <wp:positionV relativeFrom="paragraph">
                        <wp:posOffset>635</wp:posOffset>
                      </wp:positionV>
                      <wp:extent cx="292100" cy="292100"/>
                      <wp:effectExtent l="12700" t="12700" r="25400" b="25400"/>
                      <wp:wrapNone/>
                      <wp:docPr id="1378587052" name="Oval 195">
                        <a:extLst xmlns:a="http://schemas.openxmlformats.org/drawingml/2006/main">
                          <a:ext uri="{FF2B5EF4-FFF2-40B4-BE49-F238E27FC236}">
                            <a16:creationId xmlns:a16="http://schemas.microsoft.com/office/drawing/2014/main" id="{27F01626-A206-454C-9038-A1EC3204675D}"/>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3883EA1"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590E352" id="Oval 195" o:spid="_x0000_s1041" style="position:absolute;margin-left:-2.8pt;margin-top:.05pt;width:23pt;height:2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" fillcolor="lime" strokecolor="white" strokeweight="3pt">
                      <v:stroke opacity="0" joinstyle="miter"/>
                      <v:textbox inset="1pt,0,0,0">
                        <w:txbxContent>
                          <w:p w14:paraId="63883EA1"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5D4A5EA4"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0768" behindDoc="0" locked="0" layoutInCell="1" allowOverlap="1" wp14:anchorId="5C572345" wp14:editId="15F0F7A5">
                      <wp:simplePos x="0" y="0"/>
                      <wp:positionH relativeFrom="column">
                        <wp:posOffset>-27940</wp:posOffset>
                      </wp:positionH>
                      <wp:positionV relativeFrom="paragraph">
                        <wp:posOffset>5080</wp:posOffset>
                      </wp:positionV>
                      <wp:extent cx="273050" cy="265430"/>
                      <wp:effectExtent l="12700" t="12700" r="31750" b="26670"/>
                      <wp:wrapNone/>
                      <wp:docPr id="1738188239" name="Oval 194">
                        <a:extLst xmlns:a="http://schemas.openxmlformats.org/drawingml/2006/main">
                          <a:ext uri="{FF2B5EF4-FFF2-40B4-BE49-F238E27FC236}">
                            <a16:creationId xmlns:a16="http://schemas.microsoft.com/office/drawing/2014/main" id="{326EF0CC-23A9-D242-9112-4FC0353D1086}"/>
                          </a:ext>
                        </a:extLst>
                      </wp:docPr>
                      <wp:cNvGraphicFramePr/>
                      <a:graphic xmlns:a="http://schemas.openxmlformats.org/drawingml/2006/main">
                        <a:graphicData uri="http://schemas.microsoft.com/office/word/2010/wordprocessingShape">
                          <wps:wsp>
                            <wps:cNvSpPr/>
                            <wps:spPr>
                              <a:xfrm>
                                <a:off x="0" y="0"/>
                                <a:ext cx="273050" cy="265430"/>
                              </a:xfrm>
                              <a:prstGeom prst="ellipse">
                                <a:avLst/>
                              </a:prstGeom>
                              <a:solidFill>
                                <a:srgbClr val="FF00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773410B4"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wps:txbx>
                            <wps:bodyPr vertOverflow="clip" horzOverflow="clip" wrap="square" lIns="12700" tIns="0" rIns="0" bIns="0" rtlCol="0" anchor="ctr">
                              <a:noAutofit/>
                            </wps:bodyPr>
                          </wps:wsp>
                        </a:graphicData>
                      </a:graphic>
                      <wp14:sizeRelH relativeFrom="page">
                        <wp14:pctWidth>0</wp14:pctWidth>
                      </wp14:sizeRelH>
                      <wp14:sizeRelV relativeFrom="page">
                        <wp14:pctHeight>0</wp14:pctHeight>
                      </wp14:sizeRelV>
                    </wp:anchor>
                  </w:drawing>
                </mc:Choice>
                <mc:Fallback>
                  <w:pict>
                    <v:oval w14:anchorId="5C572345" id="Oval 194" o:spid="_x0000_s1042" style="position:absolute;margin-left:-2.2pt;margin-top:.4pt;width:21.5pt;height:20.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" fillcolor="red" strokecolor="white" strokeweight="3pt">
                      <v:stroke opacity="0" joinstyle="miter"/>
                      <v:textbox inset="1pt,0,0,0">
                        <w:txbxContent>
                          <w:p w14:paraId="773410B4"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v:textbox>
                    </v:oval>
                  </w:pict>
                </mc:Fallback>
              </mc:AlternateContent>
            </w:r>
          </w:p>
        </w:tc>
        <w:tc>
          <w:tcPr>
            <w:tcW w:w="738" w:type="dxa"/>
            <w:noWrap/>
            <w:vAlign w:val="center"/>
            <w:hideMark/>
          </w:tcPr>
          <w:p w14:paraId="091D9958"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4864" behindDoc="0" locked="0" layoutInCell="1" allowOverlap="1" wp14:anchorId="585925CB" wp14:editId="6F0BC711">
                      <wp:simplePos x="0" y="0"/>
                      <wp:positionH relativeFrom="column">
                        <wp:posOffset>8890</wp:posOffset>
                      </wp:positionH>
                      <wp:positionV relativeFrom="paragraph">
                        <wp:posOffset>0</wp:posOffset>
                      </wp:positionV>
                      <wp:extent cx="266700" cy="266700"/>
                      <wp:effectExtent l="0" t="0" r="12700" b="12700"/>
                      <wp:wrapNone/>
                      <wp:docPr id="1399277474" name="Oval 193">
                        <a:extLst xmlns:a="http://schemas.openxmlformats.org/drawingml/2006/main">
                          <a:ext uri="{FF2B5EF4-FFF2-40B4-BE49-F238E27FC236}">
                            <a16:creationId xmlns:a16="http://schemas.microsoft.com/office/drawing/2014/main" id="{AA0AB313-0EAD-2949-9EFD-786F63571BB7}"/>
                          </a:ext>
                        </a:extLst>
                      </wp:docPr>
                      <wp:cNvGraphicFramePr/>
                      <a:graphic xmlns:a="http://schemas.openxmlformats.org/drawingml/2006/main">
                        <a:graphicData uri="http://schemas.microsoft.com/office/word/2010/wordprocessingShape">
                          <wps:wsp>
                            <wps:cNvSpPr/>
                            <wps:spPr>
                              <a:xfrm>
                                <a:off x="0" y="0"/>
                                <a:ext cx="266700" cy="266700"/>
                              </a:xfrm>
                              <a:prstGeom prst="ellipse">
                                <a:avLst/>
                              </a:prstGeom>
                              <a:solidFill>
                                <a:srgbClr val="FF0000"/>
                              </a:solidFill>
                              <a:ln w="3175" cap="flat" cmpd="sng" algn="ctr">
                                <a:solidFill>
                                  <a:srgbClr val="000000"/>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5EC5A42C"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585925CB" id="Oval 193" o:spid="_x0000_s1043" style="position:absolute;margin-left:.7pt;margin-top:0;width:21pt;height:2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" fillcolor="red" strokeweight=".25pt">
                      <v:stroke joinstyle="miter"/>
                      <v:textbox inset="1pt,0,0,0">
                        <w:txbxContent>
                          <w:p w14:paraId="5EC5A42C"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v:textbox>
                    </v:oval>
                  </w:pict>
                </mc:Fallback>
              </mc:AlternateContent>
            </w:r>
          </w:p>
        </w:tc>
      </w:tr>
      <w:tr w:rsidR="0070218A" w:rsidRPr="00D5599B" w14:paraId="55887B9A" w14:textId="77777777" w:rsidTr="00F34C93">
        <w:trPr>
          <w:trHeight w:val="170"/>
        </w:trPr>
        <w:tc>
          <w:tcPr>
            <w:tcW w:w="704" w:type="dxa"/>
            <w:noWrap/>
            <w:vAlign w:val="center"/>
            <w:hideMark/>
          </w:tcPr>
          <w:p w14:paraId="72E5708B" w14:textId="77777777" w:rsidR="0070218A" w:rsidRPr="00D5599B" w:rsidRDefault="0070218A" w:rsidP="00F34C93">
            <w:pPr>
              <w:jc w:val="center"/>
              <w:rPr>
                <w:sz w:val="16"/>
                <w:szCs w:val="16"/>
              </w:rPr>
            </w:pPr>
            <w:r w:rsidRPr="00F422D2">
              <w:rPr>
                <w:b/>
                <w:bCs/>
                <w:sz w:val="14"/>
                <w:szCs w:val="14"/>
              </w:rPr>
              <w:t xml:space="preserve">Hawley </w:t>
            </w:r>
            <w:r w:rsidRPr="00BB250F">
              <w:rPr>
                <w:b/>
                <w:bCs/>
                <w:i/>
                <w:iCs/>
                <w:sz w:val="14"/>
                <w:szCs w:val="14"/>
              </w:rPr>
              <w:t>et</w:t>
            </w:r>
            <w:r w:rsidRPr="00F422D2">
              <w:rPr>
                <w:b/>
                <w:bCs/>
                <w:sz w:val="14"/>
                <w:szCs w:val="14"/>
              </w:rPr>
              <w:t xml:space="preserve"> al., 2020</w:t>
            </w:r>
          </w:p>
        </w:tc>
        <w:tc>
          <w:tcPr>
            <w:tcW w:w="1392" w:type="dxa"/>
            <w:vAlign w:val="center"/>
            <w:hideMark/>
          </w:tcPr>
          <w:p w14:paraId="671B7124" w14:textId="77777777" w:rsidR="0070218A" w:rsidRPr="00D5599B" w:rsidRDefault="0070218A" w:rsidP="00F34C93">
            <w:pPr>
              <w:rPr>
                <w:sz w:val="16"/>
                <w:szCs w:val="16"/>
              </w:rPr>
            </w:pPr>
            <w:r>
              <w:rPr>
                <w:sz w:val="16"/>
                <w:szCs w:val="16"/>
              </w:rPr>
              <w:t>R</w:t>
            </w:r>
            <w:r w:rsidRPr="00D5599B">
              <w:rPr>
                <w:sz w:val="16"/>
                <w:szCs w:val="16"/>
              </w:rPr>
              <w:t>ecibió Lidocaína en infusión subcutánea (SCLI)</w:t>
            </w:r>
          </w:p>
        </w:tc>
        <w:tc>
          <w:tcPr>
            <w:tcW w:w="1489" w:type="dxa"/>
            <w:vAlign w:val="center"/>
            <w:hideMark/>
          </w:tcPr>
          <w:p w14:paraId="22D05A9B" w14:textId="77777777" w:rsidR="0070218A" w:rsidRPr="00D5599B" w:rsidRDefault="0070218A" w:rsidP="00F34C93">
            <w:pPr>
              <w:rPr>
                <w:sz w:val="16"/>
                <w:szCs w:val="16"/>
              </w:rPr>
            </w:pPr>
            <w:r w:rsidRPr="00D5599B">
              <w:rPr>
                <w:sz w:val="16"/>
                <w:szCs w:val="16"/>
              </w:rPr>
              <w:t>Placebo (Solución Salina) en Infusión Subcutánea</w:t>
            </w:r>
          </w:p>
        </w:tc>
        <w:tc>
          <w:tcPr>
            <w:tcW w:w="1803" w:type="dxa"/>
            <w:vAlign w:val="center"/>
            <w:hideMark/>
          </w:tcPr>
          <w:p w14:paraId="2E30AEB2" w14:textId="77777777" w:rsidR="0070218A" w:rsidRPr="00D5599B" w:rsidRDefault="0070218A" w:rsidP="00F34C93">
            <w:pPr>
              <w:rPr>
                <w:sz w:val="16"/>
                <w:szCs w:val="16"/>
              </w:rPr>
            </w:pPr>
            <w:r w:rsidRPr="00D5599B">
              <w:rPr>
                <w:sz w:val="16"/>
                <w:szCs w:val="16"/>
              </w:rPr>
              <w:t>Respuesta a tratamiento binario (Reducción del dolor y reducción de opiodes)</w:t>
            </w:r>
          </w:p>
        </w:tc>
        <w:tc>
          <w:tcPr>
            <w:tcW w:w="725" w:type="dxa"/>
            <w:noWrap/>
            <w:vAlign w:val="center"/>
            <w:hideMark/>
          </w:tcPr>
          <w:p w14:paraId="1CAAB9F5" w14:textId="77777777" w:rsidR="0070218A" w:rsidRPr="00D5599B" w:rsidRDefault="0070218A" w:rsidP="00F34C93">
            <w:pPr>
              <w:jc w:val="center"/>
              <w:rPr>
                <w:sz w:val="16"/>
                <w:szCs w:val="16"/>
              </w:rPr>
            </w:pPr>
            <w:r w:rsidRPr="00D5599B">
              <w:rPr>
                <w:sz w:val="16"/>
                <w:szCs w:val="16"/>
              </w:rPr>
              <w:t>1</w:t>
            </w:r>
          </w:p>
        </w:tc>
        <w:tc>
          <w:tcPr>
            <w:tcW w:w="647" w:type="dxa"/>
            <w:noWrap/>
            <w:vAlign w:val="center"/>
            <w:hideMark/>
          </w:tcPr>
          <w:p w14:paraId="5CACB6EE"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2336" behindDoc="0" locked="0" layoutInCell="1" allowOverlap="1" wp14:anchorId="31E0CDB7" wp14:editId="1840A6BF">
                      <wp:simplePos x="0" y="0"/>
                      <wp:positionH relativeFrom="column">
                        <wp:posOffset>-17780</wp:posOffset>
                      </wp:positionH>
                      <wp:positionV relativeFrom="paragraph">
                        <wp:posOffset>-3810</wp:posOffset>
                      </wp:positionV>
                      <wp:extent cx="304800" cy="292100"/>
                      <wp:effectExtent l="12700" t="12700" r="25400" b="25400"/>
                      <wp:wrapNone/>
                      <wp:docPr id="634245931" name="Oval 192">
                        <a:extLst xmlns:a="http://schemas.openxmlformats.org/drawingml/2006/main">
                          <a:ext uri="{FF2B5EF4-FFF2-40B4-BE49-F238E27FC236}">
                            <a16:creationId xmlns:a16="http://schemas.microsoft.com/office/drawing/2014/main" id="{78A6AE0E-7BDB-FC41-A068-AFBBDF4CF232}"/>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05244BBB"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31E0CDB7" id="Oval 192" o:spid="_x0000_s1044" style="position:absolute;margin-left:-1.4pt;margin-top:-.3pt;width:24pt;height:2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" fillcolor="lime" strokecolor="white" strokeweight="3pt">
                      <v:stroke opacity="0" joinstyle="miter"/>
                      <v:textbox inset="1pt,0,0,0">
                        <w:txbxContent>
                          <w:p w14:paraId="05244BBB"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606" w:type="dxa"/>
            <w:noWrap/>
            <w:vAlign w:val="center"/>
            <w:hideMark/>
          </w:tcPr>
          <w:p w14:paraId="68F2BAE0"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7456" behindDoc="0" locked="0" layoutInCell="1" allowOverlap="1" wp14:anchorId="0349A8E2" wp14:editId="3BE0A21F">
                      <wp:simplePos x="0" y="0"/>
                      <wp:positionH relativeFrom="column">
                        <wp:posOffset>-29210</wp:posOffset>
                      </wp:positionH>
                      <wp:positionV relativeFrom="paragraph">
                        <wp:posOffset>-3810</wp:posOffset>
                      </wp:positionV>
                      <wp:extent cx="304800" cy="292100"/>
                      <wp:effectExtent l="12700" t="12700" r="25400" b="25400"/>
                      <wp:wrapNone/>
                      <wp:docPr id="843837437" name="Oval 191">
                        <a:extLst xmlns:a="http://schemas.openxmlformats.org/drawingml/2006/main">
                          <a:ext uri="{FF2B5EF4-FFF2-40B4-BE49-F238E27FC236}">
                            <a16:creationId xmlns:a16="http://schemas.microsoft.com/office/drawing/2014/main" id="{AC95F11F-07A9-B646-AB5A-9A0B77135EF7}"/>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4E83829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349A8E2" id="Oval 191" o:spid="_x0000_s1045" style="position:absolute;margin-left:-2.3pt;margin-top:-.3pt;width:24pt;height:2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" fillcolor="lime" strokecolor="white" strokeweight="3pt">
                      <v:stroke opacity="0" joinstyle="miter"/>
                      <v:textbox inset="1pt,0,0,0">
                        <w:txbxContent>
                          <w:p w14:paraId="4E838295"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42F80B3A"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1552" behindDoc="0" locked="0" layoutInCell="1" allowOverlap="1" wp14:anchorId="33B845B3" wp14:editId="3F56A49E">
                      <wp:simplePos x="0" y="0"/>
                      <wp:positionH relativeFrom="column">
                        <wp:posOffset>-41275</wp:posOffset>
                      </wp:positionH>
                      <wp:positionV relativeFrom="paragraph">
                        <wp:posOffset>-19685</wp:posOffset>
                      </wp:positionV>
                      <wp:extent cx="292100" cy="292100"/>
                      <wp:effectExtent l="12700" t="12700" r="25400" b="25400"/>
                      <wp:wrapNone/>
                      <wp:docPr id="186023822" name="Oval 190">
                        <a:extLst xmlns:a="http://schemas.openxmlformats.org/drawingml/2006/main">
                          <a:ext uri="{FF2B5EF4-FFF2-40B4-BE49-F238E27FC236}">
                            <a16:creationId xmlns:a16="http://schemas.microsoft.com/office/drawing/2014/main" id="{E140FE13-44A6-4546-A28E-571D78C4BD4F}"/>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B9FF2B8"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33B845B3" id="Oval 190" o:spid="_x0000_s1046" style="position:absolute;margin-left:-3.25pt;margin-top:-1.55pt;width:23pt;height:2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" fillcolor="lime" strokecolor="white" strokeweight="3pt">
                      <v:stroke opacity="0" joinstyle="miter"/>
                      <v:textbox inset="1pt,0,0,0">
                        <w:txbxContent>
                          <w:p w14:paraId="6B9FF2B8"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40D38078"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6672" behindDoc="0" locked="0" layoutInCell="1" allowOverlap="1" wp14:anchorId="79F60AE6" wp14:editId="6F0D2106">
                      <wp:simplePos x="0" y="0"/>
                      <wp:positionH relativeFrom="column">
                        <wp:posOffset>-35560</wp:posOffset>
                      </wp:positionH>
                      <wp:positionV relativeFrom="paragraph">
                        <wp:posOffset>-4445</wp:posOffset>
                      </wp:positionV>
                      <wp:extent cx="292100" cy="292100"/>
                      <wp:effectExtent l="12700" t="12700" r="25400" b="25400"/>
                      <wp:wrapNone/>
                      <wp:docPr id="591147102" name="Oval 189">
                        <a:extLst xmlns:a="http://schemas.openxmlformats.org/drawingml/2006/main">
                          <a:ext uri="{FF2B5EF4-FFF2-40B4-BE49-F238E27FC236}">
                            <a16:creationId xmlns:a16="http://schemas.microsoft.com/office/drawing/2014/main" id="{6C7045F6-5758-B84F-B8C0-E22926F3A3C1}"/>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1F0E92E0"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9F60AE6" id="Oval 189" o:spid="_x0000_s1047" style="position:absolute;margin-left:-2.8pt;margin-top:-.35pt;width:23pt;height:2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" fillcolor="lime" strokecolor="white" strokeweight="3pt">
                      <v:stroke opacity="0" joinstyle="miter"/>
                      <v:textbox inset="1pt,0,0,0">
                        <w:txbxContent>
                          <w:p w14:paraId="1F0E92E0"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0CF4519D"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1792" behindDoc="0" locked="0" layoutInCell="1" allowOverlap="1" wp14:anchorId="65B8CC9A" wp14:editId="7D8E1FA9">
                      <wp:simplePos x="0" y="0"/>
                      <wp:positionH relativeFrom="column">
                        <wp:posOffset>-57785</wp:posOffset>
                      </wp:positionH>
                      <wp:positionV relativeFrom="paragraph">
                        <wp:posOffset>-9525</wp:posOffset>
                      </wp:positionV>
                      <wp:extent cx="304800" cy="292100"/>
                      <wp:effectExtent l="12700" t="12700" r="25400" b="25400"/>
                      <wp:wrapNone/>
                      <wp:docPr id="124893458" name="Oval 188">
                        <a:extLst xmlns:a="http://schemas.openxmlformats.org/drawingml/2006/main">
                          <a:ext uri="{FF2B5EF4-FFF2-40B4-BE49-F238E27FC236}">
                            <a16:creationId xmlns:a16="http://schemas.microsoft.com/office/drawing/2014/main" id="{CA0F19BD-BA0C-E941-878C-BCB1A0A3ED3B}"/>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DA4B7F7"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65B8CC9A" id="Oval 188" o:spid="_x0000_s1048" style="position:absolute;margin-left:-4.55pt;margin-top:-.75pt;width:24pt;height:2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" fillcolor="lime" strokecolor="white" strokeweight="3pt">
                      <v:stroke opacity="0" joinstyle="miter"/>
                      <v:textbox inset="1pt,0,0,0">
                        <w:txbxContent>
                          <w:p w14:paraId="6DA4B7F7"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738" w:type="dxa"/>
            <w:noWrap/>
            <w:vAlign w:val="center"/>
            <w:hideMark/>
          </w:tcPr>
          <w:p w14:paraId="13EBBB98"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5888" behindDoc="0" locked="0" layoutInCell="1" allowOverlap="1" wp14:anchorId="50618FED" wp14:editId="49DB68EA">
                      <wp:simplePos x="0" y="0"/>
                      <wp:positionH relativeFrom="column">
                        <wp:posOffset>24130</wp:posOffset>
                      </wp:positionH>
                      <wp:positionV relativeFrom="paragraph">
                        <wp:posOffset>-1270</wp:posOffset>
                      </wp:positionV>
                      <wp:extent cx="266700" cy="266700"/>
                      <wp:effectExtent l="0" t="0" r="12700" b="12700"/>
                      <wp:wrapNone/>
                      <wp:docPr id="1615624482" name="Oval 187">
                        <a:extLst xmlns:a="http://schemas.openxmlformats.org/drawingml/2006/main">
                          <a:ext uri="{FF2B5EF4-FFF2-40B4-BE49-F238E27FC236}">
                            <a16:creationId xmlns:a16="http://schemas.microsoft.com/office/drawing/2014/main" id="{FF5C3032-C79F-134A-A0D9-D043B13ED87E}"/>
                          </a:ext>
                        </a:extLst>
                      </wp:docPr>
                      <wp:cNvGraphicFramePr/>
                      <a:graphic xmlns:a="http://schemas.openxmlformats.org/drawingml/2006/main">
                        <a:graphicData uri="http://schemas.microsoft.com/office/word/2010/wordprocessingShape">
                          <wps:wsp>
                            <wps:cNvSpPr/>
                            <wps:spPr>
                              <a:xfrm>
                                <a:off x="0" y="0"/>
                                <a:ext cx="266700" cy="266700"/>
                              </a:xfrm>
                              <a:prstGeom prst="ellipse">
                                <a:avLst/>
                              </a:prstGeom>
                              <a:solidFill>
                                <a:srgbClr val="00FF00"/>
                              </a:solidFill>
                              <a:ln w="3175" cap="flat" cmpd="sng" algn="ctr">
                                <a:solidFill>
                                  <a:srgbClr val="000000"/>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2131401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50618FED" id="Oval 187" o:spid="_x0000_s1049" style="position:absolute;margin-left:1.9pt;margin-top:-.1pt;width:21pt;height:2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" fillcolor="lime" strokeweight=".25pt">
                      <v:stroke joinstyle="miter"/>
                      <v:textbox inset="1pt,0,0,0">
                        <w:txbxContent>
                          <w:p w14:paraId="2131401C"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r>
      <w:tr w:rsidR="0070218A" w:rsidRPr="00D5599B" w14:paraId="50F0A390" w14:textId="77777777" w:rsidTr="00F34C93">
        <w:trPr>
          <w:trHeight w:val="170"/>
        </w:trPr>
        <w:tc>
          <w:tcPr>
            <w:tcW w:w="704" w:type="dxa"/>
            <w:noWrap/>
            <w:vAlign w:val="center"/>
            <w:hideMark/>
          </w:tcPr>
          <w:p w14:paraId="6FFAA46D" w14:textId="77777777" w:rsidR="0070218A" w:rsidRPr="00D5599B" w:rsidRDefault="0070218A" w:rsidP="00F34C93">
            <w:pPr>
              <w:jc w:val="center"/>
              <w:rPr>
                <w:sz w:val="16"/>
                <w:szCs w:val="16"/>
              </w:rPr>
            </w:pPr>
            <w:r w:rsidRPr="00F422D2">
              <w:rPr>
                <w:b/>
                <w:bCs/>
                <w:sz w:val="14"/>
                <w:szCs w:val="14"/>
              </w:rPr>
              <w:t xml:space="preserve">Ellemann </w:t>
            </w:r>
            <w:r w:rsidRPr="00BB250F">
              <w:rPr>
                <w:b/>
                <w:bCs/>
                <w:i/>
                <w:iCs/>
                <w:sz w:val="14"/>
                <w:szCs w:val="14"/>
              </w:rPr>
              <w:t>et</w:t>
            </w:r>
            <w:r w:rsidRPr="00F422D2">
              <w:rPr>
                <w:b/>
                <w:bCs/>
                <w:sz w:val="14"/>
                <w:szCs w:val="14"/>
              </w:rPr>
              <w:t xml:space="preserve"> al., 1989</w:t>
            </w:r>
          </w:p>
        </w:tc>
        <w:tc>
          <w:tcPr>
            <w:tcW w:w="1392" w:type="dxa"/>
            <w:vAlign w:val="center"/>
            <w:hideMark/>
          </w:tcPr>
          <w:p w14:paraId="7D82CF7F" w14:textId="77777777" w:rsidR="0070218A" w:rsidRPr="00D5599B" w:rsidRDefault="0070218A" w:rsidP="00F34C93">
            <w:pPr>
              <w:rPr>
                <w:sz w:val="16"/>
                <w:szCs w:val="16"/>
              </w:rPr>
            </w:pPr>
            <w:r w:rsidRPr="00D5599B">
              <w:rPr>
                <w:sz w:val="16"/>
                <w:szCs w:val="16"/>
              </w:rPr>
              <w:t>El que recibió el fármaco activo (lidocaína intravenosa)</w:t>
            </w:r>
          </w:p>
        </w:tc>
        <w:tc>
          <w:tcPr>
            <w:tcW w:w="1489" w:type="dxa"/>
            <w:vAlign w:val="center"/>
            <w:hideMark/>
          </w:tcPr>
          <w:p w14:paraId="1E5F3C8A" w14:textId="77777777" w:rsidR="0070218A" w:rsidRPr="00D5599B" w:rsidRDefault="0070218A" w:rsidP="00F34C93">
            <w:pPr>
              <w:rPr>
                <w:sz w:val="16"/>
                <w:szCs w:val="16"/>
              </w:rPr>
            </w:pPr>
            <w:r w:rsidRPr="00D5599B">
              <w:rPr>
                <w:sz w:val="16"/>
                <w:szCs w:val="16"/>
              </w:rPr>
              <w:t>Placebo</w:t>
            </w:r>
          </w:p>
        </w:tc>
        <w:tc>
          <w:tcPr>
            <w:tcW w:w="1803" w:type="dxa"/>
            <w:vAlign w:val="center"/>
            <w:hideMark/>
          </w:tcPr>
          <w:p w14:paraId="46A24848" w14:textId="77777777" w:rsidR="0070218A" w:rsidRPr="00D5599B" w:rsidRDefault="0070218A" w:rsidP="00F34C93">
            <w:pPr>
              <w:rPr>
                <w:sz w:val="16"/>
                <w:szCs w:val="16"/>
              </w:rPr>
            </w:pPr>
            <w:r w:rsidRPr="00D5599B">
              <w:rPr>
                <w:sz w:val="16"/>
                <w:szCs w:val="16"/>
              </w:rPr>
              <w:t>evaluación de la eficacia analgésica de la lidocaína intravenosa en el dolor neuropático por cáncer</w:t>
            </w:r>
          </w:p>
        </w:tc>
        <w:tc>
          <w:tcPr>
            <w:tcW w:w="725" w:type="dxa"/>
            <w:noWrap/>
            <w:vAlign w:val="center"/>
            <w:hideMark/>
          </w:tcPr>
          <w:p w14:paraId="5ABBDD4D" w14:textId="77777777" w:rsidR="0070218A" w:rsidRPr="00D5599B" w:rsidRDefault="0070218A" w:rsidP="00F34C93">
            <w:pPr>
              <w:jc w:val="center"/>
              <w:rPr>
                <w:sz w:val="16"/>
                <w:szCs w:val="16"/>
              </w:rPr>
            </w:pPr>
            <w:r w:rsidRPr="00D5599B">
              <w:rPr>
                <w:sz w:val="16"/>
                <w:szCs w:val="16"/>
              </w:rPr>
              <w:t>1</w:t>
            </w:r>
          </w:p>
        </w:tc>
        <w:tc>
          <w:tcPr>
            <w:tcW w:w="647" w:type="dxa"/>
            <w:noWrap/>
            <w:vAlign w:val="center"/>
            <w:hideMark/>
          </w:tcPr>
          <w:p w14:paraId="7425C96E"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3360" behindDoc="0" locked="0" layoutInCell="1" allowOverlap="1" wp14:anchorId="0154AF7B" wp14:editId="28DCA653">
                      <wp:simplePos x="0" y="0"/>
                      <wp:positionH relativeFrom="column">
                        <wp:posOffset>-7620</wp:posOffset>
                      </wp:positionH>
                      <wp:positionV relativeFrom="paragraph">
                        <wp:posOffset>22860</wp:posOffset>
                      </wp:positionV>
                      <wp:extent cx="304800" cy="292100"/>
                      <wp:effectExtent l="12700" t="12700" r="25400" b="25400"/>
                      <wp:wrapNone/>
                      <wp:docPr id="921084989" name="Oval 186">
                        <a:extLst xmlns:a="http://schemas.openxmlformats.org/drawingml/2006/main">
                          <a:ext uri="{FF2B5EF4-FFF2-40B4-BE49-F238E27FC236}">
                            <a16:creationId xmlns:a16="http://schemas.microsoft.com/office/drawing/2014/main" id="{F5E5FAB5-7FB0-1C47-8016-6789735EFA03}"/>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2256D34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154AF7B" id="Oval 186" o:spid="_x0000_s1050" style="position:absolute;margin-left:-.6pt;margin-top:1.8pt;width:24pt;height: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" fillcolor="lime" strokecolor="white" strokeweight="3pt">
                      <v:stroke opacity="0" joinstyle="miter"/>
                      <v:textbox inset="1pt,0,0,0">
                        <w:txbxContent>
                          <w:p w14:paraId="2256D342"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606" w:type="dxa"/>
            <w:noWrap/>
            <w:vAlign w:val="center"/>
            <w:hideMark/>
          </w:tcPr>
          <w:p w14:paraId="68AD87D4"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68480" behindDoc="0" locked="0" layoutInCell="1" allowOverlap="1" wp14:anchorId="33E5912D" wp14:editId="08FF3438">
                      <wp:simplePos x="0" y="0"/>
                      <wp:positionH relativeFrom="column">
                        <wp:posOffset>-29210</wp:posOffset>
                      </wp:positionH>
                      <wp:positionV relativeFrom="paragraph">
                        <wp:posOffset>18415</wp:posOffset>
                      </wp:positionV>
                      <wp:extent cx="304800" cy="292100"/>
                      <wp:effectExtent l="12700" t="12700" r="25400" b="25400"/>
                      <wp:wrapNone/>
                      <wp:docPr id="385023951" name="Oval 185">
                        <a:extLst xmlns:a="http://schemas.openxmlformats.org/drawingml/2006/main">
                          <a:ext uri="{FF2B5EF4-FFF2-40B4-BE49-F238E27FC236}">
                            <a16:creationId xmlns:a16="http://schemas.microsoft.com/office/drawing/2014/main" id="{912643F2-35B5-3046-87C7-3DCBEF4380B9}"/>
                          </a:ext>
                        </a:extLst>
                      </wp:docPr>
                      <wp:cNvGraphicFramePr/>
                      <a:graphic xmlns:a="http://schemas.openxmlformats.org/drawingml/2006/main">
                        <a:graphicData uri="http://schemas.microsoft.com/office/word/2010/wordprocessingShape">
                          <wps:wsp>
                            <wps:cNvSpPr/>
                            <wps:spPr>
                              <a:xfrm>
                                <a:off x="0" y="0"/>
                                <a:ext cx="249936" cy="249936"/>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4BB52289"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33E5912D" id="Oval 185" o:spid="_x0000_s1051" style="position:absolute;margin-left:-2.3pt;margin-top:1.45pt;width:24pt;height:2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" fillcolor="lime" strokecolor="white" strokeweight="3pt">
                      <v:stroke opacity="0" joinstyle="miter"/>
                      <v:textbox inset="1pt,0,0,0">
                        <w:txbxContent>
                          <w:p w14:paraId="4BB52289"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6440CE6B"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2576" behindDoc="0" locked="0" layoutInCell="1" allowOverlap="1" wp14:anchorId="41830167" wp14:editId="59D99F53">
                      <wp:simplePos x="0" y="0"/>
                      <wp:positionH relativeFrom="column">
                        <wp:posOffset>-40640</wp:posOffset>
                      </wp:positionH>
                      <wp:positionV relativeFrom="paragraph">
                        <wp:posOffset>23495</wp:posOffset>
                      </wp:positionV>
                      <wp:extent cx="292100" cy="292100"/>
                      <wp:effectExtent l="12700" t="12700" r="25400" b="25400"/>
                      <wp:wrapNone/>
                      <wp:docPr id="18744756" name="Oval 184">
                        <a:extLst xmlns:a="http://schemas.openxmlformats.org/drawingml/2006/main">
                          <a:ext uri="{FF2B5EF4-FFF2-40B4-BE49-F238E27FC236}">
                            <a16:creationId xmlns:a16="http://schemas.microsoft.com/office/drawing/2014/main" id="{29A74793-DC1D-B842-BE4C-CAE75B1AE05D}"/>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7202381A"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41830167" id="Oval 184" o:spid="_x0000_s1052" style="position:absolute;margin-left:-3.2pt;margin-top:1.85pt;width:23pt;height:2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" fillcolor="lime" strokecolor="white" strokeweight="3pt">
                      <v:stroke opacity="0" joinstyle="miter"/>
                      <v:textbox inset="1pt,0,0,0">
                        <w:txbxContent>
                          <w:p w14:paraId="7202381A"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253BC91F"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77696" behindDoc="0" locked="0" layoutInCell="1" allowOverlap="1" wp14:anchorId="0CC21FA7" wp14:editId="0E44FDBF">
                      <wp:simplePos x="0" y="0"/>
                      <wp:positionH relativeFrom="column">
                        <wp:posOffset>-35560</wp:posOffset>
                      </wp:positionH>
                      <wp:positionV relativeFrom="paragraph">
                        <wp:posOffset>23495</wp:posOffset>
                      </wp:positionV>
                      <wp:extent cx="292100" cy="292100"/>
                      <wp:effectExtent l="12700" t="12700" r="25400" b="25400"/>
                      <wp:wrapNone/>
                      <wp:docPr id="1602542418" name="Oval 183">
                        <a:extLst xmlns:a="http://schemas.openxmlformats.org/drawingml/2006/main">
                          <a:ext uri="{FF2B5EF4-FFF2-40B4-BE49-F238E27FC236}">
                            <a16:creationId xmlns:a16="http://schemas.microsoft.com/office/drawing/2014/main" id="{A16196BD-D60E-5345-952A-E7BDF0C253F4}"/>
                          </a:ext>
                        </a:extLst>
                      </wp:docPr>
                      <wp:cNvGraphicFramePr/>
                      <a:graphic xmlns:a="http://schemas.openxmlformats.org/drawingml/2006/main">
                        <a:graphicData uri="http://schemas.microsoft.com/office/word/2010/wordprocessingShape">
                          <wps:wsp>
                            <wps:cNvSpPr/>
                            <wps:spPr>
                              <a:xfrm>
                                <a:off x="0" y="0"/>
                                <a:ext cx="292100" cy="292100"/>
                              </a:xfrm>
                              <a:prstGeom prst="ellipse">
                                <a:avLst/>
                              </a:prstGeom>
                              <a:solidFill>
                                <a:srgbClr val="00FF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0C761C6"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CC21FA7" id="Oval 183" o:spid="_x0000_s1053" style="position:absolute;margin-left:-2.8pt;margin-top:1.85pt;width:23pt;height:2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" fillcolor="lime" strokecolor="white" strokeweight="3pt">
                      <v:stroke opacity="0" joinstyle="miter"/>
                      <v:textbox inset="1pt,0,0,0">
                        <w:txbxContent>
                          <w:p w14:paraId="60C761C6" w14:textId="77777777" w:rsidR="0070218A" w:rsidRDefault="0070218A" w:rsidP="0070218A">
                            <w:pPr>
                              <w:jc w:val="center"/>
                              <w:rPr>
                                <w:rFonts w:hAnsi="Aptos"/>
                                <w:b/>
                                <w:bCs/>
                                <w:color w:val="000000"/>
                                <w:kern w:val="0"/>
                                <w:lang w:val="es-CO"/>
                                <w14:ligatures w14:val="none"/>
                              </w:rPr>
                            </w:pPr>
                            <w:r>
                              <w:rPr>
                                <w:rFonts w:hAnsi="Aptos"/>
                                <w:b/>
                                <w:bCs/>
                                <w:color w:val="000000"/>
                                <w:lang w:val="es-CO"/>
                              </w:rPr>
                              <w:t>+</w:t>
                            </w:r>
                          </w:p>
                        </w:txbxContent>
                      </v:textbox>
                    </v:oval>
                  </w:pict>
                </mc:Fallback>
              </mc:AlternateContent>
            </w:r>
          </w:p>
        </w:tc>
        <w:tc>
          <w:tcPr>
            <w:tcW w:w="567" w:type="dxa"/>
            <w:noWrap/>
            <w:vAlign w:val="center"/>
            <w:hideMark/>
          </w:tcPr>
          <w:p w14:paraId="019F7379"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2816" behindDoc="0" locked="0" layoutInCell="1" allowOverlap="1" wp14:anchorId="07C74515" wp14:editId="02B1EF0E">
                      <wp:simplePos x="0" y="0"/>
                      <wp:positionH relativeFrom="column">
                        <wp:posOffset>-42545</wp:posOffset>
                      </wp:positionH>
                      <wp:positionV relativeFrom="paragraph">
                        <wp:posOffset>17145</wp:posOffset>
                      </wp:positionV>
                      <wp:extent cx="304800" cy="292100"/>
                      <wp:effectExtent l="12700" t="12700" r="25400" b="25400"/>
                      <wp:wrapNone/>
                      <wp:docPr id="1223875272" name="Oval 182">
                        <a:extLst xmlns:a="http://schemas.openxmlformats.org/drawingml/2006/main">
                          <a:ext uri="{FF2B5EF4-FFF2-40B4-BE49-F238E27FC236}">
                            <a16:creationId xmlns:a16="http://schemas.microsoft.com/office/drawing/2014/main" id="{A4F3E03A-FF01-3840-B687-AD84310272CC}"/>
                          </a:ext>
                        </a:extLst>
                      </wp:docPr>
                      <wp:cNvGraphicFramePr/>
                      <a:graphic xmlns:a="http://schemas.openxmlformats.org/drawingml/2006/main">
                        <a:graphicData uri="http://schemas.microsoft.com/office/word/2010/wordprocessingShape">
                          <wps:wsp>
                            <wps:cNvSpPr/>
                            <wps:spPr>
                              <a:xfrm>
                                <a:off x="0" y="0"/>
                                <a:ext cx="304800" cy="292100"/>
                              </a:xfrm>
                              <a:prstGeom prst="ellipse">
                                <a:avLst/>
                              </a:prstGeom>
                              <a:solidFill>
                                <a:srgbClr val="FF0000"/>
                              </a:solidFill>
                              <a:ln w="38100" cap="flat" cmpd="sng" algn="ctr">
                                <a:solidFill>
                                  <a:srgbClr val="FFFFFF">
                                    <a:alpha val="0"/>
                                  </a:srgbClr>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5BDB3F30"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07C74515" id="Oval 182" o:spid="_x0000_s1054" style="position:absolute;margin-left:-3.35pt;margin-top:1.35pt;width:24pt;height:2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" fillcolor="red" strokecolor="white" strokeweight="3pt">
                      <v:stroke opacity="0" joinstyle="miter"/>
                      <v:textbox inset="1pt,0,0,0">
                        <w:txbxContent>
                          <w:p w14:paraId="5BDB3F30"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v:textbox>
                    </v:oval>
                  </w:pict>
                </mc:Fallback>
              </mc:AlternateContent>
            </w:r>
          </w:p>
        </w:tc>
        <w:tc>
          <w:tcPr>
            <w:tcW w:w="738" w:type="dxa"/>
            <w:noWrap/>
            <w:vAlign w:val="center"/>
            <w:hideMark/>
          </w:tcPr>
          <w:p w14:paraId="5D1D87D3" w14:textId="77777777" w:rsidR="0070218A" w:rsidRPr="00D5599B" w:rsidRDefault="0070218A" w:rsidP="00F34C93">
            <w:pPr>
              <w:rPr>
                <w:sz w:val="16"/>
                <w:szCs w:val="16"/>
              </w:rPr>
            </w:pPr>
            <w:r w:rsidRPr="00D5599B">
              <w:rPr>
                <w:noProof/>
                <w:sz w:val="16"/>
                <w:szCs w:val="16"/>
              </w:rPr>
              <mc:AlternateContent>
                <mc:Choice Requires="wps">
                  <w:drawing>
                    <wp:anchor distT="0" distB="0" distL="114300" distR="114300" simplePos="0" relativeHeight="251686912" behindDoc="0" locked="0" layoutInCell="1" allowOverlap="1" wp14:anchorId="7F2C96F1" wp14:editId="6CA797DB">
                      <wp:simplePos x="0" y="0"/>
                      <wp:positionH relativeFrom="column">
                        <wp:posOffset>33655</wp:posOffset>
                      </wp:positionH>
                      <wp:positionV relativeFrom="paragraph">
                        <wp:posOffset>-6350</wp:posOffset>
                      </wp:positionV>
                      <wp:extent cx="266700" cy="266700"/>
                      <wp:effectExtent l="0" t="0" r="12700" b="12700"/>
                      <wp:wrapNone/>
                      <wp:docPr id="1279459835" name="Oval 181">
                        <a:extLst xmlns:a="http://schemas.openxmlformats.org/drawingml/2006/main">
                          <a:ext uri="{FF2B5EF4-FFF2-40B4-BE49-F238E27FC236}">
                            <a16:creationId xmlns:a16="http://schemas.microsoft.com/office/drawing/2014/main" id="{E2C8FF84-C4C5-8747-8A62-70887B1BFD3F}"/>
                          </a:ext>
                        </a:extLst>
                      </wp:docPr>
                      <wp:cNvGraphicFramePr/>
                      <a:graphic xmlns:a="http://schemas.openxmlformats.org/drawingml/2006/main">
                        <a:graphicData uri="http://schemas.microsoft.com/office/word/2010/wordprocessingShape">
                          <wps:wsp>
                            <wps:cNvSpPr/>
                            <wps:spPr>
                              <a:xfrm>
                                <a:off x="0" y="0"/>
                                <a:ext cx="266700" cy="266700"/>
                              </a:xfrm>
                              <a:prstGeom prst="ellipse">
                                <a:avLst/>
                              </a:prstGeom>
                              <a:solidFill>
                                <a:srgbClr val="FF0000"/>
                              </a:solidFill>
                              <a:ln w="3175" cap="flat" cmpd="sng" algn="ctr">
                                <a:solidFill>
                                  <a:srgbClr val="000000"/>
                                </a:solidFill>
                                <a:prstDash val="solid"/>
                                <a:miter lim="800000"/>
                                <a:headEnd type="none" w="med" len="med"/>
                                <a:tailEnd type="none" w="med" len="med"/>
                              </a:ln>
                            </wps:spPr>
                            <wps:style>
                              <a:lnRef idx="2">
                                <a:schemeClr val="accent1">
                                  <a:shade val="15000"/>
                                </a:schemeClr>
                              </a:lnRef>
                              <a:fillRef idx="1">
                                <a:schemeClr val="accent1"/>
                              </a:fillRef>
                              <a:effectRef idx="0">
                                <a:schemeClr val="accent1"/>
                              </a:effectRef>
                              <a:fontRef idx="minor">
                                <a:schemeClr val="lt1"/>
                              </a:fontRef>
                            </wps:style>
                            <wps:txbx>
                              <w:txbxContent>
                                <w:p w14:paraId="6B0D2FEB"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wps:txbx>
                            <wps:bodyPr vertOverflow="clip" horzOverflow="clip" lIns="12700" tIns="0" rIns="0" bIns="0" rtlCol="0" anchor="ctr"/>
                          </wps:wsp>
                        </a:graphicData>
                      </a:graphic>
                      <wp14:sizeRelH relativeFrom="page">
                        <wp14:pctWidth>0</wp14:pctWidth>
                      </wp14:sizeRelH>
                      <wp14:sizeRelV relativeFrom="page">
                        <wp14:pctHeight>0</wp14:pctHeight>
                      </wp14:sizeRelV>
                    </wp:anchor>
                  </w:drawing>
                </mc:Choice>
                <mc:Fallback>
                  <w:pict>
                    <v:oval w14:anchorId="7F2C96F1" id="Oval 181" o:spid="_x0000_s1055" style="position:absolute;margin-left:2.65pt;margin-top:-.5pt;width:21pt;height:2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" fillcolor="red" strokeweight=".25pt">
                      <v:stroke joinstyle="miter"/>
                      <v:textbox inset="1pt,0,0,0">
                        <w:txbxContent>
                          <w:p w14:paraId="6B0D2FEB" w14:textId="77777777" w:rsidR="0070218A" w:rsidRDefault="0070218A" w:rsidP="0070218A">
                            <w:pPr>
                              <w:jc w:val="center"/>
                              <w:rPr>
                                <w:rFonts w:hAnsi="Aptos"/>
                                <w:b/>
                                <w:bCs/>
                                <w:color w:val="000000"/>
                                <w:kern w:val="0"/>
                                <w:sz w:val="28"/>
                                <w:szCs w:val="28"/>
                                <w:lang w:val="es-CO"/>
                                <w14:ligatures w14:val="none"/>
                              </w:rPr>
                            </w:pPr>
                            <w:r>
                              <w:rPr>
                                <w:rFonts w:hAnsi="Aptos"/>
                                <w:b/>
                                <w:bCs/>
                                <w:color w:val="000000"/>
                                <w:sz w:val="28"/>
                                <w:szCs w:val="28"/>
                                <w:lang w:val="es-CO"/>
                              </w:rPr>
                              <w:t>-</w:t>
                            </w:r>
                          </w:p>
                        </w:txbxContent>
                      </v:textbox>
                    </v:oval>
                  </w:pict>
                </mc:Fallback>
              </mc:AlternateContent>
            </w:r>
          </w:p>
        </w:tc>
      </w:tr>
    </w:tbl>
    <w:p w14:paraId="6432A638" w14:textId="34A9BB6C" w:rsidR="0070218A" w:rsidRPr="0070218A" w:rsidRDefault="0070218A" w:rsidP="0070218A">
      <w:pPr>
        <w:rPr>
          <w:i/>
          <w:iCs/>
          <w:sz w:val="20"/>
          <w:szCs w:val="20"/>
        </w:rPr>
      </w:pPr>
      <w:r w:rsidRPr="0070218A">
        <w:rPr>
          <w:i/>
          <w:iCs/>
          <w:sz w:val="20"/>
          <w:szCs w:val="20"/>
        </w:rPr>
        <w:t>La evaluación del riesgo de sesgo se realizó utilizando la herramienta Cochrane Risk of Bias 2 (RoB 2) para ensayos clínicos aleatorizados</w:t>
      </w:r>
      <w:r w:rsidRPr="0070218A">
        <w:rPr>
          <w:i/>
          <w:iCs/>
          <w:sz w:val="20"/>
          <w:szCs w:val="20"/>
        </w:rPr>
        <w:fldChar w:fldCharType="begin"/>
      </w:r>
      <w:r w:rsidRPr="0070218A">
        <w:rPr>
          <w:i/>
          <w:iCs/>
          <w:sz w:val="20"/>
          <w:szCs w:val="20"/>
        </w:rPr>
        <w:instrText xml:space="preserve"> ADDIN ZOTERO_ITEM CSL_CITATION {"citationID":"XpchUJrp","properties":{"formattedCitation":"(21)","plainCitation":"(21)","noteIndex":0},"citationItems":[{"id":133,"uris":["http://zotero.org/users/12518303/items/EWY7LHUS"],"itemData":{"id":133,"type":"article-journal","container-title":"BMJ","DOI":"10.1136/bmj.l4898","ISSN":"0959-8138, 1756-1833","journalAbbreviation":"BMJ","language":"en","page":"l4898","source":"DOI.org (Crossref)","title":"RoB 2: a revised tool for assessing risk of bias in randomised trials","title-short":"RoB 2","author":[{"family":"Sterne","given":"Jonathan A C"},{"family":"Savović","given":"Jelena"},{"family":"Page","given":"Matthew J"},{"family":"Elbers","given":"Roy G"},{"family":"Blencowe","given":"Natalie S"},{"family":"Boutron","given":"Isabelle"},{"family":"Cates","given":"Christopher J"},{"family":"Cheng","given":"Hung-Yuan"},{"family":"Corbett","given":"Mark S"},{"family":"Eldridge","given":"Sandra M"},{"family":"Emberson","given":"Jonathan R"},{"family":"Hernán","given":"Miguel A"},{"family":"Hopewell","given":"Sally"},{"family":"Hróbjartsson","given":"Asbjørn"},{"family":"Junqueira","given":"Daniela R"},{"family":"Jüni","given":"Peter"},{"family":"Kirkham","given":"Jamie J"},{"family":"Lasserson","given":"Toby"},{"family":"Li","given":"Tianjing"},{"family":"McAleenan","given":"Alexandra"},{"family":"Reeves","given":"Barnaby C"},{"family":"Shepperd","given":"Sasha"},{"family":"Shrier","given":"Ian"},{"family":"Stewart","given":"Lesley A"},{"family":"Tilling","given":"Kate"},{"family":"White","given":"Ian R"},{"family":"Whiting","given":"Penny F"},{"family":"Higgins","given":"Julian P T"}],"issued":{"date-parts":[["2019",8,28]]}}}],"schema":"https://github.com/citation-style-language/schema/raw/master/csl-citation.json"} </w:instrText>
      </w:r>
      <w:r w:rsidRPr="0070218A">
        <w:rPr>
          <w:i/>
          <w:iCs/>
          <w:sz w:val="20"/>
          <w:szCs w:val="20"/>
        </w:rPr>
        <w:fldChar w:fldCharType="separate"/>
      </w:r>
      <w:r w:rsidRPr="0070218A">
        <w:rPr>
          <w:i/>
          <w:iCs/>
          <w:noProof/>
          <w:sz w:val="20"/>
          <w:szCs w:val="20"/>
        </w:rPr>
        <w:t>(21)</w:t>
      </w:r>
      <w:r w:rsidRPr="0070218A">
        <w:rPr>
          <w:i/>
          <w:iCs/>
          <w:sz w:val="20"/>
          <w:szCs w:val="20"/>
        </w:rPr>
        <w:fldChar w:fldCharType="end"/>
      </w:r>
      <w:r w:rsidRPr="0070218A">
        <w:rPr>
          <w:i/>
          <w:iCs/>
          <w:sz w:val="20"/>
          <w:szCs w:val="20"/>
        </w:rPr>
        <w:t xml:space="preserve">. Los dominios evaluados fueron: D1: generación de la secuencia aleatoria, D2: desviaciones de la intervención, D3: datos faltantes , D4: medición del desenlace D5: reporte selectivo. El juicio para cada dominio se clasificó como: “+”: bajo riesgo,“-”: alto riesgo, “!”: algunas preocupaciones. </w:t>
      </w:r>
    </w:p>
    <w:p w14:paraId="061F9D1F" w14:textId="77777777" w:rsidR="0070218A" w:rsidRPr="0070218A" w:rsidRDefault="0070218A" w:rsidP="0070218A">
      <w:pPr>
        <w:rPr>
          <w:i/>
          <w:iCs/>
          <w:sz w:val="20"/>
          <w:szCs w:val="20"/>
        </w:rPr>
      </w:pPr>
      <w:r w:rsidRPr="0070218A">
        <w:rPr>
          <w:i/>
          <w:iCs/>
          <w:sz w:val="20"/>
          <w:szCs w:val="20"/>
        </w:rPr>
        <w:t>Abreviaturas: IV, intravenosa; SC, subcutánea; SCLI, lidocaína en infusión subcutánea; ECA, ensayo clínico aleatorizado.</w:t>
      </w:r>
    </w:p>
    <w:p w14:paraId="05DB5B86" w14:textId="77777777" w:rsidR="0070218A" w:rsidRPr="0070218A" w:rsidRDefault="0070218A" w:rsidP="0070218A">
      <w:pPr>
        <w:rPr>
          <w:i/>
          <w:iCs/>
          <w:sz w:val="20"/>
          <w:szCs w:val="20"/>
        </w:rPr>
      </w:pPr>
      <w:r w:rsidRPr="0070218A">
        <w:rPr>
          <w:i/>
          <w:iCs/>
          <w:sz w:val="20"/>
          <w:szCs w:val="20"/>
        </w:rPr>
        <w:t>Fuente: Elaboración propia a partir de los estudios incluidos.</w:t>
      </w:r>
    </w:p>
    <w:p w14:paraId="14FC81E9" w14:textId="77777777" w:rsidR="0070218A" w:rsidRDefault="0070218A" w:rsidP="00670245">
      <w:pPr>
        <w:tabs>
          <w:tab w:val="left" w:pos="4820"/>
        </w:tabs>
        <w:spacing w:line="360" w:lineRule="auto"/>
        <w:jc w:val="both"/>
        <w:rPr>
          <w:rFonts w:ascii="Times New Roman" w:hAnsi="Times New Roman" w:cs="Times New Roman"/>
          <w:color w:val="000000" w:themeColor="text1"/>
        </w:rPr>
      </w:pPr>
    </w:p>
    <w:p w14:paraId="404933A0" w14:textId="18CE489F" w:rsidR="003B4E48" w:rsidRDefault="003B4E48" w:rsidP="00670245">
      <w:pPr>
        <w:tabs>
          <w:tab w:val="left" w:pos="4820"/>
        </w:tabs>
        <w:spacing w:line="360" w:lineRule="auto"/>
        <w:jc w:val="both"/>
        <w:rPr>
          <w:rFonts w:ascii="Times New Roman" w:hAnsi="Times New Roman" w:cs="Times New Roman"/>
          <w:color w:val="000000" w:themeColor="text1"/>
        </w:rPr>
      </w:pPr>
      <w:r w:rsidRPr="003B4E48">
        <w:rPr>
          <w:rFonts w:ascii="Times New Roman" w:hAnsi="Times New Roman" w:cs="Times New Roman"/>
          <w:color w:val="000000" w:themeColor="text1"/>
        </w:rPr>
        <w:lastRenderedPageBreak/>
        <w:t>La certeza de la evidencia se redujo principalmente debido a limitaciones metodológicas, reflejadas en el riesgo de sesgo global alto o con algunas preocupaciones en la mayoría de los estudios, así como por imprecisión, relacionada con el tamaño muestral reducido y la variabilidad en los estimadores del efecto. Por estas razones, la certeza de la evidencia para los desenlaces críticos fue calificada como moderada a baja.</w:t>
      </w:r>
    </w:p>
    <w:p w14:paraId="6BA43813" w14:textId="16082B43" w:rsidR="0070218A" w:rsidRDefault="0070218A" w:rsidP="00670245">
      <w:pPr>
        <w:tabs>
          <w:tab w:val="left" w:pos="4820"/>
        </w:tabs>
        <w:spacing w:line="360" w:lineRule="auto"/>
        <w:jc w:val="both"/>
        <w:rPr>
          <w:rFonts w:ascii="Times New Roman" w:hAnsi="Times New Roman" w:cs="Times New Roman"/>
          <w:color w:val="000000" w:themeColor="text1"/>
        </w:rPr>
      </w:pPr>
      <w:r w:rsidRPr="0070218A">
        <w:rPr>
          <w:rFonts w:ascii="Times New Roman" w:hAnsi="Times New Roman" w:cs="Times New Roman"/>
          <w:color w:val="000000" w:themeColor="text1"/>
        </w:rPr>
        <w:t xml:space="preserve">La </w:t>
      </w:r>
      <w:r>
        <w:rPr>
          <w:rFonts w:ascii="Times New Roman" w:hAnsi="Times New Roman" w:cs="Times New Roman"/>
          <w:color w:val="000000" w:themeColor="text1"/>
        </w:rPr>
        <w:t>(</w:t>
      </w:r>
      <w:r w:rsidRPr="0070218A">
        <w:rPr>
          <w:rFonts w:ascii="Times New Roman" w:hAnsi="Times New Roman" w:cs="Times New Roman"/>
          <w:b/>
          <w:bCs/>
          <w:color w:val="000000" w:themeColor="text1"/>
        </w:rPr>
        <w:t>Tabla 3</w:t>
      </w:r>
      <w:r>
        <w:rPr>
          <w:rFonts w:ascii="Times New Roman" w:hAnsi="Times New Roman" w:cs="Times New Roman"/>
          <w:color w:val="000000" w:themeColor="text1"/>
        </w:rPr>
        <w:t xml:space="preserve">) </w:t>
      </w:r>
      <w:r w:rsidRPr="0070218A">
        <w:rPr>
          <w:rFonts w:ascii="Times New Roman" w:hAnsi="Times New Roman" w:cs="Times New Roman"/>
          <w:color w:val="000000" w:themeColor="text1"/>
        </w:rPr>
        <w:t>presenta el resumen de hallazgos (Summary of Findings) y la certeza de la evidencia evaluada mediante el enfoque GRADE para los desenlaces clínicamente relevantes</w:t>
      </w:r>
      <w:r>
        <w:rPr>
          <w:rFonts w:ascii="Times New Roman" w:hAnsi="Times New Roman" w:cs="Times New Roman"/>
          <w:color w:val="000000" w:themeColor="text1"/>
        </w:rPr>
        <w:t>.</w:t>
      </w:r>
    </w:p>
    <w:p w14:paraId="16BD35D2" w14:textId="77777777" w:rsidR="0070218A" w:rsidRDefault="0070218A" w:rsidP="00670245">
      <w:pPr>
        <w:tabs>
          <w:tab w:val="left" w:pos="4820"/>
        </w:tabs>
        <w:spacing w:line="360" w:lineRule="auto"/>
        <w:jc w:val="both"/>
        <w:rPr>
          <w:rFonts w:ascii="Times New Roman" w:hAnsi="Times New Roman" w:cs="Times New Roman"/>
          <w:color w:val="000000" w:themeColor="text1"/>
        </w:rPr>
      </w:pPr>
    </w:p>
    <w:p w14:paraId="3B3AAA5A" w14:textId="77777777" w:rsidR="0070218A" w:rsidRPr="004C2394" w:rsidRDefault="0070218A" w:rsidP="0070218A">
      <w:r w:rsidRPr="004C2394">
        <w:rPr>
          <w:b/>
          <w:bCs/>
        </w:rPr>
        <w:t>Tabla 3. Resumen de hallazgos (Summary of Findings, SoF) y certeza de la evidencia (GRADE) sobre lidocaína sistémica en dolor oncológico refractario</w:t>
      </w:r>
    </w:p>
    <w:p w14:paraId="54A619A8" w14:textId="77777777" w:rsidR="0070218A" w:rsidRDefault="0070218A" w:rsidP="0070218A"/>
    <w:tbl>
      <w:tblPr>
        <w:tblStyle w:val="TableGrid"/>
        <w:tblW w:w="0" w:type="auto"/>
        <w:tblLook w:val="04A0" w:firstRow="1" w:lastRow="0" w:firstColumn="1" w:lastColumn="0" w:noHBand="0" w:noVBand="1"/>
      </w:tblPr>
      <w:tblGrid>
        <w:gridCol w:w="1712"/>
        <w:gridCol w:w="1357"/>
        <w:gridCol w:w="3202"/>
        <w:gridCol w:w="819"/>
        <w:gridCol w:w="2260"/>
      </w:tblGrid>
      <w:tr w:rsidR="0070218A" w:rsidRPr="00BD31B2" w14:paraId="43CFFC60" w14:textId="77777777" w:rsidTr="00F34C93">
        <w:tc>
          <w:tcPr>
            <w:tcW w:w="0" w:type="auto"/>
            <w:hideMark/>
          </w:tcPr>
          <w:p w14:paraId="03332F81" w14:textId="77777777" w:rsidR="0070218A" w:rsidRPr="00BD31B2" w:rsidRDefault="0070218A" w:rsidP="00F34C93">
            <w:pPr>
              <w:spacing w:after="160" w:line="278" w:lineRule="auto"/>
              <w:rPr>
                <w:b/>
                <w:bCs/>
                <w:sz w:val="16"/>
                <w:szCs w:val="16"/>
              </w:rPr>
            </w:pPr>
            <w:r w:rsidRPr="00BD31B2">
              <w:rPr>
                <w:b/>
                <w:bCs/>
                <w:sz w:val="16"/>
                <w:szCs w:val="16"/>
              </w:rPr>
              <w:t>Desenlace (población)</w:t>
            </w:r>
          </w:p>
        </w:tc>
        <w:tc>
          <w:tcPr>
            <w:tcW w:w="1357" w:type="dxa"/>
            <w:hideMark/>
          </w:tcPr>
          <w:p w14:paraId="5DB229CC" w14:textId="77777777" w:rsidR="0070218A" w:rsidRPr="00BD31B2" w:rsidRDefault="0070218A" w:rsidP="00F34C93">
            <w:pPr>
              <w:spacing w:after="160" w:line="278" w:lineRule="auto"/>
              <w:rPr>
                <w:b/>
                <w:bCs/>
                <w:sz w:val="16"/>
                <w:szCs w:val="16"/>
              </w:rPr>
            </w:pPr>
            <w:r w:rsidRPr="00BD31B2">
              <w:rPr>
                <w:b/>
                <w:bCs/>
                <w:sz w:val="16"/>
                <w:szCs w:val="16"/>
              </w:rPr>
              <w:t>Nº estudios (N)</w:t>
            </w:r>
          </w:p>
        </w:tc>
        <w:tc>
          <w:tcPr>
            <w:tcW w:w="3202" w:type="dxa"/>
            <w:hideMark/>
          </w:tcPr>
          <w:p w14:paraId="16FA7153" w14:textId="77777777" w:rsidR="0070218A" w:rsidRPr="00BD31B2" w:rsidRDefault="0070218A" w:rsidP="00F34C93">
            <w:pPr>
              <w:spacing w:after="160" w:line="278" w:lineRule="auto"/>
              <w:rPr>
                <w:b/>
                <w:bCs/>
                <w:sz w:val="16"/>
                <w:szCs w:val="16"/>
              </w:rPr>
            </w:pPr>
            <w:r w:rsidRPr="00BD31B2">
              <w:rPr>
                <w:b/>
                <w:bCs/>
                <w:sz w:val="16"/>
                <w:szCs w:val="16"/>
              </w:rPr>
              <w:t>Efecto estimado / Resultados clave</w:t>
            </w:r>
          </w:p>
        </w:tc>
        <w:tc>
          <w:tcPr>
            <w:tcW w:w="0" w:type="auto"/>
            <w:hideMark/>
          </w:tcPr>
          <w:p w14:paraId="20DA2B16" w14:textId="77777777" w:rsidR="0070218A" w:rsidRPr="00BD31B2" w:rsidRDefault="0070218A" w:rsidP="00F34C93">
            <w:pPr>
              <w:spacing w:after="160" w:line="278" w:lineRule="auto"/>
              <w:rPr>
                <w:b/>
                <w:bCs/>
                <w:sz w:val="16"/>
                <w:szCs w:val="16"/>
              </w:rPr>
            </w:pPr>
            <w:r w:rsidRPr="00BD31B2">
              <w:rPr>
                <w:b/>
                <w:bCs/>
                <w:sz w:val="16"/>
                <w:szCs w:val="16"/>
              </w:rPr>
              <w:t>Certeza GRADE</w:t>
            </w:r>
          </w:p>
        </w:tc>
        <w:tc>
          <w:tcPr>
            <w:tcW w:w="0" w:type="auto"/>
            <w:hideMark/>
          </w:tcPr>
          <w:p w14:paraId="6CB3ABBA" w14:textId="77777777" w:rsidR="0070218A" w:rsidRPr="00BD31B2" w:rsidRDefault="0070218A" w:rsidP="00F34C93">
            <w:pPr>
              <w:spacing w:after="160" w:line="278" w:lineRule="auto"/>
              <w:rPr>
                <w:b/>
                <w:bCs/>
                <w:sz w:val="16"/>
                <w:szCs w:val="16"/>
              </w:rPr>
            </w:pPr>
            <w:r w:rsidRPr="00BD31B2">
              <w:rPr>
                <w:b/>
                <w:bCs/>
                <w:sz w:val="16"/>
                <w:szCs w:val="16"/>
              </w:rPr>
              <w:t>Razones para calificación</w:t>
            </w:r>
          </w:p>
        </w:tc>
      </w:tr>
      <w:tr w:rsidR="0070218A" w:rsidRPr="00BD31B2" w14:paraId="54D0078B" w14:textId="77777777" w:rsidTr="00F34C93">
        <w:tc>
          <w:tcPr>
            <w:tcW w:w="0" w:type="auto"/>
            <w:hideMark/>
          </w:tcPr>
          <w:p w14:paraId="1D11C7D1" w14:textId="77777777" w:rsidR="0070218A" w:rsidRPr="00BD31B2" w:rsidRDefault="0070218A" w:rsidP="00F34C93">
            <w:pPr>
              <w:spacing w:after="160" w:line="278" w:lineRule="auto"/>
              <w:rPr>
                <w:sz w:val="16"/>
                <w:szCs w:val="16"/>
              </w:rPr>
            </w:pPr>
            <w:r w:rsidRPr="00BD31B2">
              <w:rPr>
                <w:sz w:val="16"/>
                <w:szCs w:val="16"/>
              </w:rPr>
              <w:t>Analgesia clínicamente relevante (p. ej., ↓EVA ≥2/10, o diferencia vs. placebo)</w:t>
            </w:r>
          </w:p>
        </w:tc>
        <w:tc>
          <w:tcPr>
            <w:tcW w:w="1357" w:type="dxa"/>
            <w:hideMark/>
          </w:tcPr>
          <w:p w14:paraId="4E2B67B4" w14:textId="77777777" w:rsidR="0070218A" w:rsidRPr="00BD31B2" w:rsidRDefault="0070218A" w:rsidP="00F34C93">
            <w:pPr>
              <w:spacing w:after="160" w:line="278" w:lineRule="auto"/>
              <w:rPr>
                <w:sz w:val="16"/>
                <w:szCs w:val="16"/>
              </w:rPr>
            </w:pPr>
            <w:r w:rsidRPr="00BD31B2">
              <w:rPr>
                <w:sz w:val="16"/>
                <w:szCs w:val="16"/>
              </w:rPr>
              <w:t>5 ECA (N</w:t>
            </w:r>
            <w:r w:rsidRPr="009D5BDA">
              <w:rPr>
                <w:sz w:val="16"/>
                <w:szCs w:val="16"/>
              </w:rPr>
              <w:t>=</w:t>
            </w:r>
            <w:r w:rsidRPr="00BD31B2">
              <w:rPr>
                <w:sz w:val="16"/>
                <w:szCs w:val="16"/>
              </w:rPr>
              <w:t>1</w:t>
            </w:r>
            <w:r w:rsidRPr="009D5BDA">
              <w:rPr>
                <w:sz w:val="16"/>
                <w:szCs w:val="16"/>
              </w:rPr>
              <w:t>09</w:t>
            </w:r>
            <w:r w:rsidRPr="00BD31B2">
              <w:rPr>
                <w:sz w:val="16"/>
                <w:szCs w:val="16"/>
              </w:rPr>
              <w:t>)</w:t>
            </w:r>
          </w:p>
        </w:tc>
        <w:tc>
          <w:tcPr>
            <w:tcW w:w="3202" w:type="dxa"/>
            <w:hideMark/>
          </w:tcPr>
          <w:p w14:paraId="723648DE" w14:textId="77777777" w:rsidR="0070218A" w:rsidRPr="00BD31B2" w:rsidRDefault="0070218A" w:rsidP="00F34C93">
            <w:pPr>
              <w:spacing w:after="160" w:line="278" w:lineRule="auto"/>
              <w:rPr>
                <w:sz w:val="16"/>
                <w:szCs w:val="16"/>
              </w:rPr>
            </w:pPr>
            <w:r w:rsidRPr="00B46D5F">
              <w:rPr>
                <w:sz w:val="16"/>
                <w:szCs w:val="16"/>
              </w:rPr>
              <w:t xml:space="preserve">Sin superioridad frente a placebo en Ellemann </w:t>
            </w:r>
            <w:r w:rsidRPr="00B46D5F">
              <w:rPr>
                <w:i/>
                <w:iCs/>
                <w:sz w:val="16"/>
                <w:szCs w:val="16"/>
              </w:rPr>
              <w:t>et</w:t>
            </w:r>
            <w:r w:rsidRPr="00B46D5F">
              <w:rPr>
                <w:sz w:val="16"/>
                <w:szCs w:val="16"/>
              </w:rPr>
              <w:t xml:space="preserve"> al., 1989 y Bruera </w:t>
            </w:r>
            <w:r w:rsidRPr="00B46D5F">
              <w:rPr>
                <w:i/>
                <w:iCs/>
                <w:sz w:val="16"/>
                <w:szCs w:val="16"/>
              </w:rPr>
              <w:t xml:space="preserve">et </w:t>
            </w:r>
            <w:r w:rsidRPr="00B46D5F">
              <w:rPr>
                <w:sz w:val="16"/>
                <w:szCs w:val="16"/>
              </w:rPr>
              <w:t>al., 1992</w:t>
            </w:r>
            <w:r w:rsidRPr="00BD31B2">
              <w:rPr>
                <w:sz w:val="16"/>
                <w:szCs w:val="16"/>
              </w:rPr>
              <w:t xml:space="preserve"> (VAS sin diferencias vs. placebo) . Positivo en </w:t>
            </w:r>
            <w:r w:rsidRPr="00B46D5F">
              <w:rPr>
                <w:sz w:val="16"/>
                <w:szCs w:val="16"/>
              </w:rPr>
              <w:t xml:space="preserve">Sharma </w:t>
            </w:r>
            <w:r w:rsidRPr="00B46D5F">
              <w:rPr>
                <w:i/>
                <w:iCs/>
                <w:sz w:val="16"/>
                <w:szCs w:val="16"/>
              </w:rPr>
              <w:t xml:space="preserve">et </w:t>
            </w:r>
            <w:r w:rsidRPr="00B46D5F">
              <w:rPr>
                <w:sz w:val="16"/>
                <w:szCs w:val="16"/>
              </w:rPr>
              <w:t>al., 2009:</w:t>
            </w:r>
            <w:r w:rsidRPr="00BD31B2">
              <w:rPr>
                <w:sz w:val="16"/>
                <w:szCs w:val="16"/>
              </w:rPr>
              <w:t xml:space="preserve"> analgesia significativamente mayor vs. placebo; respondedores y magnitud superiores (p&lt;0.001) . Comparable a activo </w:t>
            </w:r>
            <w:r w:rsidRPr="00B46D5F">
              <w:rPr>
                <w:sz w:val="16"/>
                <w:szCs w:val="16"/>
              </w:rPr>
              <w:t xml:space="preserve">en Carrillo </w:t>
            </w:r>
            <w:r w:rsidRPr="00B46D5F">
              <w:rPr>
                <w:i/>
                <w:iCs/>
                <w:sz w:val="16"/>
                <w:szCs w:val="16"/>
              </w:rPr>
              <w:t xml:space="preserve">et </w:t>
            </w:r>
            <w:r w:rsidRPr="00B46D5F">
              <w:rPr>
                <w:sz w:val="16"/>
                <w:szCs w:val="16"/>
              </w:rPr>
              <w:t>al., 2015: lidocaína vs. dexmedet</w:t>
            </w:r>
            <w:r w:rsidRPr="00BD31B2">
              <w:rPr>
                <w:sz w:val="16"/>
                <w:szCs w:val="16"/>
              </w:rPr>
              <w:t xml:space="preserve">omidina, EVA similar; más rescates con lidocaína (p&lt;0.001) . Negativo en </w:t>
            </w:r>
            <w:r w:rsidRPr="00B46D5F">
              <w:rPr>
                <w:sz w:val="16"/>
                <w:szCs w:val="16"/>
              </w:rPr>
              <w:t xml:space="preserve">Hawley </w:t>
            </w:r>
            <w:r w:rsidRPr="00B46D5F">
              <w:rPr>
                <w:i/>
                <w:iCs/>
                <w:sz w:val="16"/>
                <w:szCs w:val="16"/>
              </w:rPr>
              <w:t>et</w:t>
            </w:r>
            <w:r w:rsidRPr="00B46D5F">
              <w:rPr>
                <w:sz w:val="16"/>
                <w:szCs w:val="16"/>
              </w:rPr>
              <w:t xml:space="preserve"> al., 2020</w:t>
            </w:r>
            <w:r w:rsidRPr="00BD31B2">
              <w:rPr>
                <w:sz w:val="16"/>
                <w:szCs w:val="16"/>
              </w:rPr>
              <w:t xml:space="preserve"> (SC): sólo 2/25 respondieron; sin beneficio global vs. placebo .</w:t>
            </w:r>
          </w:p>
        </w:tc>
        <w:tc>
          <w:tcPr>
            <w:tcW w:w="0" w:type="auto"/>
            <w:hideMark/>
          </w:tcPr>
          <w:p w14:paraId="27965CBE" w14:textId="77777777" w:rsidR="0070218A" w:rsidRPr="00BD31B2" w:rsidRDefault="0070218A" w:rsidP="00F34C93">
            <w:pPr>
              <w:spacing w:after="160" w:line="278" w:lineRule="auto"/>
              <w:rPr>
                <w:sz w:val="16"/>
                <w:szCs w:val="16"/>
              </w:rPr>
            </w:pPr>
            <w:r w:rsidRPr="00BD31B2">
              <w:rPr>
                <w:sz w:val="16"/>
                <w:szCs w:val="16"/>
              </w:rPr>
              <w:t>Baja</w:t>
            </w:r>
          </w:p>
        </w:tc>
        <w:tc>
          <w:tcPr>
            <w:tcW w:w="0" w:type="auto"/>
            <w:hideMark/>
          </w:tcPr>
          <w:p w14:paraId="4E70B4AC" w14:textId="77777777" w:rsidR="0070218A" w:rsidRPr="00BD31B2" w:rsidRDefault="0070218A" w:rsidP="00F34C93">
            <w:pPr>
              <w:spacing w:after="160" w:line="278" w:lineRule="auto"/>
              <w:rPr>
                <w:sz w:val="16"/>
                <w:szCs w:val="16"/>
              </w:rPr>
            </w:pPr>
            <w:r w:rsidRPr="00014992">
              <w:rPr>
                <w:b/>
                <w:bCs/>
                <w:sz w:val="16"/>
                <w:szCs w:val="16"/>
              </w:rPr>
              <w:t>Certeza baja debido a:</w:t>
            </w:r>
            <w:r w:rsidRPr="00014992">
              <w:rPr>
                <w:sz w:val="16"/>
                <w:szCs w:val="16"/>
              </w:rPr>
              <w:br/>
              <w:t>(1) riesgo de sesgo en dos ensayos con deficiencias metodológicas;</w:t>
            </w:r>
            <w:r w:rsidRPr="00014992">
              <w:rPr>
                <w:sz w:val="16"/>
                <w:szCs w:val="16"/>
              </w:rPr>
              <w:br/>
              <w:t>(2) resultados inconsistentes entre los estudios, con algunos ensayos que muestran beneficio analgésico y otros sin superioridad frente a placebo o comparador activo;</w:t>
            </w:r>
            <w:r w:rsidRPr="00014992">
              <w:rPr>
                <w:sz w:val="16"/>
                <w:szCs w:val="16"/>
              </w:rPr>
              <w:br/>
              <w:t>(3) imprecisión por tamaños muestrales pequeños.</w:t>
            </w:r>
          </w:p>
        </w:tc>
      </w:tr>
      <w:tr w:rsidR="0070218A" w:rsidRPr="00BD31B2" w14:paraId="07422AFF" w14:textId="77777777" w:rsidTr="00F34C93">
        <w:tc>
          <w:tcPr>
            <w:tcW w:w="0" w:type="auto"/>
            <w:hideMark/>
          </w:tcPr>
          <w:p w14:paraId="4BBE5043" w14:textId="77777777" w:rsidR="0070218A" w:rsidRPr="00BD31B2" w:rsidRDefault="0070218A" w:rsidP="00F34C93">
            <w:pPr>
              <w:spacing w:after="160" w:line="278" w:lineRule="auto"/>
              <w:rPr>
                <w:sz w:val="16"/>
                <w:szCs w:val="16"/>
              </w:rPr>
            </w:pPr>
            <w:r w:rsidRPr="00BD31B2">
              <w:rPr>
                <w:sz w:val="16"/>
                <w:szCs w:val="16"/>
              </w:rPr>
              <w:t>Duración de analgesia</w:t>
            </w:r>
          </w:p>
        </w:tc>
        <w:tc>
          <w:tcPr>
            <w:tcW w:w="1357" w:type="dxa"/>
            <w:hideMark/>
          </w:tcPr>
          <w:p w14:paraId="5F1A0257" w14:textId="77777777" w:rsidR="0070218A" w:rsidRPr="00BD31B2" w:rsidRDefault="0070218A" w:rsidP="00F34C93">
            <w:pPr>
              <w:spacing w:after="160" w:line="278" w:lineRule="auto"/>
              <w:rPr>
                <w:sz w:val="16"/>
                <w:szCs w:val="16"/>
              </w:rPr>
            </w:pPr>
            <w:r w:rsidRPr="00BD31B2">
              <w:rPr>
                <w:sz w:val="16"/>
                <w:szCs w:val="16"/>
              </w:rPr>
              <w:t>2 ECA (2009, 2015)</w:t>
            </w:r>
          </w:p>
        </w:tc>
        <w:tc>
          <w:tcPr>
            <w:tcW w:w="3202" w:type="dxa"/>
            <w:hideMark/>
          </w:tcPr>
          <w:p w14:paraId="03D8A1F2" w14:textId="77777777" w:rsidR="0070218A" w:rsidRPr="00BD31B2" w:rsidRDefault="0070218A" w:rsidP="00F34C93">
            <w:pPr>
              <w:spacing w:after="160" w:line="278" w:lineRule="auto"/>
              <w:rPr>
                <w:sz w:val="16"/>
                <w:szCs w:val="16"/>
              </w:rPr>
            </w:pPr>
            <w:r w:rsidRPr="00B46D5F">
              <w:rPr>
                <w:sz w:val="16"/>
                <w:szCs w:val="16"/>
              </w:rPr>
              <w:t xml:space="preserve">Sharma </w:t>
            </w:r>
            <w:r w:rsidRPr="00B46D5F">
              <w:rPr>
                <w:i/>
                <w:iCs/>
                <w:sz w:val="16"/>
                <w:szCs w:val="16"/>
              </w:rPr>
              <w:t xml:space="preserve">et </w:t>
            </w:r>
            <w:r w:rsidRPr="00B46D5F">
              <w:rPr>
                <w:sz w:val="16"/>
                <w:szCs w:val="16"/>
              </w:rPr>
              <w:t xml:space="preserve">al., </w:t>
            </w:r>
            <w:r w:rsidRPr="00BD31B2">
              <w:rPr>
                <w:sz w:val="16"/>
                <w:szCs w:val="16"/>
              </w:rPr>
              <w:t xml:space="preserve">2009: duración media 9.34 ± 2.58 días postinfusión única vs. placebo (p&lt;0.01) . </w:t>
            </w:r>
            <w:r w:rsidRPr="00B46D5F">
              <w:rPr>
                <w:sz w:val="16"/>
                <w:szCs w:val="16"/>
              </w:rPr>
              <w:t xml:space="preserve">Carrillo </w:t>
            </w:r>
            <w:r w:rsidRPr="00B46D5F">
              <w:rPr>
                <w:i/>
                <w:iCs/>
                <w:sz w:val="16"/>
                <w:szCs w:val="16"/>
              </w:rPr>
              <w:t xml:space="preserve">et </w:t>
            </w:r>
            <w:r w:rsidRPr="00B46D5F">
              <w:rPr>
                <w:sz w:val="16"/>
                <w:szCs w:val="16"/>
              </w:rPr>
              <w:t xml:space="preserve">al., </w:t>
            </w:r>
            <w:r w:rsidRPr="00BD31B2">
              <w:rPr>
                <w:sz w:val="16"/>
                <w:szCs w:val="16"/>
              </w:rPr>
              <w:t xml:space="preserve">2015: </w:t>
            </w:r>
            <w:r w:rsidRPr="009D5BDA">
              <w:rPr>
                <w:sz w:val="16"/>
                <w:szCs w:val="16"/>
              </w:rPr>
              <w:t>EVA sin diferencias; rescates en 48 h mayores con lidocaína</w:t>
            </w:r>
            <w:r>
              <w:rPr>
                <w:sz w:val="16"/>
                <w:szCs w:val="16"/>
              </w:rPr>
              <w:t xml:space="preserve">. </w:t>
            </w:r>
          </w:p>
        </w:tc>
        <w:tc>
          <w:tcPr>
            <w:tcW w:w="0" w:type="auto"/>
            <w:hideMark/>
          </w:tcPr>
          <w:p w14:paraId="28C96854" w14:textId="77777777" w:rsidR="0070218A" w:rsidRPr="00BD31B2" w:rsidRDefault="0070218A" w:rsidP="00F34C93">
            <w:pPr>
              <w:spacing w:after="160" w:line="278" w:lineRule="auto"/>
              <w:rPr>
                <w:sz w:val="16"/>
                <w:szCs w:val="16"/>
              </w:rPr>
            </w:pPr>
            <w:r w:rsidRPr="00BD31B2">
              <w:rPr>
                <w:sz w:val="16"/>
                <w:szCs w:val="16"/>
              </w:rPr>
              <w:t>Baja</w:t>
            </w:r>
          </w:p>
        </w:tc>
        <w:tc>
          <w:tcPr>
            <w:tcW w:w="0" w:type="auto"/>
            <w:hideMark/>
          </w:tcPr>
          <w:p w14:paraId="51B426D2" w14:textId="77777777" w:rsidR="0070218A" w:rsidRPr="00BD31B2" w:rsidRDefault="0070218A" w:rsidP="00F34C93">
            <w:pPr>
              <w:spacing w:after="160" w:line="278" w:lineRule="auto"/>
              <w:rPr>
                <w:sz w:val="16"/>
                <w:szCs w:val="16"/>
              </w:rPr>
            </w:pPr>
            <w:r w:rsidRPr="00014992">
              <w:rPr>
                <w:b/>
                <w:bCs/>
                <w:sz w:val="16"/>
                <w:szCs w:val="16"/>
              </w:rPr>
              <w:t>Certeza baja debido a:</w:t>
            </w:r>
            <w:r w:rsidRPr="00014992">
              <w:rPr>
                <w:sz w:val="16"/>
                <w:szCs w:val="16"/>
              </w:rPr>
              <w:br/>
              <w:t>(1) evidencia proveniente de pocos estudios;</w:t>
            </w:r>
            <w:r w:rsidRPr="00014992">
              <w:rPr>
                <w:sz w:val="16"/>
                <w:szCs w:val="16"/>
              </w:rPr>
              <w:br/>
              <w:t>(2) diferencias importantes en la forma y el tiempo de evaluación de la duración del efecto;</w:t>
            </w:r>
            <w:r w:rsidRPr="00014992">
              <w:rPr>
                <w:sz w:val="16"/>
                <w:szCs w:val="16"/>
              </w:rPr>
              <w:br/>
              <w:t>(3) imprecisión asociada a tamaños muestrales pequeños.</w:t>
            </w:r>
          </w:p>
        </w:tc>
      </w:tr>
      <w:tr w:rsidR="0070218A" w:rsidRPr="00BD31B2" w14:paraId="3D8F3BC1" w14:textId="77777777" w:rsidTr="00F34C93">
        <w:tc>
          <w:tcPr>
            <w:tcW w:w="0" w:type="auto"/>
            <w:hideMark/>
          </w:tcPr>
          <w:p w14:paraId="107830E9" w14:textId="77777777" w:rsidR="0070218A" w:rsidRPr="00BD31B2" w:rsidRDefault="0070218A" w:rsidP="00F34C93">
            <w:pPr>
              <w:spacing w:after="160" w:line="278" w:lineRule="auto"/>
              <w:rPr>
                <w:sz w:val="16"/>
                <w:szCs w:val="16"/>
              </w:rPr>
            </w:pPr>
            <w:r w:rsidRPr="00BD31B2">
              <w:rPr>
                <w:sz w:val="16"/>
                <w:szCs w:val="16"/>
              </w:rPr>
              <w:t>Necesidad de rescates/opioides</w:t>
            </w:r>
          </w:p>
        </w:tc>
        <w:tc>
          <w:tcPr>
            <w:tcW w:w="1357" w:type="dxa"/>
            <w:hideMark/>
          </w:tcPr>
          <w:p w14:paraId="6DF91DED" w14:textId="77777777" w:rsidR="0070218A" w:rsidRPr="00BD31B2" w:rsidRDefault="0070218A" w:rsidP="00F34C93">
            <w:pPr>
              <w:spacing w:after="160" w:line="278" w:lineRule="auto"/>
              <w:rPr>
                <w:sz w:val="16"/>
                <w:szCs w:val="16"/>
              </w:rPr>
            </w:pPr>
            <w:r w:rsidRPr="00BD31B2">
              <w:rPr>
                <w:sz w:val="16"/>
                <w:szCs w:val="16"/>
              </w:rPr>
              <w:t>3 ECA (1992, 2015, 2020)</w:t>
            </w:r>
          </w:p>
        </w:tc>
        <w:tc>
          <w:tcPr>
            <w:tcW w:w="3202" w:type="dxa"/>
            <w:hideMark/>
          </w:tcPr>
          <w:p w14:paraId="08FE11A6" w14:textId="77777777" w:rsidR="0070218A" w:rsidRPr="00BD31B2" w:rsidRDefault="0070218A" w:rsidP="00F34C93">
            <w:pPr>
              <w:spacing w:after="160" w:line="278" w:lineRule="auto"/>
              <w:rPr>
                <w:sz w:val="16"/>
                <w:szCs w:val="16"/>
              </w:rPr>
            </w:pPr>
            <w:r w:rsidRPr="00B46D5F">
              <w:rPr>
                <w:sz w:val="16"/>
                <w:szCs w:val="16"/>
              </w:rPr>
              <w:t xml:space="preserve">Bruera </w:t>
            </w:r>
            <w:r w:rsidRPr="00B46D5F">
              <w:rPr>
                <w:i/>
                <w:iCs/>
                <w:sz w:val="16"/>
                <w:szCs w:val="16"/>
              </w:rPr>
              <w:t xml:space="preserve">et </w:t>
            </w:r>
            <w:r w:rsidRPr="00B46D5F">
              <w:rPr>
                <w:sz w:val="16"/>
                <w:szCs w:val="16"/>
              </w:rPr>
              <w:t>al.,</w:t>
            </w:r>
            <w:r>
              <w:rPr>
                <w:sz w:val="16"/>
                <w:szCs w:val="16"/>
              </w:rPr>
              <w:t xml:space="preserve"> </w:t>
            </w:r>
            <w:r w:rsidRPr="00BD31B2">
              <w:rPr>
                <w:sz w:val="16"/>
                <w:szCs w:val="16"/>
              </w:rPr>
              <w:t xml:space="preserve">1992: sin diferencias en rescates (3±2 vs. 3±2) . </w:t>
            </w:r>
            <w:r w:rsidRPr="00B46D5F">
              <w:rPr>
                <w:sz w:val="16"/>
                <w:szCs w:val="16"/>
              </w:rPr>
              <w:t xml:space="preserve">Carrillo </w:t>
            </w:r>
            <w:r w:rsidRPr="00B46D5F">
              <w:rPr>
                <w:i/>
                <w:iCs/>
                <w:sz w:val="16"/>
                <w:szCs w:val="16"/>
              </w:rPr>
              <w:t xml:space="preserve">et </w:t>
            </w:r>
            <w:r w:rsidRPr="00B46D5F">
              <w:rPr>
                <w:sz w:val="16"/>
                <w:szCs w:val="16"/>
              </w:rPr>
              <w:t xml:space="preserve">al., </w:t>
            </w:r>
            <w:r w:rsidRPr="00BD31B2">
              <w:rPr>
                <w:sz w:val="16"/>
                <w:szCs w:val="16"/>
              </w:rPr>
              <w:t xml:space="preserve">2015: menos rescates con dexmedetomidina que con lidocaína (p&lt;0.001). </w:t>
            </w:r>
            <w:r w:rsidRPr="00B46D5F">
              <w:rPr>
                <w:sz w:val="16"/>
                <w:szCs w:val="16"/>
              </w:rPr>
              <w:t xml:space="preserve">Hawley </w:t>
            </w:r>
            <w:r w:rsidRPr="00B46D5F">
              <w:rPr>
                <w:i/>
                <w:iCs/>
                <w:sz w:val="16"/>
                <w:szCs w:val="16"/>
              </w:rPr>
              <w:t>et</w:t>
            </w:r>
            <w:r w:rsidRPr="00B46D5F">
              <w:rPr>
                <w:sz w:val="16"/>
                <w:szCs w:val="16"/>
              </w:rPr>
              <w:t xml:space="preserve"> al., 2020</w:t>
            </w:r>
            <w:r w:rsidRPr="00BD31B2">
              <w:rPr>
                <w:sz w:val="16"/>
                <w:szCs w:val="16"/>
              </w:rPr>
              <w:t xml:space="preserve">: criterio compuesto incluía ↓≥30% </w:t>
            </w:r>
            <w:r w:rsidRPr="00BD31B2">
              <w:rPr>
                <w:sz w:val="16"/>
                <w:szCs w:val="16"/>
              </w:rPr>
              <w:lastRenderedPageBreak/>
              <w:t>opioide; sólo 1 sujeto lo alcanzó con lidocaína SC .</w:t>
            </w:r>
          </w:p>
        </w:tc>
        <w:tc>
          <w:tcPr>
            <w:tcW w:w="0" w:type="auto"/>
            <w:hideMark/>
          </w:tcPr>
          <w:p w14:paraId="15F7CD39" w14:textId="77777777" w:rsidR="0070218A" w:rsidRPr="00BD31B2" w:rsidRDefault="0070218A" w:rsidP="00F34C93">
            <w:pPr>
              <w:spacing w:after="160" w:line="278" w:lineRule="auto"/>
              <w:rPr>
                <w:sz w:val="16"/>
                <w:szCs w:val="16"/>
              </w:rPr>
            </w:pPr>
            <w:r w:rsidRPr="00BD31B2">
              <w:rPr>
                <w:sz w:val="16"/>
                <w:szCs w:val="16"/>
              </w:rPr>
              <w:lastRenderedPageBreak/>
              <w:t>Baja</w:t>
            </w:r>
          </w:p>
        </w:tc>
        <w:tc>
          <w:tcPr>
            <w:tcW w:w="0" w:type="auto"/>
            <w:hideMark/>
          </w:tcPr>
          <w:p w14:paraId="5E88B4DC" w14:textId="77777777" w:rsidR="0070218A" w:rsidRPr="00BD31B2" w:rsidRDefault="0070218A" w:rsidP="00F34C93">
            <w:pPr>
              <w:spacing w:after="160" w:line="278" w:lineRule="auto"/>
              <w:rPr>
                <w:sz w:val="16"/>
                <w:szCs w:val="16"/>
              </w:rPr>
            </w:pPr>
            <w:r w:rsidRPr="00014992">
              <w:rPr>
                <w:b/>
                <w:bCs/>
                <w:sz w:val="16"/>
                <w:szCs w:val="16"/>
              </w:rPr>
              <w:t>Certeza baja debido a:</w:t>
            </w:r>
            <w:r w:rsidRPr="00014992">
              <w:rPr>
                <w:sz w:val="16"/>
                <w:szCs w:val="16"/>
              </w:rPr>
              <w:br/>
              <w:t>(1) resultados heterogéneos entre estudios, con comparadores distintos (placebo y comparador activo);</w:t>
            </w:r>
            <w:r w:rsidRPr="00014992">
              <w:rPr>
                <w:sz w:val="16"/>
                <w:szCs w:val="16"/>
              </w:rPr>
              <w:br/>
              <w:t xml:space="preserve">(2) diferencias en la </w:t>
            </w:r>
            <w:r w:rsidRPr="00014992">
              <w:rPr>
                <w:sz w:val="16"/>
                <w:szCs w:val="16"/>
              </w:rPr>
              <w:lastRenderedPageBreak/>
              <w:t>definición y medición del desenlace;</w:t>
            </w:r>
            <w:r w:rsidRPr="00014992">
              <w:rPr>
                <w:sz w:val="16"/>
                <w:szCs w:val="16"/>
              </w:rPr>
              <w:br/>
              <w:t>(3) imprecisión por número reducido de participantes.</w:t>
            </w:r>
          </w:p>
        </w:tc>
      </w:tr>
      <w:tr w:rsidR="0070218A" w:rsidRPr="00BD31B2" w14:paraId="5348C4CB" w14:textId="77777777" w:rsidTr="00F34C93">
        <w:tc>
          <w:tcPr>
            <w:tcW w:w="0" w:type="auto"/>
            <w:hideMark/>
          </w:tcPr>
          <w:p w14:paraId="3AF4412B" w14:textId="77777777" w:rsidR="0070218A" w:rsidRPr="00BD31B2" w:rsidRDefault="0070218A" w:rsidP="00F34C93">
            <w:pPr>
              <w:spacing w:after="160" w:line="278" w:lineRule="auto"/>
              <w:rPr>
                <w:sz w:val="16"/>
                <w:szCs w:val="16"/>
              </w:rPr>
            </w:pPr>
            <w:r w:rsidRPr="00BD31B2">
              <w:rPr>
                <w:sz w:val="16"/>
                <w:szCs w:val="16"/>
              </w:rPr>
              <w:lastRenderedPageBreak/>
              <w:t>Eventos adversos (EA) graves</w:t>
            </w:r>
          </w:p>
        </w:tc>
        <w:tc>
          <w:tcPr>
            <w:tcW w:w="1357" w:type="dxa"/>
            <w:hideMark/>
          </w:tcPr>
          <w:p w14:paraId="4774D13B" w14:textId="77777777" w:rsidR="0070218A" w:rsidRPr="00BD31B2" w:rsidRDefault="0070218A" w:rsidP="00F34C93">
            <w:pPr>
              <w:spacing w:after="160" w:line="278" w:lineRule="auto"/>
              <w:rPr>
                <w:sz w:val="16"/>
                <w:szCs w:val="16"/>
              </w:rPr>
            </w:pPr>
            <w:r w:rsidRPr="00BD31B2">
              <w:rPr>
                <w:sz w:val="16"/>
                <w:szCs w:val="16"/>
              </w:rPr>
              <w:t>4 ECA (1989, 1992, 2009, 2015)</w:t>
            </w:r>
          </w:p>
        </w:tc>
        <w:tc>
          <w:tcPr>
            <w:tcW w:w="3202" w:type="dxa"/>
            <w:hideMark/>
          </w:tcPr>
          <w:p w14:paraId="678BB0A1" w14:textId="77777777" w:rsidR="0070218A" w:rsidRPr="00BD31B2" w:rsidRDefault="0070218A" w:rsidP="00F34C93">
            <w:pPr>
              <w:spacing w:after="160" w:line="278" w:lineRule="auto"/>
              <w:rPr>
                <w:sz w:val="16"/>
                <w:szCs w:val="16"/>
              </w:rPr>
            </w:pPr>
            <w:r w:rsidRPr="00BD31B2">
              <w:rPr>
                <w:sz w:val="16"/>
                <w:szCs w:val="16"/>
              </w:rPr>
              <w:t xml:space="preserve">No se reportaron EA graves en </w:t>
            </w:r>
            <w:r w:rsidRPr="00B46D5F">
              <w:rPr>
                <w:sz w:val="16"/>
                <w:szCs w:val="16"/>
              </w:rPr>
              <w:t xml:space="preserve">Ellemann </w:t>
            </w:r>
            <w:r w:rsidRPr="00B46D5F">
              <w:rPr>
                <w:i/>
                <w:iCs/>
                <w:sz w:val="16"/>
                <w:szCs w:val="16"/>
              </w:rPr>
              <w:t>et</w:t>
            </w:r>
            <w:r w:rsidRPr="00B46D5F">
              <w:rPr>
                <w:sz w:val="16"/>
                <w:szCs w:val="16"/>
              </w:rPr>
              <w:t xml:space="preserve"> al., 1989 </w:t>
            </w:r>
            <w:r w:rsidRPr="00BD31B2">
              <w:rPr>
                <w:sz w:val="16"/>
                <w:szCs w:val="16"/>
              </w:rPr>
              <w:t xml:space="preserve"> y </w:t>
            </w:r>
            <w:r w:rsidRPr="00B46D5F">
              <w:rPr>
                <w:sz w:val="16"/>
                <w:szCs w:val="16"/>
              </w:rPr>
              <w:t xml:space="preserve">Bruera </w:t>
            </w:r>
            <w:r w:rsidRPr="00B46D5F">
              <w:rPr>
                <w:i/>
                <w:iCs/>
                <w:sz w:val="16"/>
                <w:szCs w:val="16"/>
              </w:rPr>
              <w:t xml:space="preserve">et </w:t>
            </w:r>
            <w:r w:rsidRPr="00B46D5F">
              <w:rPr>
                <w:sz w:val="16"/>
                <w:szCs w:val="16"/>
              </w:rPr>
              <w:t>al.,</w:t>
            </w:r>
            <w:r>
              <w:rPr>
                <w:sz w:val="16"/>
                <w:szCs w:val="16"/>
              </w:rPr>
              <w:t xml:space="preserve"> </w:t>
            </w:r>
            <w:r w:rsidRPr="00BD31B2">
              <w:rPr>
                <w:sz w:val="16"/>
                <w:szCs w:val="16"/>
              </w:rPr>
              <w:t xml:space="preserve">1992; ECG sin cambios . </w:t>
            </w:r>
            <w:r w:rsidRPr="00B46D5F">
              <w:rPr>
                <w:sz w:val="16"/>
                <w:szCs w:val="16"/>
              </w:rPr>
              <w:t xml:space="preserve">Sharma </w:t>
            </w:r>
            <w:r w:rsidRPr="00B46D5F">
              <w:rPr>
                <w:i/>
                <w:iCs/>
                <w:sz w:val="16"/>
                <w:szCs w:val="16"/>
              </w:rPr>
              <w:t xml:space="preserve">et </w:t>
            </w:r>
            <w:r w:rsidRPr="00B46D5F">
              <w:rPr>
                <w:sz w:val="16"/>
                <w:szCs w:val="16"/>
              </w:rPr>
              <w:t xml:space="preserve">al., </w:t>
            </w:r>
            <w:r w:rsidRPr="00BD31B2">
              <w:rPr>
                <w:sz w:val="16"/>
                <w:szCs w:val="16"/>
              </w:rPr>
              <w:t xml:space="preserve">2009: EA leves (tinnitus, parestesias periorales, somnolencia); suspensión en 1/50 por EA; sin consecuencias mayores . </w:t>
            </w:r>
            <w:r w:rsidRPr="00B46D5F">
              <w:rPr>
                <w:sz w:val="16"/>
                <w:szCs w:val="16"/>
              </w:rPr>
              <w:t xml:space="preserve">Carrillo </w:t>
            </w:r>
            <w:r w:rsidRPr="00B46D5F">
              <w:rPr>
                <w:i/>
                <w:iCs/>
                <w:sz w:val="16"/>
                <w:szCs w:val="16"/>
              </w:rPr>
              <w:t xml:space="preserve">et </w:t>
            </w:r>
            <w:r w:rsidRPr="00B46D5F">
              <w:rPr>
                <w:sz w:val="16"/>
                <w:szCs w:val="16"/>
              </w:rPr>
              <w:t xml:space="preserve">al., </w:t>
            </w:r>
            <w:r w:rsidRPr="00BD31B2">
              <w:rPr>
                <w:sz w:val="16"/>
                <w:szCs w:val="16"/>
              </w:rPr>
              <w:t>2015: más sedación con dexmedetomidina; sin eventos cardio-respiratorios en ambos grupos .</w:t>
            </w:r>
          </w:p>
        </w:tc>
        <w:tc>
          <w:tcPr>
            <w:tcW w:w="0" w:type="auto"/>
            <w:hideMark/>
          </w:tcPr>
          <w:p w14:paraId="7503F56A" w14:textId="77777777" w:rsidR="0070218A" w:rsidRPr="00BD31B2" w:rsidRDefault="0070218A" w:rsidP="00F34C93">
            <w:pPr>
              <w:spacing w:after="160" w:line="278" w:lineRule="auto"/>
              <w:rPr>
                <w:sz w:val="16"/>
                <w:szCs w:val="16"/>
              </w:rPr>
            </w:pPr>
            <w:r>
              <w:rPr>
                <w:sz w:val="16"/>
                <w:szCs w:val="16"/>
              </w:rPr>
              <w:t>Baja</w:t>
            </w:r>
          </w:p>
        </w:tc>
        <w:tc>
          <w:tcPr>
            <w:tcW w:w="0" w:type="auto"/>
            <w:hideMark/>
          </w:tcPr>
          <w:p w14:paraId="33EAD70C" w14:textId="77777777" w:rsidR="0070218A" w:rsidRPr="00BD31B2" w:rsidRDefault="0070218A" w:rsidP="00F34C93">
            <w:pPr>
              <w:spacing w:after="160" w:line="278" w:lineRule="auto"/>
              <w:rPr>
                <w:sz w:val="16"/>
                <w:szCs w:val="16"/>
              </w:rPr>
            </w:pPr>
            <w:r w:rsidRPr="00014992">
              <w:rPr>
                <w:b/>
                <w:bCs/>
                <w:sz w:val="16"/>
                <w:szCs w:val="16"/>
              </w:rPr>
              <w:t>Certeza moderada debido a:</w:t>
            </w:r>
            <w:r w:rsidRPr="00014992">
              <w:rPr>
                <w:sz w:val="16"/>
                <w:szCs w:val="16"/>
              </w:rPr>
              <w:br/>
            </w:r>
            <w:r w:rsidRPr="00B46D5F">
              <w:rPr>
                <w:sz w:val="16"/>
                <w:szCs w:val="16"/>
              </w:rPr>
              <w:t>Certeza moderada debido a la consistencia entre los estudios en la ausencia de eventos adversos graves y a la naturaleza objetiva del desenlace de seguridad, aunque limitada por tamaños muestrales pequeños y seguimiento corto.</w:t>
            </w:r>
          </w:p>
        </w:tc>
      </w:tr>
      <w:tr w:rsidR="0070218A" w:rsidRPr="009D5BDA" w14:paraId="024A5DA5" w14:textId="77777777" w:rsidTr="00F34C93">
        <w:tc>
          <w:tcPr>
            <w:tcW w:w="0" w:type="auto"/>
            <w:hideMark/>
          </w:tcPr>
          <w:p w14:paraId="29B28CFE" w14:textId="77777777" w:rsidR="0070218A" w:rsidRPr="00BD31B2" w:rsidRDefault="0070218A" w:rsidP="00F34C93">
            <w:pPr>
              <w:spacing w:after="160" w:line="278" w:lineRule="auto"/>
              <w:rPr>
                <w:sz w:val="16"/>
                <w:szCs w:val="16"/>
              </w:rPr>
            </w:pPr>
            <w:r w:rsidRPr="00BD31B2">
              <w:rPr>
                <w:sz w:val="16"/>
                <w:szCs w:val="16"/>
              </w:rPr>
              <w:t>Calidad de vida / POS (2020)</w:t>
            </w:r>
          </w:p>
        </w:tc>
        <w:tc>
          <w:tcPr>
            <w:tcW w:w="1357" w:type="dxa"/>
            <w:hideMark/>
          </w:tcPr>
          <w:p w14:paraId="41D7BFAB" w14:textId="77777777" w:rsidR="0070218A" w:rsidRPr="00BD31B2" w:rsidRDefault="0070218A" w:rsidP="00F34C93">
            <w:pPr>
              <w:spacing w:after="160" w:line="278" w:lineRule="auto"/>
              <w:rPr>
                <w:sz w:val="16"/>
                <w:szCs w:val="16"/>
              </w:rPr>
            </w:pPr>
            <w:r w:rsidRPr="00BD31B2">
              <w:rPr>
                <w:sz w:val="16"/>
                <w:szCs w:val="16"/>
              </w:rPr>
              <w:t>1 ECA (N=25)</w:t>
            </w:r>
          </w:p>
        </w:tc>
        <w:tc>
          <w:tcPr>
            <w:tcW w:w="3202" w:type="dxa"/>
            <w:hideMark/>
          </w:tcPr>
          <w:p w14:paraId="0CE0E355" w14:textId="77777777" w:rsidR="0070218A" w:rsidRPr="00BD31B2" w:rsidRDefault="0070218A" w:rsidP="00F34C93">
            <w:pPr>
              <w:spacing w:after="160" w:line="278" w:lineRule="auto"/>
              <w:rPr>
                <w:sz w:val="16"/>
                <w:szCs w:val="16"/>
              </w:rPr>
            </w:pPr>
            <w:r w:rsidRPr="00BD31B2">
              <w:rPr>
                <w:sz w:val="16"/>
                <w:szCs w:val="16"/>
              </w:rPr>
              <w:t>Señales de mejoría en dominios específicos (p. ej., depresión POS), sin eficacia analgésica global; niveles plasmáticos subterapéuticos frecuentes .</w:t>
            </w:r>
          </w:p>
        </w:tc>
        <w:tc>
          <w:tcPr>
            <w:tcW w:w="0" w:type="auto"/>
            <w:hideMark/>
          </w:tcPr>
          <w:p w14:paraId="2A7DF00C" w14:textId="77777777" w:rsidR="0070218A" w:rsidRPr="00BD31B2" w:rsidRDefault="0070218A" w:rsidP="00F34C93">
            <w:pPr>
              <w:spacing w:after="160" w:line="278" w:lineRule="auto"/>
              <w:rPr>
                <w:sz w:val="16"/>
                <w:szCs w:val="16"/>
              </w:rPr>
            </w:pPr>
            <w:r w:rsidRPr="00BD31B2">
              <w:rPr>
                <w:sz w:val="16"/>
                <w:szCs w:val="16"/>
              </w:rPr>
              <w:t>Muy baja</w:t>
            </w:r>
          </w:p>
        </w:tc>
        <w:tc>
          <w:tcPr>
            <w:tcW w:w="0" w:type="auto"/>
            <w:hideMark/>
          </w:tcPr>
          <w:p w14:paraId="3C6ED0BB" w14:textId="77777777" w:rsidR="0070218A" w:rsidRPr="00BD31B2" w:rsidRDefault="0070218A" w:rsidP="00F34C93">
            <w:pPr>
              <w:spacing w:after="160" w:line="278" w:lineRule="auto"/>
              <w:rPr>
                <w:sz w:val="16"/>
                <w:szCs w:val="16"/>
              </w:rPr>
            </w:pPr>
            <w:r w:rsidRPr="00014992">
              <w:rPr>
                <w:b/>
                <w:bCs/>
                <w:sz w:val="16"/>
                <w:szCs w:val="16"/>
              </w:rPr>
              <w:t>Certeza muy baja debido a:</w:t>
            </w:r>
            <w:r w:rsidRPr="00014992">
              <w:rPr>
                <w:sz w:val="16"/>
                <w:szCs w:val="16"/>
              </w:rPr>
              <w:br/>
              <w:t>(1) evaluación del desenlace en un solo estudio;</w:t>
            </w:r>
            <w:r w:rsidRPr="00014992">
              <w:rPr>
                <w:sz w:val="16"/>
                <w:szCs w:val="16"/>
              </w:rPr>
              <w:br/>
              <w:t>(2) resultados exploratorios sin correlación clara con la eficacia analgésica;</w:t>
            </w:r>
            <w:r w:rsidRPr="00014992">
              <w:rPr>
                <w:sz w:val="16"/>
                <w:szCs w:val="16"/>
              </w:rPr>
              <w:br/>
              <w:t>(3) tamaño muestral reducido.</w:t>
            </w:r>
          </w:p>
        </w:tc>
      </w:tr>
    </w:tbl>
    <w:p w14:paraId="1AF563CD" w14:textId="77777777" w:rsidR="0070218A" w:rsidRPr="0070218A" w:rsidRDefault="0070218A" w:rsidP="0070218A">
      <w:pPr>
        <w:rPr>
          <w:i/>
          <w:iCs/>
          <w:sz w:val="20"/>
          <w:szCs w:val="20"/>
        </w:rPr>
      </w:pPr>
      <w:r w:rsidRPr="0070218A">
        <w:rPr>
          <w:i/>
          <w:iCs/>
          <w:sz w:val="20"/>
          <w:szCs w:val="20"/>
        </w:rPr>
        <w:t xml:space="preserve">Se presentan los desenlaces primarios (eficacia analgésica) y secundarios (duración del alivio, necesidad de rescates/opioides, seguridad y calidad de vida). La certeza de la evidencia se evaluó mediante el enfoque GRADE (Grading of Recommendations Assessment, Development and Evaluation). Los riesgos absolutos se describen a partir de los grupos control de cada estudio, dado que la heterogeneidad metodológica impidió una estimación combinada. </w:t>
      </w:r>
      <w:r w:rsidRPr="0070218A">
        <w:rPr>
          <w:i/>
          <w:iCs/>
          <w:sz w:val="20"/>
          <w:szCs w:val="20"/>
        </w:rPr>
        <w:fldChar w:fldCharType="begin"/>
      </w:r>
      <w:r w:rsidRPr="0070218A">
        <w:rPr>
          <w:i/>
          <w:iCs/>
          <w:sz w:val="20"/>
          <w:szCs w:val="20"/>
        </w:rPr>
        <w:instrText xml:space="preserve"> ADDIN ZOTERO_ITEM CSL_CITATION {"citationID":"bKEHj2hy","properties":{"formattedCitation":"(22)","plainCitation":"(22)","noteIndex":0},"citationItems":[{"id":142,"uris":["http://zotero.org/users/12518303/items/8IGZ69DE"],"itemData":{"id":142,"type":"book","publisher":"The GRADE Working Group","title":"GRADE handbook for grading quality of evidence and strength of recommendations","URL":"https://gdt.gradepro.org/app/handbook/handbook.html","author":[{"literal":"Schünemann, Holger"},{"literal":"Brożek, Jan"},{"literal":"Guyatt, Gordon"},{"literal":"Oxman, Andrew"}],"accessed":{"date-parts":[["2025",9,13]]},"issued":{"date-parts":[["2013"]]}}}],"schema":"https://github.com/citation-style-language/schema/raw/master/csl-citation.json"} </w:instrText>
      </w:r>
      <w:r w:rsidRPr="0070218A">
        <w:rPr>
          <w:i/>
          <w:iCs/>
          <w:sz w:val="20"/>
          <w:szCs w:val="20"/>
        </w:rPr>
        <w:fldChar w:fldCharType="separate"/>
      </w:r>
      <w:r w:rsidRPr="0070218A">
        <w:rPr>
          <w:i/>
          <w:iCs/>
          <w:noProof/>
          <w:sz w:val="20"/>
          <w:szCs w:val="20"/>
        </w:rPr>
        <w:t>(22)</w:t>
      </w:r>
      <w:r w:rsidRPr="0070218A">
        <w:rPr>
          <w:i/>
          <w:iCs/>
          <w:sz w:val="20"/>
          <w:szCs w:val="20"/>
        </w:rPr>
        <w:fldChar w:fldCharType="end"/>
      </w:r>
    </w:p>
    <w:p w14:paraId="53026066" w14:textId="77777777" w:rsidR="0070218A" w:rsidRPr="0070218A" w:rsidRDefault="0070218A" w:rsidP="0070218A">
      <w:pPr>
        <w:rPr>
          <w:i/>
          <w:iCs/>
          <w:sz w:val="20"/>
          <w:szCs w:val="20"/>
        </w:rPr>
      </w:pPr>
      <w:r w:rsidRPr="0070218A">
        <w:rPr>
          <w:i/>
          <w:iCs/>
          <w:sz w:val="20"/>
          <w:szCs w:val="20"/>
        </w:rPr>
        <w:t>Abreviaturas: SoF, Summary of Findings; ECA, ensayo clínico aleatorizado; N, número de participantes; EVA, escala visual análoga; EA, eventos adversos; ECG, electrocardiograma; IV, intravenosa; SC, subcutánea; POS, Palliative care Outcome Scale; p, valor de significancia estadística.</w:t>
      </w:r>
    </w:p>
    <w:p w14:paraId="1D391A59" w14:textId="77777777" w:rsidR="0070218A" w:rsidRPr="0070218A" w:rsidRDefault="0070218A" w:rsidP="0070218A">
      <w:pPr>
        <w:rPr>
          <w:i/>
          <w:iCs/>
          <w:sz w:val="20"/>
          <w:szCs w:val="20"/>
        </w:rPr>
      </w:pPr>
      <w:r w:rsidRPr="0070218A">
        <w:rPr>
          <w:i/>
          <w:iCs/>
          <w:sz w:val="20"/>
          <w:szCs w:val="20"/>
        </w:rPr>
        <w:t>Fuente: Elaboración propia a partir de los estudios incluidos.</w:t>
      </w:r>
    </w:p>
    <w:p w14:paraId="1D4D5821" w14:textId="77777777" w:rsidR="0070218A" w:rsidRPr="003B4E48" w:rsidRDefault="0070218A" w:rsidP="00670245">
      <w:pPr>
        <w:tabs>
          <w:tab w:val="left" w:pos="4820"/>
        </w:tabs>
        <w:spacing w:line="360" w:lineRule="auto"/>
        <w:jc w:val="both"/>
        <w:rPr>
          <w:rFonts w:ascii="Times New Roman" w:hAnsi="Times New Roman" w:cs="Times New Roman"/>
          <w:color w:val="000000" w:themeColor="text1"/>
        </w:rPr>
      </w:pPr>
    </w:p>
    <w:p w14:paraId="648C51E1" w14:textId="1C3E755F" w:rsidR="00AC6E1E" w:rsidRPr="00670245" w:rsidRDefault="00AC6E1E"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 </w:t>
      </w:r>
    </w:p>
    <w:p w14:paraId="08F11486" w14:textId="293DCDEC" w:rsidR="00F4431A" w:rsidRPr="00B1354E" w:rsidRDefault="00F4431A"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Desenlace primario: eficacia analgésica</w:t>
      </w:r>
    </w:p>
    <w:p w14:paraId="7AE5D203" w14:textId="0445BD2C" w:rsidR="00F4431A" w:rsidRDefault="00F4431A" w:rsidP="00B1354E">
      <w:pPr>
        <w:tabs>
          <w:tab w:val="left" w:pos="4820"/>
        </w:tabs>
        <w:spacing w:line="360" w:lineRule="auto"/>
        <w:rPr>
          <w:rFonts w:ascii="Times New Roman" w:hAnsi="Times New Roman" w:cs="Times New Roman"/>
          <w:color w:val="000000" w:themeColor="text1"/>
        </w:rPr>
      </w:pPr>
      <w:r w:rsidRPr="00670245">
        <w:rPr>
          <w:rFonts w:ascii="Times New Roman" w:hAnsi="Times New Roman" w:cs="Times New Roman"/>
          <w:color w:val="000000" w:themeColor="text1"/>
        </w:rPr>
        <w:t xml:space="preserve">Ellemann et al.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{"citationID":"j6U7bnrW","properties":{"formattedCitation":"(25)","plainCitation":"(25)","noteIndex":0},"citationItems":[{"id":34,"uris":["http://zotero.org/users/12518303/items/PLM8W5A6"],"itemData":{"id":34,"type":"article-journal","container-title":"The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no mostró eficacia de la lidocaína intravenosa frente a placebo en pacientes con alodinia cutánea en pacientes con cáncer; solo dos participantes respondieron de manera parcial y transitoria. Bruera et al.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{"citationID":"dhLRHsHb","properties":{"formattedCitation":"(24)","plainCitation":"(24)","noteIndex":0},"citationItems":[{"id":28,"uris":["http://zotero.org/users/12518303/items/SGTBTX7K"],"itemData":{"id":28,"type":"article-journal","abstract":"In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(24)</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r w:rsidR="006E52C8" w:rsidRPr="00670245">
        <w:rPr>
          <w:rFonts w:ascii="Times New Roman" w:hAnsi="Times New Roman" w:cs="Times New Roman"/>
          <w:color w:val="000000" w:themeColor="text1"/>
        </w:rPr>
        <w:t>evidenciaron que la lidocaína IV no fue superior al placebo en intensidad de dolor en ningún momento; todos cruzaron a las 48 h por falta de mejoría con la primera infusión</w:t>
      </w:r>
      <w:r w:rsidRPr="00670245">
        <w:rPr>
          <w:rFonts w:ascii="Times New Roman" w:hAnsi="Times New Roman" w:cs="Times New Roman"/>
          <w:color w:val="000000" w:themeColor="text1"/>
        </w:rPr>
        <w:t>. Sharma et al.</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{"citationID":"oRuMlmDF","properties":{"formattedCitation":"(7)","plainCitation":"(7)","noteIndex":0},"citationItems":[{"id":27,"uris":["http://zotero.org/users/12518303/items/2HGHYVR8"],"itemData":{"id":27,"type":"article-journal","abstract":"Opioid-refractory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(7)</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r w:rsidR="006E52C8" w:rsidRPr="00670245">
        <w:rPr>
          <w:rFonts w:ascii="Times New Roman" w:hAnsi="Times New Roman" w:cs="Times New Roman"/>
          <w:color w:val="000000" w:themeColor="text1"/>
        </w:rPr>
        <w:t xml:space="preserve">la lidocaína logró una reducción media de 6,34 ± 1,73 puntos (74,5% ± 17,2% desde el basal) frente a 2,30 ± 2,40 puntos (25,6% ± 27,8%) con </w:t>
      </w:r>
      <w:r w:rsidR="006E52C8" w:rsidRPr="00670245">
        <w:rPr>
          <w:rFonts w:ascii="Times New Roman" w:hAnsi="Times New Roman" w:cs="Times New Roman"/>
          <w:color w:val="000000" w:themeColor="text1"/>
        </w:rPr>
        <w:lastRenderedPageBreak/>
        <w:t>placebo (P &lt; 0,0001 y P &lt; 0,001).</w:t>
      </w:r>
      <w:r w:rsidR="006E52C8" w:rsidRPr="00670245">
        <w:rPr>
          <w:rFonts w:ascii="Times New Roman" w:hAnsi="Times New Roman" w:cs="Times New Roman"/>
          <w:color w:val="000000" w:themeColor="text1"/>
        </w:rPr>
        <w:br/>
        <w:t>Además, 82% de los pacientes alcanzó ≥50% de alivio con lidocaína vs 16% con placebo (P = 0,0001); el efecto apareció antes y duró más con lidocaína: 40 ± 16 min hasta el máximo efecto vs 74,8 ± 33 min con placebo (P &lt; 0,001), y 9,34 ± 2,58 días de alivio vs 3,82 ± 1,87 días con placebo (P &lt; 0,0001)</w:t>
      </w:r>
      <w:r w:rsidRPr="00670245">
        <w:rPr>
          <w:rFonts w:ascii="Times New Roman" w:hAnsi="Times New Roman" w:cs="Times New Roman"/>
          <w:color w:val="000000" w:themeColor="text1"/>
        </w:rPr>
        <w:t xml:space="preserve">. Carrillo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{"citationID":"96TPbAco","properties":{"formattedCitation":"(8)","plainCitation":"(8)","noteIndex":0},"citationItems":[{"id":29,"uris":["http://zotero.org/users/12518303/items/T64IPWAM"],"itemData":{"id":29,"type":"article-journal","abstract":"Introduction: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r w:rsidR="006E52C8" w:rsidRPr="00670245">
        <w:rPr>
          <w:rFonts w:ascii="Times New Roman" w:hAnsi="Times New Roman" w:cs="Times New Roman"/>
          <w:color w:val="000000" w:themeColor="text1"/>
        </w:rPr>
        <w:t xml:space="preserve"> evaluaron infusión de lidocaína frente a infusión de dexmedetomidina,</w:t>
      </w:r>
      <w:r w:rsidRPr="00670245">
        <w:rPr>
          <w:rFonts w:ascii="Times New Roman" w:hAnsi="Times New Roman" w:cs="Times New Roman"/>
          <w:color w:val="000000" w:themeColor="text1"/>
        </w:rPr>
        <w:t xml:space="preserve"> </w:t>
      </w:r>
      <w:r w:rsidR="006E52C8" w:rsidRPr="00670245">
        <w:rPr>
          <w:rFonts w:ascii="Times New Roman" w:hAnsi="Times New Roman" w:cs="Times New Roman"/>
          <w:color w:val="000000" w:themeColor="text1"/>
        </w:rPr>
        <w:t>reportaron que en 14/16 pacientes evaluables, ambos grupos redujeron el dolor (EVA) durante la infusión y en el periodo postinfusión, sin diferencias significativas entre ambos medicamentos (p &gt; 0,01)</w:t>
      </w:r>
      <w:r w:rsidRPr="00670245">
        <w:rPr>
          <w:rFonts w:ascii="Times New Roman" w:hAnsi="Times New Roman" w:cs="Times New Roman"/>
          <w:color w:val="000000" w:themeColor="text1"/>
        </w:rPr>
        <w:t>. Finalmente, Hawley et al.</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{"citationID":"fCKhYlHK","properties":{"formattedCitation":"(9)","plainCitation":"(9)","noteIndex":0},"citationItems":[{"id":31,"uris":["http://zotero.org/users/12518303/items/Z775HBFS"],"itemData":{"id":31,"type":"article-journal","abstract":"Background: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no encontraron eficacia de la lidocaína subcutánea frente a placebo; únicamente el 8% de los pacientes respondió y la mayoría no alcanzó niveles plasmáticos terapéuticos</w:t>
      </w:r>
      <w:r w:rsidR="006E52C8" w:rsidRPr="00670245">
        <w:rPr>
          <w:rFonts w:ascii="Times New Roman" w:hAnsi="Times New Roman" w:cs="Times New Roman"/>
          <w:color w:val="000000" w:themeColor="text1"/>
        </w:rPr>
        <w:t>; OR de efectividad SCLI vs placebo: 0,45 (IC95% 0,06–3,15), compatible con tanto menor como mayor efectividad respecto a placebo, sin resultado concluyente</w:t>
      </w:r>
      <w:r w:rsidRPr="00670245">
        <w:rPr>
          <w:rFonts w:ascii="Times New Roman" w:hAnsi="Times New Roman" w:cs="Times New Roman"/>
          <w:color w:val="000000" w:themeColor="text1"/>
        </w:rPr>
        <w:t>.</w:t>
      </w:r>
    </w:p>
    <w:p w14:paraId="4F285AB9" w14:textId="77777777" w:rsidR="00B1354E" w:rsidRPr="00670245" w:rsidRDefault="00B1354E" w:rsidP="00B1354E">
      <w:pPr>
        <w:tabs>
          <w:tab w:val="left" w:pos="4820"/>
        </w:tabs>
        <w:spacing w:line="360" w:lineRule="auto"/>
        <w:rPr>
          <w:rFonts w:ascii="Times New Roman" w:hAnsi="Times New Roman" w:cs="Times New Roman"/>
          <w:color w:val="000000" w:themeColor="text1"/>
        </w:rPr>
      </w:pPr>
    </w:p>
    <w:p w14:paraId="76AA1EB2" w14:textId="0F884C5A" w:rsidR="00F4431A" w:rsidRPr="00B1354E" w:rsidRDefault="00F4431A"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Desenlaces secundarios</w:t>
      </w:r>
    </w:p>
    <w:p w14:paraId="08A7659F" w14:textId="5E4DE5D6" w:rsidR="00F4431A" w:rsidRPr="00670245" w:rsidRDefault="00F4431A"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En</w:t>
      </w:r>
      <w:r w:rsidR="006E52C8" w:rsidRPr="00670245">
        <w:rPr>
          <w:rFonts w:ascii="Times New Roman" w:hAnsi="Times New Roman" w:cs="Times New Roman"/>
          <w:color w:val="000000" w:themeColor="text1"/>
        </w:rPr>
        <w:t xml:space="preserve"> los ensayos clínicos con lidocaína endovenosa, </w:t>
      </w:r>
      <w:r w:rsidRPr="00670245">
        <w:rPr>
          <w:rFonts w:ascii="Times New Roman" w:hAnsi="Times New Roman" w:cs="Times New Roman"/>
          <w:color w:val="000000" w:themeColor="text1"/>
        </w:rPr>
        <w:t xml:space="preserve"> Sharma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{"citationID":"R2O1IGTT","properties":{"formattedCitation":"(7)","plainCitation":"(7)","noteIndex":0},"citationItems":[{"id":27,"uris":["http://zotero.org/users/12518303/items/2HGHYVR8"],"itemData":{"id":27,"type":"article-journal","abstract":"Opioid-refractory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(7)</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r w:rsidR="006E52C8" w:rsidRPr="00670245">
        <w:rPr>
          <w:rFonts w:ascii="Times New Roman" w:hAnsi="Times New Roman" w:cs="Times New Roman"/>
          <w:color w:val="000000" w:themeColor="text1"/>
        </w:rPr>
        <w:t>mostró inicio más rápido del efecto con lidocaína (≈40±16 min vs 75±33 min) y mayor duración del alivio (≈9.3±2.6 días vs 3.8±1.9), además de menor requerimiento percibido de analgésicos (64% de los pacientes reportó disminución vs 30% con placebo) y menor dolor promedio durante 14 días</w:t>
      </w:r>
      <w:r w:rsidRPr="00670245">
        <w:rPr>
          <w:rFonts w:ascii="Times New Roman" w:hAnsi="Times New Roman" w:cs="Times New Roman"/>
          <w:color w:val="000000" w:themeColor="text1"/>
        </w:rPr>
        <w:t>.</w:t>
      </w:r>
      <w:r w:rsidR="006E52C8"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 xml:space="preserve">En el estudio de Carrillo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{"citationID":"tbOdkENg","properties":{"formattedCitation":"(8)","plainCitation":"(8)","noteIndex":0},"citationItems":[{"id":29,"uris":["http://zotero.org/users/12518303/items/T64IPWAM"],"itemData":{"id":29,"type":"article-journal","abstract":"Introduction: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r w:rsidR="006E52C8" w:rsidRPr="00670245">
        <w:rPr>
          <w:rFonts w:ascii="Times New Roman" w:hAnsi="Times New Roman" w:cs="Times New Roman"/>
          <w:color w:val="000000" w:themeColor="text1"/>
        </w:rPr>
        <w:t>con compartivo activo (dexmedetomidina vs lidocaína), la EVA no difirió, pero la necesidad de rescates fue menor con dexmedetomidina y la sedación fue significativamente mayor desde los 40 min; no se registraron complicaciones cardiovasculares o respiratorias</w:t>
      </w:r>
      <w:r w:rsidRPr="00670245">
        <w:rPr>
          <w:rFonts w:ascii="Times New Roman" w:hAnsi="Times New Roman" w:cs="Times New Roman"/>
          <w:color w:val="000000" w:themeColor="text1"/>
        </w:rPr>
        <w:t>.</w:t>
      </w:r>
      <w:r w:rsidR="006E52C8" w:rsidRPr="00670245">
        <w:rPr>
          <w:rFonts w:ascii="Times New Roman" w:hAnsi="Times New Roman" w:cs="Times New Roman"/>
          <w:color w:val="000000" w:themeColor="text1"/>
        </w:rPr>
        <w:t xml:space="preserve"> </w:t>
      </w:r>
      <w:r w:rsidRPr="00670245">
        <w:rPr>
          <w:rFonts w:ascii="Times New Roman" w:hAnsi="Times New Roman" w:cs="Times New Roman"/>
          <w:color w:val="000000" w:themeColor="text1"/>
        </w:rPr>
        <w:t xml:space="preserve">En el </w:t>
      </w:r>
      <w:r w:rsidR="006E52C8" w:rsidRPr="00670245">
        <w:rPr>
          <w:rFonts w:ascii="Times New Roman" w:hAnsi="Times New Roman" w:cs="Times New Roman"/>
          <w:color w:val="000000" w:themeColor="text1"/>
        </w:rPr>
        <w:t>estudio subcutáneo</w:t>
      </w:r>
      <w:r w:rsidRPr="00670245">
        <w:rPr>
          <w:rFonts w:ascii="Times New Roman" w:hAnsi="Times New Roman" w:cs="Times New Roman"/>
          <w:color w:val="000000" w:themeColor="text1"/>
        </w:rPr>
        <w:t xml:space="preserve"> de Hawley et al.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{"citationID":"AQIxwqVH","properties":{"formattedCitation":"(9)","plainCitation":"(9)","noteIndex":0},"citationItems":[{"id":31,"uris":["http://zotero.org/users/12518303/items/Z775HBFS"],"itemData":{"id":31,"type":"article-journal","abstract":"Background: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(9)</w:t>
      </w:r>
      <w:r w:rsidRPr="00670245">
        <w:rPr>
          <w:rFonts w:ascii="Times New Roman" w:hAnsi="Times New Roman" w:cs="Times New Roman"/>
          <w:color w:val="000000" w:themeColor="text1"/>
        </w:rPr>
        <w:fldChar w:fldCharType="end"/>
      </w:r>
      <w:r w:rsidR="006E52C8" w:rsidRPr="00670245">
        <w:rPr>
          <w:rFonts w:ascii="Times New Roman" w:hAnsi="Times New Roman" w:cs="Times New Roman"/>
          <w:color w:val="000000" w:themeColor="text1"/>
        </w:rPr>
        <w:t xml:space="preserve"> solo 2/25 pacientes cumplieron el criterio de eficacia con lidocaína (uno por reducción ≥30% de opioides y otro por descenso del peor dolor), frente a 4/25 con placebo (OR 0.45; IC95% 0.06–3.15); este fue el unico en ensayo en evaluó calidad de vida, se evidenció mejoría en depresión a favor de lidocaína (≈−0,28; IC95% −0,51 a −0,05). </w:t>
      </w:r>
      <w:r w:rsidRPr="00670245">
        <w:rPr>
          <w:rFonts w:ascii="Times New Roman" w:hAnsi="Times New Roman" w:cs="Times New Roman"/>
          <w:color w:val="000000" w:themeColor="text1"/>
        </w:rPr>
        <w:t xml:space="preserve">En los estudios tempranos de Ellemann et al.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{"citationID":"C2HkkIgZ","properties":{"formattedCitation":"(25)","plainCitation":"(25)","noteIndex":0},"citationItems":[{"id":34,"uris":["http://zotero.org/users/12518303/items/PLM8W5A6"],"itemData":{"id":34,"type":"article-journal","container-title":"The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y Bruera et al. </w:t>
      </w:r>
      <w:r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{"citationID":"vk5xuFPv","properties":{"formattedCitation":"(24)","plainCitation":"(24)","noteIndex":0},"citationItems":[{"id":28,"uris":["http://zotero.org/users/12518303/items/SGTBTX7K"],"itemData":{"id":28,"type":"article-journal","abstract":"In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schema":"https://github.com/citation-style-language/schema/raw/master/csl-citation.json"} </w:instrText>
      </w:r>
      <w:r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(24)</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no se reportaron diferencias significativas en el consumo de rescates analgésicos frente a placebo. Los eventos adversos descritos fueron leves y transitorios, principalmente mareo, somnolencia, tinnitus y parestesias periorales, sin registro de complicaciones cardiovasculares graves en ningún ensayo.</w:t>
      </w:r>
    </w:p>
    <w:p w14:paraId="648F1A90" w14:textId="77777777" w:rsidR="00F4431A" w:rsidRPr="00670245" w:rsidRDefault="00F4431A" w:rsidP="00670245">
      <w:pPr>
        <w:tabs>
          <w:tab w:val="left" w:pos="4820"/>
        </w:tabs>
        <w:spacing w:line="360" w:lineRule="auto"/>
        <w:jc w:val="both"/>
        <w:rPr>
          <w:rFonts w:ascii="Times New Roman" w:hAnsi="Times New Roman" w:cs="Times New Roman"/>
          <w:color w:val="000000" w:themeColor="text1"/>
        </w:rPr>
      </w:pPr>
    </w:p>
    <w:p w14:paraId="779E3A28" w14:textId="77777777" w:rsidR="00F4431A" w:rsidRPr="00B1354E" w:rsidRDefault="00F4431A"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lastRenderedPageBreak/>
        <w:t>Certeza de la evidencia (GRADE)</w:t>
      </w:r>
    </w:p>
    <w:p w14:paraId="01F6AE8A" w14:textId="1D8B077F" w:rsidR="00F4431A" w:rsidRPr="00670245" w:rsidRDefault="00F4431A"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La certeza global de la evidencia para el desenlace primario de eficacia analgésica se calificó como baja, debido a riesgo de sesgo (dos ensayos tempranos con deficiencias metodológicas), inconsistencia entre estudios (resultados dispares entre IV y SC y entre comparadores) y imprecisión (tamaños muestrales pequeños). La certeza para la duración del alivio fue baja, sustentada en pocos estudios con horizontes de evaluación distintos y sin intervalos de confianza. Para la necesidad de rescates</w:t>
      </w:r>
      <w:r w:rsidR="006E52C8" w:rsidRPr="00670245">
        <w:rPr>
          <w:rFonts w:ascii="Times New Roman" w:hAnsi="Times New Roman" w:cs="Times New Roman"/>
          <w:color w:val="000000" w:themeColor="text1"/>
        </w:rPr>
        <w:t xml:space="preserve"> y </w:t>
      </w:r>
      <w:r w:rsidRPr="00670245">
        <w:rPr>
          <w:rFonts w:ascii="Times New Roman" w:hAnsi="Times New Roman" w:cs="Times New Roman"/>
          <w:color w:val="000000" w:themeColor="text1"/>
        </w:rPr>
        <w:t xml:space="preserve">uso de opioides, la certeza fue baja por heterogeneidad de definiciones y escasa precisión. La seguridad (eventos adversos graves) alcanzó certeza moderada, dada la consistencia en la ausencia de complicaciones mayores y el perfil de eventos leves y autolimitados en todos los ensayos. La calidad de vida se calificó como muy baja, al provenir de un único estudio con hallazgos exploratorios y sin correlación con la analgesia </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{"citationID":"SHfMSkKo","properties":{"formattedCitation":"(22)","plainCitation":"(22)","noteIndex":0},"citationItems":[{"id":142,"uris":["http://zotero.org/users/12518303/items/8IGZ69DE"],"itemData":{"id":142,"type":"book","publisher":"The GRADE Working Group","title":"GRADE handbook for grading quality of evidence and strength of recommendations","URL":"https://gdt.gradepro.org/app/handbook/handbook.html","author":[{"literal":"Schünemann, Holger"},{"literal":"Brożek, Jan"},{"literal":"Guyatt, Gordon"},{"literal":"Oxman, Andrew"}],"accessed":{"date-parts":[["2025",9,13]]},"issued":{"date-parts":[["2013"]]}}}],"schema":"https://github.com/citation-style-language/schema/raw/master/csl-citation.json"}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(22)</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2F1A575F" w14:textId="3E3C4560" w:rsidR="00B36A40" w:rsidRPr="00A269B6" w:rsidRDefault="00B36A40"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Discusión</w:t>
      </w:r>
    </w:p>
    <w:p w14:paraId="5B61B0F2" w14:textId="71B6E6B9" w:rsidR="005A26D9" w:rsidRPr="00670245" w:rsidRDefault="005A26D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En esta revisión sistemática se sintetizó la evidencia sobre el uso de lidocaína sistémica en dolor oncológico. Nuestros resultados muestran que, tanto por vía intravenosa como subcutánea, la lidocaína se ha evaluado principalmente en pacientes con dolor oncológico refractario a opioides y coadyuvantes convencionales, un subgrupo que representa uno de los mayores desafíos en cuidados paliativos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{"citationID":"nmjYeuPY","properties":{"formattedCitation":"(4,7,9)","plainCitation":"(4,7,9)","noteIndex":0},"citationItems":[{"id":31,"uris":["http://zotero.org/users/12518303/items/Z775HBFS"],"itemData":{"id":31,"type":"article-journal","abstract":"Background: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G."}],"issued":{"date-parts":[["2020",10,1]]}}},{"id":52,"uris":["http://zotero.org/users/12518303/items/UN5H7KEC"],"itemData":{"id":52,"type":"article-journal","container-title":"British Journal of Anaesthesia","DOI":"10.1093/bja/aet208","ISSN":"00070912","issue":"1","journalAbbreviation":"British Journal of Anaesthesia","language":"en","license":"https://www.elsevier.com/tdm/userlicense/1.0/","page":"105-111","source":"DOI.org (Crossref)","title":"Neuropathic pain in cancer","volume":"111","author":[{"family":"Fallon","given":"M.T."}],"issued":{"date-parts":[["2013",7]]}}},{"id":27,"uris":["http://zotero.org/users/12518303/items/2HGHYVR8"],"itemData":{"id":27,"type":"article-journal","abstract":"Opioid-refractory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(4,7,9)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Este fue, de hecho, el perfil común de los cinco estudios incluidos, lo que </w:t>
      </w:r>
      <w:r w:rsidR="00F61E7D">
        <w:rPr>
          <w:rFonts w:ascii="Times New Roman" w:hAnsi="Times New Roman" w:cs="Times New Roman"/>
          <w:color w:val="000000" w:themeColor="text1"/>
        </w:rPr>
        <w:t>sustenta su exploración</w:t>
      </w:r>
      <w:r w:rsidRPr="00670245">
        <w:rPr>
          <w:rFonts w:ascii="Times New Roman" w:hAnsi="Times New Roman" w:cs="Times New Roman"/>
          <w:color w:val="000000" w:themeColor="text1"/>
        </w:rPr>
        <w:t xml:space="preserve"> como alternativa terapéutica en este contexto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{"citationID":"LTsejTwX","properties":{"formattedCitation":"(7\\uc0\\u8211{}9,24,25)","plainCitation":"(7–9,24,25)","noteIndex":0},"citationItems":[{"id":28,"uris":["http://zotero.org/users/12518303/items/SGTBTX7K"],"itemData":{"id":28,"type":"article-journal","abstract":"In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color w:val="000000" w:themeColor="text1"/>
          <w:kern w:val="0"/>
          <w:lang w:val="es-ES"/>
        </w:rPr>
        <w:t>(7–9,24,25)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En conjunto, los hallazgos </w:t>
      </w:r>
      <w:r w:rsidR="00D15E02" w:rsidRPr="00670245">
        <w:rPr>
          <w:rFonts w:ascii="Times New Roman" w:hAnsi="Times New Roman" w:cs="Times New Roman"/>
          <w:color w:val="000000" w:themeColor="text1"/>
        </w:rPr>
        <w:t>muestran resultados heterogéneos, con señales de beneficio analgésico en un ensayo clínico y ausencia de superioridad frente a placebo o comparador activo en otros estudios, en el contexto de evidencia de baja certeza</w:t>
      </w:r>
      <w:r w:rsidRPr="00670245">
        <w:rPr>
          <w:rFonts w:ascii="Times New Roman" w:hAnsi="Times New Roman" w:cs="Times New Roman"/>
          <w:color w:val="000000" w:themeColor="text1"/>
        </w:rPr>
        <w:t xml:space="preserve">, aunque persisten incertidumbres respecto a la magnitud y duración del beneficio debido al reducido número de estudios y al tamaño limitado de las muestras analizadas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{"citationID":"0USuXnnZ","properties":{"formattedCitation":"(8,9,24,25)","plainCitation":"(8,9,24,25)","noteIndex":0},"citationItems":[{"id":34,"uris":["http://zotero.org/users/12518303/items/PLM8W5A6"],"itemData":{"id":34,"type":"article-journal","container-title":"The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(8,9,24,25)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23EBCD91" w14:textId="57A989A1" w:rsidR="005A26D9" w:rsidRPr="00670245" w:rsidRDefault="005A26D9"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Los hallazgos de esta revisión se complementan con literatura narrativa reciente que resalta la necesidad de alternativas en el manejo del dolor oncológico complejo</w:t>
      </w:r>
      <w:r w:rsidR="00D44A64" w:rsidRPr="00670245">
        <w:rPr>
          <w:rFonts w:ascii="Times New Roman" w:hAnsi="Times New Roman" w:cs="Times New Roman"/>
          <w:color w:val="000000" w:themeColor="text1"/>
        </w:rPr>
        <w:t>; sin embargo, dicha literatura no sustituye la evidencia proveniente de ensayos clínicos aleatorizados, cuyos resultados en la presente revisión fueron heterogéneos y de baja certeza</w:t>
      </w:r>
      <w:r w:rsidRPr="00670245">
        <w:rPr>
          <w:rFonts w:ascii="Times New Roman" w:hAnsi="Times New Roman" w:cs="Times New Roman"/>
          <w:color w:val="000000" w:themeColor="text1"/>
        </w:rPr>
        <w:t>. Hasta un 26% de los pacientes no responden adecuadamente a opioides y la presencia de un componente neuropático incrementa la dificultad del control analgésico</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{"citationID":"NRcFG206","properties":{"formattedCitation":"(1)","plainCitation":"(1)","noteIndex":0},"citationItems":[{"id":92,"uris":["http://zotero.org/users/12518303/items/JBFG6ACA"],"itemData":{"id":92,"type":"article-journal","abstract":"Pain is frequently reported during cancer disease, and it still remains poorly controlled in 40% of patients. Recent developments in oncology have helped to better control pain. Targeted treatments may cure cancer disease and significantly increase survival. Therefore, a novel population of patients (cancer survivors) has emerged, also enduring chronic pain (27.6% moderate to severe pain). The present review discusses the different options currently available to manage pain in (former) cancer patients in light of progress made in the last decade. Major progress in the field includes the recent development of a chronic cancer pain taxonomy now included in the International Classification of Diseases (ICD-11) and the update of the WHO analgesic ladder. Until recently, cancer pain management has mostly relied on pharmacotherapy, with opioids being considered as the mainstay. The opioids crisis has prompted the reassessment of opioids use in cancer patients and survivors. This review focuses on the current utilization of opioids, the neuropathic pain component often neglected, and the techniques and non-pharmacological strategies available which help to personalize patient treatment. Cancer pain management is now closer to the management of chronic non-cancer pain, i.e., “an integrative and supportive pain care” aiming to improve patient’s quality of life.","container-title":"Current Oncology","DOI":"10.3390/curroncol30070500","ISSN":"1718-7729","issue":"7","journalAbbreviation":"Current Oncology","language":"en","license":"https://creativecommons.org/licenses/by/4.0/","page":"6838-6858","source":"DOI.org (Crossref)","title":"Cancer Pain Management: A Narrative Review of Current Concepts, Strategies, and Techniques","title-short":"Cancer Pain Management","volume":"30","author":[{"family":"Mestdagh","given":"François"},{"family":"Steyaert","given":"Arnaud"},{"family":"Lavand’homme","given":"Patricia"}],"issued":{"date-parts":[["2023",7,18]]}}}],"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(1)</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En este escenario, la lidocaína sistémica</w:t>
      </w:r>
      <w:r w:rsidR="00D44A64" w:rsidRPr="00670245">
        <w:rPr>
          <w:rFonts w:ascii="Times New Roman" w:hAnsi="Times New Roman" w:cs="Times New Roman"/>
          <w:color w:val="000000" w:themeColor="text1"/>
        </w:rPr>
        <w:t xml:space="preserve"> </w:t>
      </w:r>
      <w:r w:rsidR="00D15E02" w:rsidRPr="00670245">
        <w:rPr>
          <w:rFonts w:ascii="Times New Roman" w:hAnsi="Times New Roman" w:cs="Times New Roman"/>
          <w:color w:val="000000" w:themeColor="text1"/>
        </w:rPr>
        <w:t xml:space="preserve">ha sido explorada </w:t>
      </w:r>
      <w:r w:rsidR="00D15E02" w:rsidRPr="00670245">
        <w:rPr>
          <w:rFonts w:ascii="Times New Roman" w:hAnsi="Times New Roman" w:cs="Times New Roman"/>
          <w:color w:val="000000" w:themeColor="text1"/>
        </w:rPr>
        <w:lastRenderedPageBreak/>
        <w:t>como una posible opción adyuvante en contextos seleccionados de dolor oncológico refractario</w:t>
      </w:r>
      <w:r w:rsidRPr="00670245">
        <w:rPr>
          <w:rFonts w:ascii="Times New Roman" w:hAnsi="Times New Roman" w:cs="Times New Roman"/>
          <w:color w:val="000000" w:themeColor="text1"/>
        </w:rPr>
        <w:t xml:space="preserve">. Estudios narrativos sobre dolor óseo metastásico describen que la lidocaína intravenosa puede reducir el dolor refractario, mejorar la tolerancia a opioides y modular procesos inflamatorios y gliales, sin embargo la evidencia clínica aún es limitada y requiere confirmación en ensayos de mayor tamaño </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{"citationID":"hbQVt5vX","properties":{"formattedCitation":"(26)","plainCitation":"(26)","noteIndex":0},"citationItems":[{"id":145,"uris":["http://zotero.org/users/12518303/items/GAXU749M"],"itemData":{"id":145,"type":"article-journal","container-title":"Advances in Therapy","DOI":"10.1007/s12325-025-03192-w","ISSN":"0741-238X, 1865-8652","issue":"6","journalAbbreviation":"Adv Ther","language":"en","page":"2587-2605","source":"DOI.org (Crossref)","title":"Lidocaine—A Promising Candidate for the Treatment of Cancer-Induced Bone Pain: A Narrative Review","title-short":"Lidocaine—A Promising Candidate for the Treatment of Cancer-Induced Bone Pain","volume":"42","author":[{"family":"Luo","given":"Lihan"},{"family":"Cheng","given":"Yuqi"},{"family":"Wang","given":"Hanxi"},{"family":"Li","given":"Li"},{"family":"Niu","given":"Hanyun"},{"family":"Yang","given":"Yuzhu"},{"family":"Zhou","given":"Qianqian"},{"family":"He","given":"Jiannan"},{"family":"Xu","given":"Jianhong"}],"issued":{"date-parts":[["2025",6]]}}}],"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(26)</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Así mismo, una revisión </w:t>
      </w:r>
      <w:r w:rsidR="006E52C8" w:rsidRPr="00670245">
        <w:rPr>
          <w:rFonts w:ascii="Times New Roman" w:hAnsi="Times New Roman" w:cs="Times New Roman"/>
          <w:color w:val="000000" w:themeColor="text1"/>
        </w:rPr>
        <w:t xml:space="preserve">narrrativa </w:t>
      </w:r>
      <w:r w:rsidRPr="00670245">
        <w:rPr>
          <w:rFonts w:ascii="Times New Roman" w:hAnsi="Times New Roman" w:cs="Times New Roman"/>
          <w:color w:val="000000" w:themeColor="text1"/>
        </w:rPr>
        <w:t>sobre el uso off-label de lidocaína en infusión en cuidados paliativos documenta resultados heterogéneos: algunos ensayos muestran beneficio significativo en dolor oncológico refractario y neuropatía inducida por quimioterapia, mientras que otros no reportan diferencias frente a placebo</w:t>
      </w:r>
      <w:r w:rsidR="006E52C8" w:rsidRPr="00670245">
        <w:rPr>
          <w:rFonts w:ascii="Times New Roman" w:hAnsi="Times New Roman" w:cs="Times New Roman"/>
          <w:color w:val="000000" w:themeColor="text1"/>
        </w:rPr>
        <w:t>, y</w:t>
      </w:r>
      <w:r w:rsidRPr="00670245">
        <w:rPr>
          <w:rFonts w:ascii="Times New Roman" w:hAnsi="Times New Roman" w:cs="Times New Roman"/>
          <w:color w:val="000000" w:themeColor="text1"/>
        </w:rPr>
        <w:t xml:space="preserve"> la vía subcutánea ha mostrado eficacia limitada a las dosis probadas </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{"citationID":"LdK4Whbb","properties":{"formattedCitation":"(27)","plainCitation":"(27)","noteIndex":0},"citationItems":[{"id":138,"uris":["http://zotero.org/users/12518303/items/Y3VE9MJP"],"itemData":{"id":138,"type":"article-journal","container-title":"Revista Chilena de Anestesia","DOI":"10.25237/revchilanestv5208031431","ISSN":"07196792, 07164076","issue":"3","journalAbbreviation":"Rev. chil. anest.","page":"277-281","source":"DOI.org (Crossref)","title":"Indicaciones off-label de la lidocaína en infusión en cuidados paliativos: Manejo de dolor neuropático y prurito refractario","title-short":"Indicaciones off-label de la lidocaína en infusión en cuidados paliativos","volume":"52","author":[{"family":"Reyes Rueda","given":"Melissa"},{"family":"Molina","given":"Bilena Margarita"},{"family":"Rodríguez Martínez","given":"Carlos"}],"issued":{"date-parts":[["2023"]]}}}],"schema":"https://github.com/citation-style-language/schema/raw/master/csl-citation.json"}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(27)</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Estos antecedentes refuerzan la interpretación de que, si bien la lidocaína </w:t>
      </w:r>
      <w:r w:rsidR="006E52C8" w:rsidRPr="00670245">
        <w:rPr>
          <w:rFonts w:ascii="Times New Roman" w:hAnsi="Times New Roman" w:cs="Times New Roman"/>
          <w:color w:val="000000" w:themeColor="text1"/>
        </w:rPr>
        <w:t>podría</w:t>
      </w:r>
      <w:r w:rsidRPr="00670245">
        <w:rPr>
          <w:rFonts w:ascii="Times New Roman" w:hAnsi="Times New Roman" w:cs="Times New Roman"/>
          <w:color w:val="000000" w:themeColor="text1"/>
        </w:rPr>
        <w:t xml:space="preserve"> tener un rol relevante en pacientes </w:t>
      </w:r>
      <w:r w:rsidR="006E52C8" w:rsidRPr="00670245">
        <w:rPr>
          <w:rFonts w:ascii="Times New Roman" w:hAnsi="Times New Roman" w:cs="Times New Roman"/>
          <w:color w:val="000000" w:themeColor="text1"/>
        </w:rPr>
        <w:t xml:space="preserve">oncológicos </w:t>
      </w:r>
      <w:r w:rsidRPr="00670245">
        <w:rPr>
          <w:rFonts w:ascii="Times New Roman" w:hAnsi="Times New Roman" w:cs="Times New Roman"/>
          <w:color w:val="000000" w:themeColor="text1"/>
        </w:rPr>
        <w:t xml:space="preserve">con dolor refractario, </w:t>
      </w:r>
      <w:r w:rsidR="006E52C8" w:rsidRPr="00670245">
        <w:rPr>
          <w:rFonts w:ascii="Times New Roman" w:hAnsi="Times New Roman" w:cs="Times New Roman"/>
          <w:color w:val="000000" w:themeColor="text1"/>
        </w:rPr>
        <w:t xml:space="preserve">la evidencia aún no es sólida ni suficiente </w:t>
      </w:r>
      <w:r w:rsidRPr="00670245">
        <w:rPr>
          <w:rFonts w:ascii="Times New Roman" w:hAnsi="Times New Roman" w:cs="Times New Roman"/>
          <w:color w:val="000000" w:themeColor="text1"/>
        </w:rPr>
        <w:t>para recomendar protocolos estandarizados.</w:t>
      </w:r>
    </w:p>
    <w:p w14:paraId="05428D4F" w14:textId="44447A46" w:rsidR="00166264" w:rsidRPr="00670245" w:rsidRDefault="006E52C8"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En 2019 se publicó una revisión sistemática </w:t>
      </w:r>
      <w:r w:rsidR="00166264" w:rsidRPr="00670245">
        <w:rPr>
          <w:rFonts w:ascii="Times New Roman" w:hAnsi="Times New Roman" w:cs="Times New Roman"/>
          <w:color w:val="000000" w:themeColor="text1"/>
        </w:rPr>
        <w:t>que analizó cinco ensayos clínicos aleatorizados con lidocaína intravenosa</w:t>
      </w:r>
      <w:r w:rsidRPr="00670245">
        <w:rPr>
          <w:rFonts w:ascii="Times New Roman" w:hAnsi="Times New Roman" w:cs="Times New Roman"/>
          <w:color w:val="000000" w:themeColor="text1"/>
        </w:rPr>
        <w:t xml:space="preserve">, nuestros resultados son </w:t>
      </w:r>
      <w:r w:rsidR="00F61E7D">
        <w:rPr>
          <w:rFonts w:ascii="Times New Roman" w:hAnsi="Times New Roman" w:cs="Times New Roman"/>
          <w:color w:val="000000" w:themeColor="text1"/>
        </w:rPr>
        <w:t xml:space="preserve">parcialmente </w:t>
      </w:r>
      <w:r w:rsidRPr="00670245">
        <w:rPr>
          <w:rFonts w:ascii="Times New Roman" w:hAnsi="Times New Roman" w:cs="Times New Roman"/>
          <w:color w:val="000000" w:themeColor="text1"/>
        </w:rPr>
        <w:t>concordantes</w:t>
      </w:r>
      <w:r w:rsidR="00166264" w:rsidRPr="00670245">
        <w:rPr>
          <w:rFonts w:ascii="Times New Roman" w:hAnsi="Times New Roman" w:cs="Times New Roman"/>
          <w:color w:val="000000" w:themeColor="text1"/>
        </w:rPr>
        <w:t>. En dicho análisis se describió un beneficio significativo frente a placebo en la proporción de pacientes que alcanzaron reducciones superiores al 50% en la intensidad del dolor. Sin embargo, los desenlaces secundarios fueron inconsistentes y la marcada heterogeneidad metodológica entre los estudios limitó la posibilidad de establecer protocolos estandarizados o emitir recomendaciones clínicas firmes</w:t>
      </w:r>
      <w:r w:rsidR="005A26D9" w:rsidRPr="00670245">
        <w:rPr>
          <w:rFonts w:ascii="Times New Roman" w:hAnsi="Times New Roman" w:cs="Times New Roman"/>
          <w:color w:val="000000" w:themeColor="text1"/>
        </w:rPr>
        <w:fldChar w:fldCharType="begin"/>
      </w:r>
      <w:r w:rsidR="005A26D9" w:rsidRPr="00670245">
        <w:rPr>
          <w:rFonts w:ascii="Times New Roman" w:hAnsi="Times New Roman" w:cs="Times New Roman"/>
          <w:color w:val="000000" w:themeColor="text1"/>
        </w:rPr>
        <w:instrText xml:space="preserve"> ADDIN ZOTERO_ITEM CSL_CITATION {"citationID":"XfbFvQc1","properties":{"formattedCitation":"(18)","plainCitation":"(18)","noteIndex":0},"citationItems":[{"id":118,"uris":["http://zotero.org/users/12518303/items/9JIW84Y4"],"itemData":{"id":118,"type":"article-journal","container-title":"Journal of Palliative Medicine","DOI":"10.1089/jpm.2018.0257","ISSN":"1096-6218, 1557-7740","issue":"3","journalAbbreviation":"Journal of Palliative Medicine","language":"en","license":"https://www.liebertpub.com/nv/resources-tools/text-and-data-mining-policy/121/","page":"326-334","source":"DOI.org (Crossref)","title":"Lidocaine for Cancer Pain in Adults: A Systematic Review and Meta-Analysis","title-short":"Lidocaine for Cancer Pain in Adults","volume":"22","author":[{"family":"Lee","given":"Jessica T."},{"family":"Sanderson","given":"Christine R."},{"family":"Xuan","given":"Wei"},{"family":"Agar","given":"Meera"}],"issued":{"date-parts":[["2019",3]]}}}],"schema":"https://github.com/citation-style-language/schema/raw/master/csl-citation.json"} </w:instrText>
      </w:r>
      <w:r w:rsidR="005A26D9" w:rsidRPr="00670245">
        <w:rPr>
          <w:rFonts w:ascii="Times New Roman" w:hAnsi="Times New Roman" w:cs="Times New Roman"/>
          <w:color w:val="000000" w:themeColor="text1"/>
        </w:rPr>
        <w:fldChar w:fldCharType="separate"/>
      </w:r>
      <w:r w:rsidR="005A26D9" w:rsidRPr="00670245">
        <w:rPr>
          <w:rFonts w:ascii="Times New Roman" w:hAnsi="Times New Roman" w:cs="Times New Roman"/>
          <w:noProof/>
          <w:color w:val="000000" w:themeColor="text1"/>
        </w:rPr>
        <w:t>(18)</w:t>
      </w:r>
      <w:r w:rsidR="005A26D9" w:rsidRPr="00670245">
        <w:rPr>
          <w:rFonts w:ascii="Times New Roman" w:hAnsi="Times New Roman" w:cs="Times New Roman"/>
          <w:color w:val="000000" w:themeColor="text1"/>
        </w:rPr>
        <w:fldChar w:fldCharType="end"/>
      </w:r>
      <w:r w:rsidR="005A26D9" w:rsidRPr="00670245">
        <w:rPr>
          <w:rFonts w:ascii="Times New Roman" w:hAnsi="Times New Roman" w:cs="Times New Roman"/>
          <w:color w:val="000000" w:themeColor="text1"/>
        </w:rPr>
        <w:t xml:space="preserve">. </w:t>
      </w:r>
      <w:r w:rsidR="00166264" w:rsidRPr="00670245">
        <w:rPr>
          <w:rFonts w:ascii="Times New Roman" w:hAnsi="Times New Roman" w:cs="Times New Roman"/>
          <w:color w:val="000000" w:themeColor="text1"/>
        </w:rPr>
        <w:t xml:space="preserve">A diferencia de esa revisión, nuestro trabajo amplía el alcance de la evidencia al incluir de forma explícita la infusión por vía subcutánea, que hasta entonces no había sido desarrollada en detalle. Esta decisión responde a la necesidad de explorar todas las alternativas disponibles para pacientes con dolor oncológico refractario, y en particular a la relevancia de contar con vías de administración factibles y seguras en escenarios de cuidados paliativos, donde las condiciones clínicas suelen restringir el uso de la vía oral o el acceso venoso prolongado </w:t>
      </w:r>
      <w:r w:rsidR="00166264"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{"citationID":"zw24V4Rp","properties":{"formattedCitation":"(9,27,28)","plainCitation":"(9,27,28)","noteIndex":0},"citationItems":[{"id":146,"uris":["http://zotero.org/users/12518303/items/MJVRZVQG"],"itemData":{"id":146,"type":"article-journal","container-title":"Journal of Palliative Medicine","DOI":"10.1089/jpm.2020.0622","ISSN":"1096-6218, 1557-7740","issue":"8","journalAbbreviation":"Journal of Palliative Medicine","language":"en","license":"https://www.liebertpub.com/nv/resources-tools/text-and-data-mining-policy/121/","page":"1154-1160","source":"DOI.org (Crossref)","title":"Parenteral Lidocaine for Complex Cancer Pain in the Home or Inpatient Hospice Setting: A Review and Synthesis of the Evidence","title-short":"Parenteral Lidocaine for Complex Cancer Pain in the Home or Inpatient Hospice Setting","volume":"24","author":[{"family":"Chong","given":"Poh Heng"},{"family":"Yeo","given":"Zhi Zheng"}],"issued":{"date-parts":[["2021",8,1]]}}},{"id":31,"uris":["http://zotero.org/users/12518303/items/Z775HBFS"],"itemData":{"id":31,"type":"article-journal","abstract":"Background: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G."}],"issued":{"date-parts":[["2020",10,1]]}}},{"id":138,"uris":["http://zotero.org/users/12518303/items/Y3VE9MJP"],"itemData":{"id":138,"type":"article-journal","container-title":"Revista Chilena de Anestesia","DOI":"10.25237/revchilanestv5208031431","ISSN":"07196792, 07164076","issue":"3","journalAbbreviation":"Rev. chil. anest.","page":"277-281","source":"DOI.org (Crossref)","title":"Indicaciones off-label de la lidocaína en infusión en cuidados paliativos: Manejo de dolor neuropático y prurito refractario","title-short":"Indicaciones off-label de la lidocaína en infusión en cuidados paliativos","volume":"52","author":[{"family":"Reyes Rueda","given":"Melissa"},{"family":"Molina","given":"Bilena Margarita"},{"family":"Rodríguez Martínez","given":"Carlos"}],"issued":{"date-parts":[["2023"]]}}}],"schema":"https://github.com/citation-style-language/schema/raw/master/csl-citation.json"} </w:instrText>
      </w:r>
      <w:r w:rsidR="00166264"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(9,27,28)</w:t>
      </w:r>
      <w:r w:rsidR="00166264" w:rsidRPr="00670245">
        <w:rPr>
          <w:rFonts w:ascii="Times New Roman" w:hAnsi="Times New Roman" w:cs="Times New Roman"/>
          <w:color w:val="000000" w:themeColor="text1"/>
        </w:rPr>
        <w:fldChar w:fldCharType="end"/>
      </w:r>
      <w:r w:rsidR="00166264" w:rsidRPr="00670245">
        <w:rPr>
          <w:rFonts w:ascii="Times New Roman" w:hAnsi="Times New Roman" w:cs="Times New Roman"/>
          <w:color w:val="000000" w:themeColor="text1"/>
        </w:rPr>
        <w:t>.</w:t>
      </w:r>
    </w:p>
    <w:p w14:paraId="0A737276" w14:textId="272C22F3" w:rsidR="00166264" w:rsidRPr="00670245" w:rsidRDefault="00166264"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La </w:t>
      </w:r>
      <w:r w:rsidR="00F422D2" w:rsidRPr="00670245">
        <w:rPr>
          <w:rFonts w:ascii="Times New Roman" w:hAnsi="Times New Roman" w:cs="Times New Roman"/>
          <w:color w:val="000000" w:themeColor="text1"/>
        </w:rPr>
        <w:t>consideración de la evidencia sobre la vía subcutánea</w:t>
      </w:r>
      <w:r w:rsidRPr="00670245">
        <w:rPr>
          <w:rFonts w:ascii="Times New Roman" w:hAnsi="Times New Roman" w:cs="Times New Roman"/>
          <w:color w:val="000000" w:themeColor="text1"/>
        </w:rPr>
        <w:t xml:space="preserve"> resulta fundamental porque aporta datos sobre la viabilidad, seguridad y posible eficacia de esta modalidad en pacientes con cáncer avanzado</w:t>
      </w:r>
      <w:r w:rsidR="005E6BE5" w:rsidRPr="00670245">
        <w:rPr>
          <w:rFonts w:ascii="Times New Roman" w:hAnsi="Times New Roman" w:cs="Times New Roman"/>
          <w:color w:val="000000" w:themeColor="text1"/>
        </w:rPr>
        <w:t xml:space="preserve">, no obstante, la evidencia clínica disponible sobre eficacia analgésica por esta vía sigue siendo limitada y debe interpretarse con cautela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{"citationID":"KhVbuvZQ","properties":{"formattedCitation":"(9)","plainCitation":"(9)","noteIndex":0},"citationItems":[{"id":31,"uris":["http://zotero.org/users/12518303/items/Z775HBFS"],"itemData":{"id":31,"type":"article-journal","abstract":"Background: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noProof/>
          <w:color w:val="000000" w:themeColor="text1"/>
        </w:rPr>
        <w:t>(9)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En el contexto paliativo, la vía subcutánea ofrece ventajas únicas: permite un control sintomático continuo, evita procedimientos invasivos, se adapta a la atención domiciliaria y es bien tolerada por los pacientes en hospicio</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{"citationID":"bOhZoQge","properties":{"formattedCitation":"(28)","plainCitation":"(28)","noteIndex":0},"citationItems":[{"id":146,"uris":["http://zotero.org/users/12518303/items/MJVRZVQG"],"itemData":{"id":146,"type":"article-journal","container-title":"Journal of Palliative Medicine","DOI":"10.1089/jpm.2020.0622","ISSN":"1096-6218, 1557-7740","issue":"8","journalAbbreviation":"Journal of Palliative Medicine","language":"en","license":"https://www.liebertpub.com/nv/resources-tools/text-and-data-mining-policy/121/","page":"1154-1160","source":"DOI.org (Crossref)","title":"Parenteral Lidocaine for Complex Cancer Pain in the Home or Inpatient Hospice Setting: A Review and Synthesis of the Evidence","title-short":"Parenteral Lidocaine for Complex Cancer Pain in the Home or Inpatient Hospice Setting","volume":"24","author":[{"family":"Chong","given":"Poh Heng"},{"family":"Yeo","given":"Zhi Zheng"}],"issued":{"date-parts":[["2021",8,1]]}}}],"schema":"https://github.com/citation-style-language/schema/raw/master/csl-citation.json"}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Estas características refuerzan el valor clínico de nuestra revisión, que no solo confirma los hallazgos </w:t>
      </w:r>
      <w:r w:rsidRPr="00670245">
        <w:rPr>
          <w:rFonts w:ascii="Times New Roman" w:hAnsi="Times New Roman" w:cs="Times New Roman"/>
          <w:color w:val="000000" w:themeColor="text1"/>
        </w:rPr>
        <w:lastRenderedPageBreak/>
        <w:t xml:space="preserve">previos de la evidencia intravenosa, sino que también integra la experiencia acumulada en entornos de subcutáneo y domicilio, documentada en estudios recientes que </w:t>
      </w:r>
      <w:r w:rsidR="00F61E7D">
        <w:rPr>
          <w:rFonts w:ascii="Times New Roman" w:hAnsi="Times New Roman" w:cs="Times New Roman"/>
          <w:color w:val="000000" w:themeColor="text1"/>
        </w:rPr>
        <w:t>exploran</w:t>
      </w:r>
      <w:r w:rsidRPr="00670245">
        <w:rPr>
          <w:rFonts w:ascii="Times New Roman" w:hAnsi="Times New Roman" w:cs="Times New Roman"/>
          <w:color w:val="000000" w:themeColor="text1"/>
        </w:rPr>
        <w:t xml:space="preserve"> su aplicabilidad en la práctica diaria de cuidados paliativos </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{"citationID":"KrbYMwbe","properties":{"formattedCitation":"(9,28)","plainCitation":"(9,28)","noteIndex":0},"citationItems":[{"id":146,"uris":["http://zotero.org/users/12518303/items/MJVRZVQG"],"itemData":{"id":146,"type":"article-journal","container-title":"Journal of Palliative Medicine","DOI":"10.1089/jpm.2020.0622","ISSN":"1096-6218, 1557-7740","issue":"8","journalAbbreviation":"Journal of Palliative Medicine","language":"en","license":"https://www.liebertpub.com/nv/resources-tools/text-and-data-mining-policy/121/","page":"1154-1160","source":"DOI.org (Crossref)","title":"Parenteral Lidocaine for Complex Cancer Pain in the Home or Inpatient Hospice Setting: A Review and Synthesis of the Evidence","title-short":"Parenteral Lidocaine for Complex Cancer Pain in the Home or Inpatient Hospice Setting","volume":"24","author":[{"family":"Chong","given":"Poh Heng"},{"family":"Yeo","given":"Zhi Zheng"}],"issued":{"date-parts":[["2021",8,1]]}}},{"id":31,"uris":["http://zotero.org/users/12518303/items/Z775HBFS"],"itemData":{"id":31,"type":"article-journal","abstract":"Background: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(9,28)</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En este sentido, destaca el protocolo LiCPain 2023, primer ensayo aleatorizado en curso sobre infusión subcutánea continua de lidocaína en dolor oncológico neuropático. Su diseño, que incorpora evaluación farmacocinética y de factibilidad, busca superar las limitaciones metodológicas de estudios previos y avanzar hacia protocolos estandarizados en cuidados paliativos</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{"citationID":"jsYwN7Qm","properties":{"formattedCitation":"(29)","plainCitation":"(29)","noteIndex":0},"citationItems":[{"id":37,"uris":["http://zotero.org/users/12518303/items/MCWPLVVJ"],"itemData":{"id":37,"type":"article-journal","abstract":"Introduction\n              Many patients experience unrelieved neuropathic cancer-related pain. Most current analgesic therapies have psychoactive side effects, lack efficacy data for this indication and have potential medication-related harms. The local anaesthetic lidocaine (lignocaine) has the potential to help manage neuropathic cancer-related pain when administered as an extended, continuous subcutaneous infusion. Data support lidocaine as a promising, safe agent in this setting, warranting further evaluation in robust, randomised controlled trials. This protocol describes the design of a pilot study to evaluate this intervention and explains the pharmacokinetic, efficacy and adverse effects evidence informing the design.\n            \n            \n              Methods and analysis\n              A mixed-methods pilot study will determine the feasibility of an international first, definitive phase III trial to evaluate the efficacy and safety of an extended continuous subcutaneous infusion of lidocaine for neuropathic cancer-related pain. This study will comprise: a phase II double-blind randomised controlled parallel-group pilot of subcutaneous infusion of lidocaine hydrochloride 10% w/v (3000 mg/30 mL) or placebo (sodium chloride 0.9%) over 72 hours for neuropathic cancer-related pain, a pharmacokinetic substudy and a qualitative substudy of patients’ and carers’ experiences. The pilot study will provide important safety data and help inform the methodology of a definitive trial, including testing proposed recruitment strategy, randomisation, outcome measures and patients’ acceptability of the methodology, as well as providing a signal of whether this area should be further investigated.\n            \n            \n              Ethics and dissemination\n              Participant safety is paramount and standardised assessments for adverse effects are built into the trial protocol. Findings will be published in a peer-reviewed journal and presented at conferences. This study will be considered suitable to progress to a phase III study if there is a completion rate where the CI includes 80% and excludes 60%. The protocol and Patient Information and Consent Form have been approved by Sydney Local Health District (Concord) Human Research Ethics Committee 2019/ETH07984 and University of Technology Sydney ETH17-1820.\n            \n            \n              Trial registration number\n              ANZCTR ACTRN12617000747325.","container-title":"BMJ Open","DOI":"10.1136/bmjopen-2022-066125","ISSN":"2044-6055, 2044-6055","issue":"2","journalAbbreviation":"BMJ Open","language":"en","page":"e066125","source":"DOI.org (Crossref)","title":"Lidocaine for Neuropathic Cancer Pain (LiCPain): study protocol for a mixed-methods pilot study","title-short":"Lidocaine for Neuropathic Cancer Pain (LiCPain)","volume":"13","author":[{"family":"Lee","given":"Jessica"},{"family":"Currow","given":"David"},{"family":"Lovell","given":"Melanie"},{"family":"Phillips","given":"Jane L"},{"family":"McLachlan","given":"Andrew"},{"family":"Ritchie","given":"Megan"},{"family":"Brown","given":"Linda"},{"family":"Fazekas","given":"Belinda"},{"family":"Aggarwal","given":"Rajesh"},{"family":"Seah","given":"Davinia"},{"family":"Sheehan","given":"Caitlin"},{"family":"Chye","given":"Richard"},{"family":"Noble","given":"Beverly"},{"family":"McCaffrey","given":"Nikki"},{"family":"Aggarwal","given":"Ghauri"},{"family":"George","given":"Rachel"},{"family":"Kow","given":"Marian"},{"family":"Ayoub","given":"Chadi"},{"family":"Linton","given":"Anthony"},{"family":"Sanderson","given":"Christine"},{"family":"Mittal","given":"Dipti"},{"family":"Rao","given":"Angela"},{"family":"Prael","given":"Grace"},{"family":"Urban","given":"Katalin"},{"family":"Vandersman","given":"Priyanka"},{"family":"Agar","given":"Meera"}],"issued":{"date-parts":[["2023",2]]}}}],"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4FE7BA78" w14:textId="7DEE881A" w:rsidR="00166264" w:rsidRPr="00670245" w:rsidRDefault="00166264"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En conjunto, esta revisión aporta una síntesis actualizada</w:t>
      </w:r>
      <w:r w:rsidR="00F422D2" w:rsidRPr="00670245">
        <w:rPr>
          <w:rFonts w:ascii="Times New Roman" w:hAnsi="Times New Roman" w:cs="Times New Roman"/>
          <w:color w:val="000000" w:themeColor="text1"/>
        </w:rPr>
        <w:t xml:space="preserve"> en una</w:t>
      </w:r>
      <w:r w:rsidRPr="00670245">
        <w:rPr>
          <w:rFonts w:ascii="Times New Roman" w:hAnsi="Times New Roman" w:cs="Times New Roman"/>
          <w:color w:val="000000" w:themeColor="text1"/>
        </w:rPr>
        <w:t xml:space="preserve"> población particularmente compleja. La evidencia disponible muestra señales</w:t>
      </w:r>
      <w:r w:rsidR="00F61E7D">
        <w:rPr>
          <w:rFonts w:ascii="Times New Roman" w:hAnsi="Times New Roman" w:cs="Times New Roman"/>
          <w:color w:val="000000" w:themeColor="text1"/>
        </w:rPr>
        <w:t xml:space="preserve"> preliminares</w:t>
      </w:r>
      <w:r w:rsidR="00F422D2" w:rsidRPr="00670245">
        <w:rPr>
          <w:rFonts w:ascii="Times New Roman" w:hAnsi="Times New Roman" w:cs="Times New Roman"/>
          <w:color w:val="000000" w:themeColor="text1"/>
        </w:rPr>
        <w:t xml:space="preserve"> de beneficio,</w:t>
      </w:r>
      <w:r w:rsidRPr="00670245">
        <w:rPr>
          <w:rFonts w:ascii="Times New Roman" w:hAnsi="Times New Roman" w:cs="Times New Roman"/>
          <w:color w:val="000000" w:themeColor="text1"/>
        </w:rPr>
        <w:t xml:space="preserve"> pero aún insuficiente para establecer esquemas uniformes de dosificación y duración </w:t>
      </w:r>
      <w:r w:rsidRPr="00670245">
        <w:rPr>
          <w:rFonts w:ascii="Times New Roman" w:hAnsi="Times New Roman" w:cs="Times New Roman"/>
          <w:color w:val="000000" w:themeColor="text1"/>
        </w:rPr>
        <w:fldChar w:fldCharType="begin"/>
      </w:r>
      <w:r w:rsidRPr="00670245">
        <w:rPr>
          <w:rFonts w:ascii="Times New Roman" w:hAnsi="Times New Roman" w:cs="Times New Roman"/>
          <w:color w:val="000000" w:themeColor="text1"/>
        </w:rPr>
        <w:instrText xml:space="preserve"> ADDIN ZOTERO_ITEM CSL_CITATION {"citationID":"Ce9LV2x2","properties":{"formattedCitation":"(7\\uc0\\u8211{}9,24,25)","plainCitation":"(7–9,24,25)","noteIndex":0},"citationItems":[{"id":28,"uris":["http://zotero.org/users/12518303/items/SGTBTX7K"],"itemData":{"id":28,"type":"article-journal","abstract":"In a randomized, double-blind, crossoverstudy, we evaluated the effect of intravenous lidocaine (5 mg/ kg body weight over30 min) on the neuropathicpain of advanced cancerpatients. Pain interm'~, assessedby a visual analogue scale, did not show any significant differencebetween lidocaine and placebo infusion. The blinded choice ofpatients and investigatorsalso suggestedno significant improvementfiom lidocaine when given by this regimen. Intravenous lidocainedoes not appear to have a significant analgesic effect on neuropathic cancerpain.J Pain Symptom Manage 1992;7:138-140.","container-title":"Journal of Pain and Symptom Management","DOI":"10.1016/S0885-3924(06)80004-7","ISSN":"08853924","issue":"3","journalAbbreviation":"Journal of Pain and Symptom Management","language":"en","license":"https://www.elsevier.com/tdm/userlicense/1.0/","page":"138-140","source":"DOI.org (Crossref)","title":"A randomized double-blind crossover trial of intravenous lidocaine in the treatment of neuropathic cancer pain","volume":"7","author":[{"family":"Bruera","given":"Eduardo"},{"family":"Ripamonti","given":"Carla"},{"family":"Brenneis","given":"Carleen"},{"family":"Macmillan","given":"Karen"},{"family":"Hanson","given":"John"}],"issued":{"date-parts":[["1992",4]]}}},{"id":27,"uris":["http://zotero.org/users/12518303/items/2HGHYVR8"],"itemData":{"id":27,"type":"article-journal","abstract":"Opioid-refractory pain is distressing because it is notoriously difﬁcult to treat. Relief from adjuvant therapies often occurs after a lag time. Retrospective evidence points to a role for intravenous (IV) lidocaine in this setting for pain relief. This study was planned as a randomized, double-blind, placebo-controlled, crossover study in which eligible patients received both lidocaine and placebo infusions separated by two weeks. Primary endpoints were magnitude and duration of pain relief. Fifty patients were included in the study. Pain relief was signiﬁcantly better (P &lt; 0.001) and more patients reported a decrease in analgesic requirements (P ¼ 0.0012) after lidocaine infusion than after placebo. Onset of analgesia was noted at a mean of 40 Æ 16.28 minutes after initiation of infusion of IV lidocaine. Mean duration of this analgesia, 9.34 Æ 2.58 days after the single infusion, was signiﬁcantly longer than that for placebo (P &lt; 0.01). Side effects observed were tinnitus, perioral numbness, sedation, lightheadedness, and headache. All side effects were self-limited and did not require any intervention except termination of lidocaine infusion in one case. These data demonstrate that a single IV infusion of lidocaine provided a signiﬁcantly greater magnitude and duration of pain relief than placebo infusion in opioid-refractory patients with cancer pain. Side effects were tolerable. It is thus a promising modality worth investigating further to establish guidelines for its use in cancer patients with opioid-refractory pain. J Pain Symptom Manage 2009;37:85e93. Ó 2009 U.S. Cancer Pain Relief Committee. Published by Elsevier Inc. All rights reserved.","container-title":"Journal of Pain and Symptom Management","DOI":"10.1016/j.jpainsymman.2007.12.023","ISSN":"08853924","issue":"1","journalAbbreviation":"Journal of Pain and Symptom Management","language":"en","license":"https://www.elsevier.com/tdm/userlicense/1.0/","page":"85-93","source":"DOI.org (Crossref)","title":"A Phase II Pilot Study to Evaluate Use of Intravenous Lidocaine for Opioid-Refractory Pain in Cancer Patients","volume":"37","author":[{"family":"Sharma","given":"Shekhar"},{"family":"Rajagopal","given":"M.R."},{"family":"Palat","given":"Gayatri"},{"family":"Singh","given":"Charu"},{"family":"Haji","given":"Altaf G."},{"family":"Jain","given":"Dimpel"}],"issued":{"date-parts":[["2009",1]]}}},{"id":29,"uris":["http://zotero.org/users/12518303/items/T64IPWAM"],"itemData":{"id":29,"type":"article-journal","abstract":"Introduction: Refractory pain is defined as that which remains persistent (EVA 6 or more) despite treatment with opioids (with 1 or more previous rotations) + anti-inflammatory drugs (NSAIDs or corticosteroids). Alpha-2 agonists and/or local anesthetics have been used for treating. Analgesic response to the administration of dexmedetomidine appears to occur at the level of dorsal root neuron, where the alpha-2 agonists block the release of substance P in the nociceptive pathway. The central analgesic effect is mediated by the activation of descending inhibitory pathways, by blocking the receptors of aspartate and glutamate. The use of intravenous lidocaine can suppress ectopic neural discharges primary afferents from injured due to its blocking voltage-dependent sodium channels. Furthermore it has been demonstrated activation of endogenous opioid system lidocaine infusion systemically.","container-title":"Revista de la Sociedad Española del Dolor","DOI":"10.4321/S1134-80462015000100002","ISSN":"1134-8046","issue":"1","journalAbbreviation":"Rev. Soc. Esp. Dolor","language":"es","page":"7-12","source":"DOI.org (Crossref)","title":"Comparación entre dexmedetomidina en infusión intravenosa vs. lidocaína en infusión intravenosa para el control de dolor refractario a tratamiento opioide en pacientes de cuidados paliativos","volume":"22","author":[{"family":"Carrillo Torres","given":"O."},{"family":"Gallegos Allier","given":"M.M."},{"family":"Jiménez Olvera","given":"M."}],"issued":{"date-parts":[["2015",2]]}}},{"id":31,"uris":["http://zotero.org/users/12518303/items/Z775HBFS"],"itemData":{"id":31,"type":"article-journal","abstract":"Background: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G."}],"issued":{"date-parts":[["2020",10,1]]}}},{"id":34,"uris":["http://zotero.org/users/12518303/items/PLM8W5A6"],"itemData":{"id":34,"type":"article-journal","container-title":"The Clinical Journal of Pain","DOI":"10.1097/00002508-198912000-00003","ISSN":"0749-8047","issue":"4","journalAbbreviation":"The Clinical Journal of Pain","language":"en","page":"291-294","source":"DOI.org (Crossref)","title":"Trial of Intravenous Lidocaine on Painful Neuropathy in Cancer Patients:","title-short":"Trial of Intravenous Lidocaine on Painful Neuropathy in Cancer Patients","volume":"5","author":[{"family":"Ellemann","given":"Karsten"},{"family":"Sjögren","given":"Per"},{"family":"Banning","given":"Anne-Marie"},{"family":"Jensen","given":"Troels S."},{"family":"Smith","given":"Torben"},{"family":"Geertseen","given":"Poul"}],"issued":{"date-parts":[["1989",12]]}}}],"schema":"https://github.com/citation-style-language/schema/raw/master/csl-citation.json"} </w:instrText>
      </w:r>
      <w:r w:rsidRPr="00670245">
        <w:rPr>
          <w:rFonts w:ascii="Times New Roman" w:hAnsi="Times New Roman" w:cs="Times New Roman"/>
          <w:color w:val="000000" w:themeColor="text1"/>
        </w:rPr>
        <w:fldChar w:fldCharType="separate"/>
      </w:r>
      <w:r w:rsidRPr="00670245">
        <w:rPr>
          <w:rFonts w:ascii="Times New Roman" w:hAnsi="Times New Roman" w:cs="Times New Roman"/>
          <w:color w:val="000000" w:themeColor="text1"/>
          <w:kern w:val="0"/>
          <w:lang w:val="es-ES"/>
        </w:rPr>
        <w:t>(7–9,24,25)</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xml:space="preserve">. </w:t>
      </w:r>
      <w:r w:rsidR="00F422D2" w:rsidRPr="00670245">
        <w:rPr>
          <w:rFonts w:ascii="Times New Roman" w:hAnsi="Times New Roman" w:cs="Times New Roman"/>
          <w:color w:val="000000" w:themeColor="text1"/>
        </w:rPr>
        <w:t>El énfasis en</w:t>
      </w:r>
      <w:r w:rsidRPr="00670245">
        <w:rPr>
          <w:rFonts w:ascii="Times New Roman" w:hAnsi="Times New Roman" w:cs="Times New Roman"/>
          <w:color w:val="000000" w:themeColor="text1"/>
        </w:rPr>
        <w:t xml:space="preserve"> la vía subcutánea y el desarrollo de ensayos en curso evidencian un cambio de paradigma hacia intervenciones más adaptadas al contexto paliativo y a escenarios de domicilio </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{"citationID":"uyPtWhWf","properties":{"formattedCitation":"(9,28,29)","plainCitation":"(9,28,29)","noteIndex":0},"citationItems":[{"id":37,"uris":["http://zotero.org/users/12518303/items/MCWPLVVJ"],"itemData":{"id":37,"type":"article-journal","abstract":"Introduction\n              Many patients experience unrelieved neuropathic cancer-related pain. Most current analgesic therapies have psychoactive side effects, lack efficacy data for this indication and have potential medication-related harms. The local anaesthetic lidocaine (lignocaine) has the potential to help manage neuropathic cancer-related pain when administered as an extended, continuous subcutaneous infusion. Data support lidocaine as a promising, safe agent in this setting, warranting further evaluation in robust, randomised controlled trials. This protocol describes the design of a pilot study to evaluate this intervention and explains the pharmacokinetic, efficacy and adverse effects evidence informing the design.\n            \n            \n              Methods and analysis\n              A mixed-methods pilot study will determine the feasibility of an international first, definitive phase III trial to evaluate the efficacy and safety of an extended continuous subcutaneous infusion of lidocaine for neuropathic cancer-related pain. This study will comprise: a phase II double-blind randomised controlled parallel-group pilot of subcutaneous infusion of lidocaine hydrochloride 10% w/v (3000 mg/30 mL) or placebo (sodium chloride 0.9%) over 72 hours for neuropathic cancer-related pain, a pharmacokinetic substudy and a qualitative substudy of patients’ and carers’ experiences. The pilot study will provide important safety data and help inform the methodology of a definitive trial, including testing proposed recruitment strategy, randomisation, outcome measures and patients’ acceptability of the methodology, as well as providing a signal of whether this area should be further investigated.\n            \n            \n              Ethics and dissemination\n              Participant safety is paramount and standardised assessments for adverse effects are built into the trial protocol. Findings will be published in a peer-reviewed journal and presented at conferences. This study will be considered suitable to progress to a phase III study if there is a completion rate where the CI includes 80% and excludes 60%. The protocol and Patient Information and Consent Form have been approved by Sydney Local Health District (Concord) Human Research Ethics Committee 2019/ETH07984 and University of Technology Sydney ETH17-1820.\n            \n            \n              Trial registration number\n              ANZCTR ACTRN12617000747325.","container-title":"BMJ Open","DOI":"10.1136/bmjopen-2022-066125","ISSN":"2044-6055, 2044-6055","issue":"2","journalAbbreviation":"BMJ Open","language":"en","page":"e066125","source":"DOI.org (Crossref)","title":"Lidocaine for Neuropathic Cancer Pain (LiCPain): study protocol for a mixed-methods pilot study","title-short":"Lidocaine for Neuropathic Cancer Pain (LiCPain)","volume":"13","author":[{"family":"Lee","given":"Jessica"},{"family":"Currow","given":"David"},{"family":"Lovell","given":"Melanie"},{"family":"Phillips","given":"Jane L"},{"family":"McLachlan","given":"Andrew"},{"family":"Ritchie","given":"Megan"},{"family":"Brown","given":"Linda"},{"family":"Fazekas","given":"Belinda"},{"family":"Aggarwal","given":"Rajesh"},{"family":"Seah","given":"Davinia"},{"family":"Sheehan","given":"Caitlin"},{"family":"Chye","given":"Richard"},{"family":"Noble","given":"Beverly"},{"family":"McCaffrey","given":"Nikki"},{"family":"Aggarwal","given":"Ghauri"},{"family":"George","given":"Rachel"},{"family":"Kow","given":"Marian"},{"family":"Ayoub","given":"Chadi"},{"family":"Linton","given":"Anthony"},{"family":"Sanderson","given":"Christine"},{"family":"Mittal","given":"Dipti"},{"family":"Rao","given":"Angela"},{"family":"Prael","given":"Grace"},{"family":"Urban","given":"Katalin"},{"family":"Vandersman","given":"Priyanka"},{"family":"Agar","given":"Meera"}],"issued":{"date-parts":[["2023",2]]}}},{"id":31,"uris":["http://zotero.org/users/12518303/items/Z775HBFS"],"itemData":{"id":31,"type":"article-journal","abstract":"Background: Intravenous lidocaine infusions have been shown to be effective for cancer related pain, but access is restricted to acute care settings. If able to be shown to be safe and effective, the subcutaneous route could expand access to residential hospices or patients’ homes.\nObjectives: This randomized, double-blind, placebo controlled, 2 · 2 crossover trial evaluated the effectiveness, safety, toxicity, and impact on quality of life of a limited duration subcutaneous lidocaine infusion (SCLI) for chronic cancer pain.\nMethods: Patients with the life expectancy of three months or more, who were experiencing cancer-related pain with a worst severity of at least 4 on a 0–10 scale despite a trial of at least one opioid and appropriate adjuvant analgesic, received two subcutaneous infusions at least a week apart; lidocaine 10 mg/kg over 5.5 hours and saline placebo. The primary outcome was either a reduction in worst pain intensity of two points out of 10 or a reduction in 24 hours opioid dose of at least 30% without worsening of pain scores, in seven days.\nResults: The SCLI was only effective for two subjects. One of these subjects experienced a drop in worst pain score and the other experienced a reduction in opioid dose.\nConclusions: A weight-based subcutaneous infusion of lidocaine does not achieve sufﬁciently predictable blood levels for determining lidocaine responsiveness. This study does not allow any conclusion to be drawn on whether or not lidocaine would have been more effective had it been titrated to higher blood levels.","container-title":"Journal of Palliative Medicine","DOI":"10.1089/jpm.2019.0621","ISSN":"1096-6218, 1557-7740","issue":"10","journalAbbreviation":"Journal of Palliative Medicine","language":"en","license":"https://www.liebertpub.com/nv/resources-tools/text-and-data-mining-policy/121/","page":"1357-1364","source":"DOI.org (Crossref)","title":"Subcutaneous Lidocaine for Cancer-Related Pain","volume":"23","author":[{"family":"Hawley","given":"Philippa"},{"family":"Fyles","given":"Gillian"},{"family":"Jefferys","given":"Stephen G."}],"issued":{"date-parts":[["2020",10,1]]}}},{"id":146,"uris":["http://zotero.org/users/12518303/items/MJVRZVQG"],"itemData":{"id":146,"type":"article-journal","container-title":"Journal of Palliative Medicine","DOI":"10.1089/jpm.2020.0622","ISSN":"1096-6218, 1557-7740","issue":"8","journalAbbreviation":"Journal of Palliative Medicine","language":"en","license":"https://www.liebertpub.com/nv/resources-tools/text-and-data-mining-policy/121/","page":"1154-1160","source":"DOI.org (Crossref)","title":"Parenteral Lidocaine for Complex Cancer Pain in the Home or Inpatient Hospice Setting: A Review and Synthesis of the Evidence","title-short":"Parenteral Lidocaine for Complex Cancer Pain in the Home or Inpatient Hospice Setting","volume":"24","author":[{"family":"Chong","given":"Poh Heng"},{"family":"Yeo","given":"Zhi Zheng"}],"issued":{"date-parts":[["2021",8,1]]}}}],"schema":"https://github.com/citation-style-language/schema/raw/master/csl-citation.json"}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(9,28,29)</w:t>
      </w:r>
      <w:r w:rsidRPr="00670245">
        <w:rPr>
          <w:rFonts w:ascii="Times New Roman" w:hAnsi="Times New Roman" w:cs="Times New Roman"/>
          <w:color w:val="000000" w:themeColor="text1"/>
        </w:rPr>
        <w:fldChar w:fldCharType="end"/>
      </w:r>
      <w:r w:rsidR="00F422D2" w:rsidRPr="00670245">
        <w:rPr>
          <w:rFonts w:ascii="Times New Roman" w:hAnsi="Times New Roman" w:cs="Times New Roman"/>
          <w:color w:val="000000" w:themeColor="text1"/>
        </w:rPr>
        <w:t>.</w:t>
      </w:r>
      <w:r w:rsidRPr="00670245">
        <w:rPr>
          <w:rFonts w:ascii="Times New Roman" w:hAnsi="Times New Roman" w:cs="Times New Roman"/>
          <w:color w:val="000000" w:themeColor="text1"/>
        </w:rPr>
        <w:t xml:space="preserve"> </w:t>
      </w:r>
      <w:r w:rsidR="00F422D2" w:rsidRPr="00670245">
        <w:rPr>
          <w:rFonts w:ascii="Times New Roman" w:hAnsi="Times New Roman" w:cs="Times New Roman"/>
          <w:color w:val="000000" w:themeColor="text1"/>
        </w:rPr>
        <w:t>Esto abre la posibilidad de mejorar el control sintomático en un grupo de pacientes históricamente difícil de manejar, al tiempo que resalta la urgencia de investigaciones futuras de mayor tamaño y calidad metodológica que consoliden el papel de la lidocaína en cuidados paliativos y guíen recomendaciones basadas en evidencia</w:t>
      </w:r>
      <w:r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{"citationID":"hjjfW8Wx","properties":{"formattedCitation":"(18,28,29)","plainCitation":"(18,28,29)","noteIndex":0},"citationItems":[{"id":37,"uris":["http://zotero.org/users/12518303/items/MCWPLVVJ"],"itemData":{"id":37,"type":"article-journal","abstract":"Introduction\n              Many patients experience unrelieved neuropathic cancer-related pain. Most current analgesic therapies have psychoactive side effects, lack efficacy data for this indication and have potential medication-related harms. The local anaesthetic lidocaine (lignocaine) has the potential to help manage neuropathic cancer-related pain when administered as an extended, continuous subcutaneous infusion. Data support lidocaine as a promising, safe agent in this setting, warranting further evaluation in robust, randomised controlled trials. This protocol describes the design of a pilot study to evaluate this intervention and explains the pharmacokinetic, efficacy and adverse effects evidence informing the design.\n            \n            \n              Methods and analysis\n              A mixed-methods pilot study will determine the feasibility of an international first, definitive phase III trial to evaluate the efficacy and safety of an extended continuous subcutaneous infusion of lidocaine for neuropathic cancer-related pain. This study will comprise: a phase II double-blind randomised controlled parallel-group pilot of subcutaneous infusion of lidocaine hydrochloride 10% w/v (3000 mg/30 mL) or placebo (sodium chloride 0.9%) over 72 hours for neuropathic cancer-related pain, a pharmacokinetic substudy and a qualitative substudy of patients’ and carers’ experiences. The pilot study will provide important safety data and help inform the methodology of a definitive trial, including testing proposed recruitment strategy, randomisation, outcome measures and patients’ acceptability of the methodology, as well as providing a signal of whether this area should be further investigated.\n            \n            \n              Ethics and dissemination\n              Participant safety is paramount and standardised assessments for adverse effects are built into the trial protocol. Findings will be published in a peer-reviewed journal and presented at conferences. This study will be considered suitable to progress to a phase III study if there is a completion rate where the CI includes 80% and excludes 60%. The protocol and Patient Information and Consent Form have been approved by Sydney Local Health District (Concord) Human Research Ethics Committee 2019/ETH07984 and University of Technology Sydney ETH17-1820.\n            \n            \n              Trial registration number\n              ANZCTR ACTRN12617000747325.","container-title":"BMJ Open","DOI":"10.1136/bmjopen-2022-066125","ISSN":"2044-6055, 2044-6055","issue":"2","journalAbbreviation":"BMJ Open","language":"en","page":"e066125","source":"DOI.org (Crossref)","title":"Lidocaine for Neuropathic Cancer Pain (LiCPain): study protocol for a mixed-methods pilot study","title-short":"Lidocaine for Neuropathic Cancer Pain (LiCPain)","volume":"13","author":[{"family":"Lee","given":"Jessica"},{"family":"Currow","given":"David"},{"family":"Lovell","given":"Melanie"},{"family":"Phillips","given":"Jane L"},{"family":"McLachlan","given":"Andrew"},{"family":"Ritchie","given":"Megan"},{"family":"Brown","given":"Linda"},{"family":"Fazekas","given":"Belinda"},{"family":"Aggarwal","given":"Rajesh"},{"family":"Seah","given":"Davinia"},{"family":"Sheehan","given":"Caitlin"},{"family":"Chye","given":"Richard"},{"family":"Noble","given":"Beverly"},{"family":"McCaffrey","given":"Nikki"},{"family":"Aggarwal","given":"Ghauri"},{"family":"George","given":"Rachel"},{"family":"Kow","given":"Marian"},{"family":"Ayoub","given":"Chadi"},{"family":"Linton","given":"Anthony"},{"family":"Sanderson","given":"Christine"},{"family":"Mittal","given":"Dipti"},{"family":"Rao","given":"Angela"},{"family":"Prael","given":"Grace"},{"family":"Urban","given":"Katalin"},{"family":"Vandersman","given":"Priyanka"},{"family":"Agar","given":"Meera"}],"issued":{"date-parts":[["2023",2]]}}},{"id":118,"uris":["http://zotero.org/users/12518303/items/9JIW84Y4"],"itemData":{"id":118,"type":"article-journal","container-title":"Journal of Palliative Medicine","DOI":"10.1089/jpm.2018.0257","ISSN":"1096-6218, 1557-7740","issue":"3","journalAbbreviation":"Journal of Palliative Medicine","language":"en","license":"https://www.liebertpub.com/nv/resources-tools/text-and-data-mining-policy/121/","page":"326-334","source":"DOI.org (Crossref)","title":"Lidocaine for Cancer Pain in Adults: A Systematic Review and Meta-Analysis","title-short":"Lidocaine for Cancer Pain in Adults","volume":"22","author":[{"family":"Lee","given":"Jessica T."},{"family":"Sanderson","given":"Christine R."},{"family":"Xuan","given":"Wei"},{"family":"Agar","given":"Meera"}],"issued":{"date-parts":[["2019",3]]}}},{"id":146,"uris":["http://zotero.org/users/12518303/items/MJVRZVQG"],"itemData":{"id":146,"type":"article-journal","container-title":"Journal of Palliative Medicine","DOI":"10.1089/jpm.2020.0622","ISSN":"1096-6218, 1557-7740","issue":"8","journalAbbreviation":"Journal of Palliative Medicine","language":"en","license":"https://www.liebertpub.com/nv/resources-tools/text-and-data-mining-policy/121/","page":"1154-1160","source":"DOI.org (Crossref)","title":"Parenteral Lidocaine for Complex Cancer Pain in the Home or Inpatient Hospice Setting: A Review and Synthesis of the Evidence","title-short":"Parenteral Lidocaine for Complex Cancer Pain in the Home or Inpatient Hospice Setting","volume":"24","author":[{"family":"Chong","given":"Poh Heng"},{"family":"Yeo","given":"Zhi Zheng"}],"issued":{"date-parts":[["2021",8,1]]}}}],"schema":"https://github.com/citation-style-language/schema/raw/master/csl-citation.json"} </w:instrText>
      </w:r>
      <w:r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(18,28,29)</w:t>
      </w:r>
      <w:r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w:t>
      </w:r>
    </w:p>
    <w:p w14:paraId="1CCE3692" w14:textId="77777777" w:rsidR="00166264" w:rsidRPr="00670245" w:rsidRDefault="00166264" w:rsidP="00670245">
      <w:pPr>
        <w:tabs>
          <w:tab w:val="left" w:pos="4820"/>
        </w:tabs>
        <w:spacing w:line="360" w:lineRule="auto"/>
        <w:jc w:val="both"/>
        <w:rPr>
          <w:rFonts w:ascii="Times New Roman" w:hAnsi="Times New Roman" w:cs="Times New Roman"/>
          <w:color w:val="000000" w:themeColor="text1"/>
        </w:rPr>
      </w:pPr>
    </w:p>
    <w:p w14:paraId="4237780B" w14:textId="6A92AC97" w:rsidR="00166264" w:rsidRPr="00B1354E" w:rsidRDefault="00166264"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Limitaciones de</w:t>
      </w:r>
      <w:r w:rsidR="00F422D2" w:rsidRPr="00B1354E">
        <w:rPr>
          <w:rFonts w:ascii="Times New Roman" w:hAnsi="Times New Roman" w:cs="Times New Roman"/>
          <w:i/>
          <w:iCs/>
          <w:color w:val="000000" w:themeColor="text1"/>
        </w:rPr>
        <w:t xml:space="preserve"> la evidencia </w:t>
      </w:r>
    </w:p>
    <w:p w14:paraId="1B10F5EE" w14:textId="77777777" w:rsidR="00F61E7D" w:rsidRDefault="00166264"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La evidencia analizada presenta limitaciones importantes que deben considerarse al interpretar los resultados. El número de estudios es reducido y la mayoría incluyó muestras pequeñas, lo que limita la potencia estadística y la generalización de los hallazgos. Además, existe heterogeneidad metodológica en el diseño de los ensayos, las dosis utilizadas, la duración de las infusiones y las vías de administración evaluadas. Los resultados han sido en ocasiones inconsistentes, con ensayos que muestran beneficio significativo y otros que no encuentran diferencias frente a placebo. La investigación sobre la vía subcutánea sigue siendo escasa y proviene principalmente de estudios de corta duración y con bajo número de participantes, mientras que los datos de seguimiento a largo plazo son prácticamente inexistentes.</w:t>
      </w:r>
      <w:r w:rsidR="00F61E7D">
        <w:rPr>
          <w:rFonts w:ascii="Times New Roman" w:hAnsi="Times New Roman" w:cs="Times New Roman"/>
          <w:color w:val="000000" w:themeColor="text1"/>
        </w:rPr>
        <w:t xml:space="preserve"> </w:t>
      </w:r>
    </w:p>
    <w:p w14:paraId="70C40702" w14:textId="2AC8850F" w:rsidR="00166264" w:rsidRDefault="00F61E7D" w:rsidP="00670245">
      <w:pPr>
        <w:tabs>
          <w:tab w:val="left" w:pos="4820"/>
        </w:tabs>
        <w:spacing w:line="360" w:lineRule="auto"/>
        <w:jc w:val="both"/>
        <w:rPr>
          <w:rFonts w:ascii="Times New Roman" w:hAnsi="Times New Roman" w:cs="Times New Roman"/>
          <w:color w:val="000000" w:themeColor="text1"/>
        </w:rPr>
      </w:pPr>
      <w:r w:rsidRPr="00F61E7D">
        <w:rPr>
          <w:rFonts w:ascii="Times New Roman" w:hAnsi="Times New Roman" w:cs="Times New Roman"/>
          <w:color w:val="000000" w:themeColor="text1"/>
        </w:rPr>
        <w:t>Estas limitaciones refuerzan la necesidad de interpretar los hallazgos con cautela y de evitar extrapolaciones más allá de los contextos clínicos evaluados</w:t>
      </w:r>
      <w:r>
        <w:rPr>
          <w:rFonts w:ascii="Times New Roman" w:hAnsi="Times New Roman" w:cs="Times New Roman"/>
          <w:color w:val="000000" w:themeColor="text1"/>
        </w:rPr>
        <w:t>.</w:t>
      </w:r>
    </w:p>
    <w:p w14:paraId="17F4F58F" w14:textId="77777777" w:rsidR="00B1354E" w:rsidRPr="00670245" w:rsidRDefault="00B1354E" w:rsidP="00670245">
      <w:pPr>
        <w:tabs>
          <w:tab w:val="left" w:pos="4820"/>
        </w:tabs>
        <w:spacing w:line="360" w:lineRule="auto"/>
        <w:jc w:val="both"/>
        <w:rPr>
          <w:rFonts w:ascii="Times New Roman" w:hAnsi="Times New Roman" w:cs="Times New Roman"/>
          <w:color w:val="000000" w:themeColor="text1"/>
        </w:rPr>
      </w:pPr>
    </w:p>
    <w:p w14:paraId="782CD794" w14:textId="68B5BF77" w:rsidR="00F422D2" w:rsidRPr="00B1354E" w:rsidRDefault="00F422D2"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t xml:space="preserve">Limitaciones de esta revisión  </w:t>
      </w:r>
    </w:p>
    <w:p w14:paraId="03F5A64E" w14:textId="1F3B7D1F" w:rsidR="005A26D9" w:rsidRPr="00670245" w:rsidRDefault="00166264"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Nuestra revisión también presenta limitaciones. El número reducido de estudios incluidos impidió realizar un metaanálisis cuantitativo, restringiendo la síntesis a un enfoque narrativo. No se puede descartar la posibilidad de sesgo de publicación, dado que estudios con resultados negativos podrían no haberse reportado. Asimismo, la diversidad de comparadores empleados en los ensayos (placebo, dexmedetomidina o ausencia de control activo) dificulta la comparación directa entre los resultados. La falta de uniformidad en los desenlaces evaluados, algunos reportaron reducción absoluta de dolor, otros reducción porcentual y pocos incluyeron calidad de vida o consumo de opioides, constituye otra limitación relevante. Finalmente, aunque identificamos protocolos recientes de investigación</w:t>
      </w:r>
      <w:r w:rsidR="00F422D2" w:rsidRPr="00670245">
        <w:rPr>
          <w:rFonts w:ascii="Times New Roman" w:hAnsi="Times New Roman" w:cs="Times New Roman"/>
          <w:color w:val="000000" w:themeColor="text1"/>
        </w:rPr>
        <w:t xml:space="preserve"> </w:t>
      </w:r>
      <w:r w:rsidR="00F422D2" w:rsidRPr="00670245">
        <w:rPr>
          <w:rFonts w:ascii="Times New Roman" w:hAnsi="Times New Roman" w:cs="Times New Roman"/>
          <w:color w:val="000000" w:themeColor="text1"/>
        </w:rPr>
        <w:fldChar w:fldCharType="begin"/>
      </w:r>
      <w:r w:rsidR="002A3D9C" w:rsidRPr="00670245">
        <w:rPr>
          <w:rFonts w:ascii="Times New Roman" w:hAnsi="Times New Roman" w:cs="Times New Roman"/>
          <w:color w:val="000000" w:themeColor="text1"/>
        </w:rPr>
        <w:instrText xml:space="preserve"> ADDIN ZOTERO_ITEM CSL_CITATION {"citationID":"NSim45fl","properties":{"formattedCitation":"(29)","plainCitation":"(29)","noteIndex":0},"citationItems":[{"id":37,"uris":["http://zotero.org/users/12518303/items/MCWPLVVJ"],"itemData":{"id":37,"type":"article-journal","abstract":"Introduction\n              Many patients experience unrelieved neuropathic cancer-related pain. Most current analgesic therapies have psychoactive side effects, lack efficacy data for this indication and have potential medication-related harms. The local anaesthetic lidocaine (lignocaine) has the potential to help manage neuropathic cancer-related pain when administered as an extended, continuous subcutaneous infusion. Data support lidocaine as a promising, safe agent in this setting, warranting further evaluation in robust, randomised controlled trials. This protocol describes the design of a pilot study to evaluate this intervention and explains the pharmacokinetic, efficacy and adverse effects evidence informing the design.\n            \n            \n              Methods and analysis\n              A mixed-methods pilot study will determine the feasibility of an international first, definitive phase III trial to evaluate the efficacy and safety of an extended continuous subcutaneous infusion of lidocaine for neuropathic cancer-related pain. This study will comprise: a phase II double-blind randomised controlled parallel-group pilot of subcutaneous infusion of lidocaine hydrochloride 10% w/v (3000 mg/30 mL) or placebo (sodium chloride 0.9%) over 72 hours for neuropathic cancer-related pain, a pharmacokinetic substudy and a qualitative substudy of patients’ and carers’ experiences. The pilot study will provide important safety data and help inform the methodology of a definitive trial, including testing proposed recruitment strategy, randomisation, outcome measures and patients’ acceptability of the methodology, as well as providing a signal of whether this area should be further investigated.\n            \n            \n              Ethics and dissemination\n              Participant safety is paramount and standardised assessments for adverse effects are built into the trial protocol. Findings will be published in a peer-reviewed journal and presented at conferences. This study will be considered suitable to progress to a phase III study if there is a completion rate where the CI includes 80% and excludes 60%. The protocol and Patient Information and Consent Form have been approved by Sydney Local Health District (Concord) Human Research Ethics Committee 2019/ETH07984 and University of Technology Sydney ETH17-1820.\n            \n            \n              Trial registration number\n              ANZCTR ACTRN12617000747325.","container-title":"BMJ Open","DOI":"10.1136/bmjopen-2022-066125","ISSN":"2044-6055, 2044-6055","issue":"2","journalAbbreviation":"BMJ Open","language":"en","page":"e066125","source":"DOI.org (Crossref)","title":"Lidocaine for Neuropathic Cancer Pain (LiCPain): study protocol for a mixed-methods pilot study","title-short":"Lidocaine for Neuropathic Cancer Pain (LiCPain)","volume":"13","author":[{"family":"Lee","given":"Jessica"},{"family":"Currow","given":"David"},{"family":"Lovell","given":"Melanie"},{"family":"Phillips","given":"Jane L"},{"family":"McLachlan","given":"Andrew"},{"family":"Ritchie","given":"Megan"},{"family":"Brown","given":"Linda"},{"family":"Fazekas","given":"Belinda"},{"family":"Aggarwal","given":"Rajesh"},{"family":"Seah","given":"Davinia"},{"family":"Sheehan","given":"Caitlin"},{"family":"Chye","given":"Richard"},{"family":"Noble","given":"Beverly"},{"family":"McCaffrey","given":"Nikki"},{"family":"Aggarwal","given":"Ghauri"},{"family":"George","given":"Rachel"},{"family":"Kow","given":"Marian"},{"family":"Ayoub","given":"Chadi"},{"family":"Linton","given":"Anthony"},{"family":"Sanderson","given":"Christine"},{"family":"Mittal","given":"Dipti"},{"family":"Rao","given":"Angela"},{"family":"Prael","given":"Grace"},{"family":"Urban","given":"Katalin"},{"family":"Vandersman","given":"Priyanka"},{"family":"Agar","given":"Meera"}],"issued":{"date-parts":[["2023",2]]}}}],"schema":"https://github.com/citation-style-language/schema/raw/master/csl-citation.json"} </w:instrText>
      </w:r>
      <w:r w:rsidR="00F422D2" w:rsidRPr="00670245">
        <w:rPr>
          <w:rFonts w:ascii="Times New Roman" w:hAnsi="Times New Roman" w:cs="Times New Roman"/>
          <w:color w:val="000000" w:themeColor="text1"/>
        </w:rPr>
        <w:fldChar w:fldCharType="separate"/>
      </w:r>
      <w:r w:rsidR="002A3D9C" w:rsidRPr="00670245">
        <w:rPr>
          <w:rFonts w:ascii="Times New Roman" w:hAnsi="Times New Roman" w:cs="Times New Roman"/>
          <w:noProof/>
          <w:color w:val="000000" w:themeColor="text1"/>
        </w:rPr>
        <w:t>(29)</w:t>
      </w:r>
      <w:r w:rsidR="00F422D2" w:rsidRPr="00670245">
        <w:rPr>
          <w:rFonts w:ascii="Times New Roman" w:hAnsi="Times New Roman" w:cs="Times New Roman"/>
          <w:color w:val="000000" w:themeColor="text1"/>
        </w:rPr>
        <w:fldChar w:fldCharType="end"/>
      </w:r>
      <w:r w:rsidRPr="00670245">
        <w:rPr>
          <w:rFonts w:ascii="Times New Roman" w:hAnsi="Times New Roman" w:cs="Times New Roman"/>
          <w:color w:val="000000" w:themeColor="text1"/>
        </w:rPr>
        <w:t>, estos no pudieron ser incluidos al no disponer aún de resultados clínicos publicados.</w:t>
      </w:r>
    </w:p>
    <w:p w14:paraId="4DF614FC" w14:textId="43969252" w:rsidR="00B36A40" w:rsidRPr="00A269B6" w:rsidRDefault="00B36A40" w:rsidP="00670245">
      <w:pPr>
        <w:pStyle w:val="Heading1"/>
        <w:tabs>
          <w:tab w:val="left" w:pos="4820"/>
        </w:tabs>
        <w:spacing w:line="360" w:lineRule="auto"/>
        <w:jc w:val="both"/>
        <w:rPr>
          <w:rFonts w:ascii="Times New Roman" w:hAnsi="Times New Roman" w:cs="Times New Roman"/>
          <w:b/>
          <w:bCs/>
          <w:color w:val="000000" w:themeColor="text1"/>
          <w:sz w:val="24"/>
          <w:szCs w:val="24"/>
        </w:rPr>
      </w:pPr>
      <w:r w:rsidRPr="00A269B6">
        <w:rPr>
          <w:rFonts w:ascii="Times New Roman" w:hAnsi="Times New Roman" w:cs="Times New Roman"/>
          <w:b/>
          <w:bCs/>
          <w:color w:val="000000" w:themeColor="text1"/>
          <w:sz w:val="24"/>
          <w:szCs w:val="24"/>
        </w:rPr>
        <w:t>Conclusi</w:t>
      </w:r>
      <w:r w:rsidR="00CA6A62" w:rsidRPr="00A269B6">
        <w:rPr>
          <w:rFonts w:ascii="Times New Roman" w:hAnsi="Times New Roman" w:cs="Times New Roman"/>
          <w:b/>
          <w:bCs/>
          <w:color w:val="000000" w:themeColor="text1"/>
          <w:sz w:val="24"/>
          <w:szCs w:val="24"/>
        </w:rPr>
        <w:t>ones</w:t>
      </w:r>
    </w:p>
    <w:p w14:paraId="0ECBA37F" w14:textId="642E49E5" w:rsidR="005E6BE5" w:rsidRPr="00670245" w:rsidRDefault="005E6BE5"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Esta revisión sistemática identificó cinco ensayos clínicos aleatorizados que evaluaron el uso de lidocaína sistémica en pacientes con dolor oncológico refractario, predominantemente con componente neuropático. Los resultados fueron heterogéneos: un ensayo mostró un beneficio analgésico clínicamente relevante frente a placebo, mientras que otros no evidenciaron superioridad frente a placebo o comparador activo, con un perfil de seguridad aceptable caracterizado por efectos adversos leves y transitorios. </w:t>
      </w:r>
    </w:p>
    <w:p w14:paraId="100C72B8" w14:textId="4DA0E926" w:rsidR="00F422D2"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 xml:space="preserve">El </w:t>
      </w:r>
      <w:r w:rsidR="00F61E7D">
        <w:rPr>
          <w:rFonts w:ascii="Times New Roman" w:hAnsi="Times New Roman" w:cs="Times New Roman"/>
          <w:color w:val="000000" w:themeColor="text1"/>
        </w:rPr>
        <w:t xml:space="preserve">potencial </w:t>
      </w:r>
      <w:r w:rsidRPr="00670245">
        <w:rPr>
          <w:rFonts w:ascii="Times New Roman" w:hAnsi="Times New Roman" w:cs="Times New Roman"/>
          <w:color w:val="000000" w:themeColor="text1"/>
        </w:rPr>
        <w:t xml:space="preserve">valor clínico de estos hallazgos radica en considerar la lidocaína como una opción adyuvante en pacientes con dolor difícil de controlar, especialmente en escenarios paliativos donde los tratamientos convencionales no han sido efectivos. La evidencia sobre la vía subcutánea abre una alternativa </w:t>
      </w:r>
      <w:r w:rsidR="00AA4B78" w:rsidRPr="00670245">
        <w:rPr>
          <w:rFonts w:ascii="Times New Roman" w:hAnsi="Times New Roman" w:cs="Times New Roman"/>
          <w:color w:val="000000" w:themeColor="text1"/>
        </w:rPr>
        <w:t xml:space="preserve">logística </w:t>
      </w:r>
      <w:r w:rsidRPr="00670245">
        <w:rPr>
          <w:rFonts w:ascii="Times New Roman" w:hAnsi="Times New Roman" w:cs="Times New Roman"/>
          <w:color w:val="000000" w:themeColor="text1"/>
        </w:rPr>
        <w:t>práctica y factible en pacientes en quienes el acceso intravenoso no es posible, lo que puede tener impacto directo en la calidad de vida.</w:t>
      </w:r>
    </w:p>
    <w:p w14:paraId="6F04E57A" w14:textId="13F4FD35" w:rsidR="009C7FE1"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No obstante, la certeza de la evidencia es baja</w:t>
      </w:r>
      <w:r w:rsidR="00F61E7D">
        <w:rPr>
          <w:rFonts w:ascii="Times New Roman" w:hAnsi="Times New Roman" w:cs="Times New Roman"/>
          <w:color w:val="000000" w:themeColor="text1"/>
        </w:rPr>
        <w:t xml:space="preserve"> a muy baja</w:t>
      </w:r>
      <w:r w:rsidRPr="00670245">
        <w:rPr>
          <w:rFonts w:ascii="Times New Roman" w:hAnsi="Times New Roman" w:cs="Times New Roman"/>
          <w:color w:val="000000" w:themeColor="text1"/>
        </w:rPr>
        <w:t xml:space="preserve"> debido a limitaciones metodológicas y tamaños muestrales reducidos. Por ello, su uso debe ser individualizado, con adecuada monitorización clínica y reservado a contextos especializados.</w:t>
      </w:r>
      <w:r w:rsidR="009C7FE1">
        <w:rPr>
          <w:rFonts w:ascii="Times New Roman" w:hAnsi="Times New Roman" w:cs="Times New Roman"/>
          <w:color w:val="000000" w:themeColor="text1"/>
        </w:rPr>
        <w:t xml:space="preserve"> </w:t>
      </w:r>
    </w:p>
    <w:p w14:paraId="2134A634" w14:textId="77777777" w:rsidR="004831D7" w:rsidRDefault="004831D7" w:rsidP="00670245">
      <w:pPr>
        <w:tabs>
          <w:tab w:val="left" w:pos="4820"/>
        </w:tabs>
        <w:spacing w:line="360" w:lineRule="auto"/>
        <w:jc w:val="both"/>
        <w:rPr>
          <w:rFonts w:ascii="Times New Roman" w:hAnsi="Times New Roman" w:cs="Times New Roman"/>
          <w:b/>
          <w:bCs/>
          <w:color w:val="000000" w:themeColor="text1"/>
        </w:rPr>
      </w:pPr>
    </w:p>
    <w:p w14:paraId="4DEB0A7B" w14:textId="7BD8D14F" w:rsidR="00F422D2" w:rsidRPr="00B1354E" w:rsidRDefault="00F422D2" w:rsidP="00670245">
      <w:pPr>
        <w:tabs>
          <w:tab w:val="left" w:pos="4820"/>
        </w:tabs>
        <w:spacing w:line="360" w:lineRule="auto"/>
        <w:jc w:val="both"/>
        <w:rPr>
          <w:rFonts w:ascii="Times New Roman" w:hAnsi="Times New Roman" w:cs="Times New Roman"/>
          <w:i/>
          <w:iCs/>
          <w:color w:val="000000" w:themeColor="text1"/>
        </w:rPr>
      </w:pPr>
      <w:r w:rsidRPr="00B1354E">
        <w:rPr>
          <w:rFonts w:ascii="Times New Roman" w:hAnsi="Times New Roman" w:cs="Times New Roman"/>
          <w:i/>
          <w:iCs/>
          <w:color w:val="000000" w:themeColor="text1"/>
        </w:rPr>
        <w:lastRenderedPageBreak/>
        <w:t>Recomendaciones</w:t>
      </w:r>
    </w:p>
    <w:p w14:paraId="4CFE0160" w14:textId="77777777" w:rsidR="00F422D2"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En la práctica clínica, la lidocaína en infusión puede considerarse una alternativa de rescate en dolor oncológico refractario, siempre bajo supervisión de equipos experimentados en cuidados paliativos y dolor.</w:t>
      </w:r>
    </w:p>
    <w:p w14:paraId="3BC32FB1" w14:textId="1784913F" w:rsidR="00B36A40" w:rsidRPr="00670245" w:rsidRDefault="00F422D2" w:rsidP="00670245">
      <w:pPr>
        <w:tabs>
          <w:tab w:val="left" w:pos="4820"/>
        </w:tabs>
        <w:spacing w:line="360" w:lineRule="auto"/>
        <w:jc w:val="both"/>
        <w:rPr>
          <w:rFonts w:ascii="Times New Roman" w:hAnsi="Times New Roman" w:cs="Times New Roman"/>
          <w:color w:val="000000" w:themeColor="text1"/>
        </w:rPr>
      </w:pPr>
      <w:r w:rsidRPr="00670245">
        <w:rPr>
          <w:rFonts w:ascii="Times New Roman" w:hAnsi="Times New Roman" w:cs="Times New Roman"/>
          <w:color w:val="000000" w:themeColor="text1"/>
        </w:rPr>
        <w:t>En investigación, se requieren ensayos multicéntricos con mayor número de pacientes, protocolos de dosificación estandarizados y desenlaces centrados en calidad de vida y consumo de opioides, que permitan consolidar la evidencia y guiar futuras recomendaciones en guías clínicas.</w:t>
      </w:r>
    </w:p>
    <w:p w14:paraId="681F4A5A" w14:textId="77777777" w:rsidR="00F422D2" w:rsidRPr="00EC3333" w:rsidRDefault="00F422D2" w:rsidP="00670245">
      <w:pPr>
        <w:tabs>
          <w:tab w:val="left" w:pos="4820"/>
        </w:tabs>
        <w:spacing w:line="360" w:lineRule="auto"/>
        <w:jc w:val="both"/>
        <w:rPr>
          <w:rStyle w:val="SubtitleChar"/>
          <w:rFonts w:ascii="Times New Roman" w:hAnsi="Times New Roman" w:cs="Times New Roman"/>
          <w:color w:val="000000" w:themeColor="text1"/>
          <w:sz w:val="24"/>
          <w:szCs w:val="24"/>
        </w:rPr>
      </w:pPr>
      <w:r w:rsidRPr="00B1354E">
        <w:rPr>
          <w:rStyle w:val="Heading1Char"/>
          <w:rFonts w:ascii="Times New Roman" w:hAnsi="Times New Roman" w:cs="Times New Roman"/>
          <w:i/>
          <w:iCs/>
          <w:color w:val="000000" w:themeColor="text1"/>
          <w:sz w:val="24"/>
          <w:szCs w:val="24"/>
        </w:rPr>
        <w:t>Financiación</w:t>
      </w:r>
      <w:r w:rsidRPr="00670245">
        <w:rPr>
          <w:rFonts w:ascii="Times New Roman" w:hAnsi="Times New Roman" w:cs="Times New Roman"/>
          <w:color w:val="000000" w:themeColor="text1"/>
        </w:rPr>
        <w:br/>
        <w:t xml:space="preserve">La presente investigación no recibió financiación externa de ninguna entidad pública, comercial o </w:t>
      </w:r>
      <w:r w:rsidRPr="00EC3333">
        <w:rPr>
          <w:rFonts w:ascii="Times New Roman" w:hAnsi="Times New Roman" w:cs="Times New Roman"/>
          <w:color w:val="000000" w:themeColor="text1"/>
        </w:rPr>
        <w:t>sin ánimo de lucro.</w:t>
      </w:r>
    </w:p>
    <w:p w14:paraId="13745B87" w14:textId="77777777" w:rsidR="00F422D2" w:rsidRPr="00EC3333" w:rsidRDefault="00F422D2" w:rsidP="00A269B6">
      <w:pPr>
        <w:tabs>
          <w:tab w:val="left" w:pos="4820"/>
        </w:tabs>
        <w:spacing w:line="360" w:lineRule="auto"/>
        <w:rPr>
          <w:rFonts w:ascii="Times New Roman" w:hAnsi="Times New Roman" w:cs="Times New Roman"/>
          <w:color w:val="000000" w:themeColor="text1"/>
        </w:rPr>
      </w:pPr>
      <w:r w:rsidRPr="00B1354E">
        <w:rPr>
          <w:rStyle w:val="Heading1Char"/>
          <w:rFonts w:ascii="Times New Roman" w:hAnsi="Times New Roman" w:cs="Times New Roman"/>
          <w:i/>
          <w:iCs/>
          <w:color w:val="000000" w:themeColor="text1"/>
          <w:sz w:val="24"/>
          <w:szCs w:val="24"/>
        </w:rPr>
        <w:t>Conflicto de intereses</w:t>
      </w:r>
      <w:r w:rsidRPr="00EC3333">
        <w:rPr>
          <w:rFonts w:ascii="Times New Roman" w:hAnsi="Times New Roman" w:cs="Times New Roman"/>
          <w:color w:val="000000" w:themeColor="text1"/>
        </w:rPr>
        <w:br/>
        <w:t>Los autores declaran no tener conflictos de interés relacionados con el contenido de este manuscrito.</w:t>
      </w:r>
    </w:p>
    <w:p w14:paraId="741EF45F" w14:textId="7473DA32" w:rsidR="00A269B6" w:rsidRPr="00EC3333" w:rsidRDefault="00A269B6" w:rsidP="00A269B6">
      <w:pPr>
        <w:tabs>
          <w:tab w:val="left" w:pos="4820"/>
        </w:tabs>
        <w:spacing w:line="360" w:lineRule="auto"/>
        <w:rPr>
          <w:rFonts w:ascii="Times New Roman" w:hAnsi="Times New Roman" w:cs="Times New Roman"/>
          <w:color w:val="000000" w:themeColor="text1"/>
        </w:rPr>
      </w:pPr>
      <w:r w:rsidRPr="00B1354E">
        <w:rPr>
          <w:rFonts w:ascii="Times New Roman" w:hAnsi="Times New Roman" w:cs="Times New Roman"/>
          <w:i/>
          <w:iCs/>
          <w:color w:val="000000" w:themeColor="text1"/>
        </w:rPr>
        <w:t>Declaración de uso de inteligencia artificial.</w:t>
      </w:r>
      <w:r w:rsidRPr="00EC3333">
        <w:rPr>
          <w:rFonts w:ascii="Times New Roman" w:hAnsi="Times New Roman" w:cs="Times New Roman"/>
          <w:color w:val="000000" w:themeColor="text1"/>
        </w:rPr>
        <w:br/>
        <w:t>Los autores declaran que se utilizaron herramientas de inteligencia artificial</w:t>
      </w:r>
      <w:r w:rsidR="004831D7" w:rsidRPr="00EC3333">
        <w:rPr>
          <w:rFonts w:ascii="Times New Roman" w:hAnsi="Times New Roman" w:cs="Times New Roman"/>
          <w:color w:val="000000" w:themeColor="text1"/>
        </w:rPr>
        <w:t xml:space="preserve"> </w:t>
      </w:r>
      <w:r w:rsidR="004831D7" w:rsidRPr="00EC3333">
        <w:rPr>
          <w:rFonts w:ascii="Times New Roman" w:hAnsi="Times New Roman" w:cs="Times New Roman"/>
          <w:i/>
          <w:iCs/>
          <w:color w:val="000000" w:themeColor="text1"/>
        </w:rPr>
        <w:t>ChatGPT</w:t>
      </w:r>
      <w:r w:rsidRPr="00EC3333">
        <w:rPr>
          <w:rFonts w:ascii="Times New Roman" w:hAnsi="Times New Roman" w:cs="Times New Roman"/>
          <w:color w:val="000000" w:themeColor="text1"/>
        </w:rPr>
        <w:t xml:space="preserve"> durante la preparación del manuscrito, exclusivamente como apoyo en la redacción, corrección de estilo y mejora de la claridad del texto. La concepción del estudio, la búsqueda y selección de la literatura, el análisis de los datos, la interpretación de los resultados y las conclusiones fueron realizados íntegramente por los autores, quienes asumen plena responsabilidad por el contenido científico del trabajo.</w:t>
      </w:r>
    </w:p>
    <w:p w14:paraId="45590964" w14:textId="77777777" w:rsidR="00EC3333" w:rsidRPr="00EC3333" w:rsidRDefault="00EC3333" w:rsidP="00A269B6">
      <w:pPr>
        <w:tabs>
          <w:tab w:val="left" w:pos="4820"/>
        </w:tabs>
        <w:spacing w:line="360" w:lineRule="auto"/>
        <w:rPr>
          <w:rFonts w:ascii="Times New Roman" w:hAnsi="Times New Roman" w:cs="Times New Roman"/>
          <w:color w:val="000000" w:themeColor="text1"/>
        </w:rPr>
      </w:pPr>
    </w:p>
    <w:p w14:paraId="697E87A2" w14:textId="57211486" w:rsidR="00B36A40" w:rsidRPr="00EC3333" w:rsidRDefault="00B36A40" w:rsidP="00B36A40">
      <w:pPr>
        <w:pStyle w:val="Heading1"/>
        <w:rPr>
          <w:rFonts w:ascii="Times New Roman" w:hAnsi="Times New Roman" w:cs="Times New Roman"/>
          <w:b/>
          <w:bCs/>
          <w:color w:val="000000" w:themeColor="text1"/>
          <w:sz w:val="22"/>
          <w:szCs w:val="22"/>
        </w:rPr>
      </w:pPr>
      <w:r w:rsidRPr="00EC3333">
        <w:rPr>
          <w:rFonts w:ascii="Times New Roman" w:hAnsi="Times New Roman" w:cs="Times New Roman"/>
          <w:b/>
          <w:bCs/>
          <w:color w:val="000000" w:themeColor="text1"/>
          <w:sz w:val="22"/>
          <w:szCs w:val="22"/>
        </w:rPr>
        <w:t>Referencias</w:t>
      </w:r>
    </w:p>
    <w:p w14:paraId="4C19DCF6" w14:textId="2CA6CF63" w:rsidR="002A3D9C" w:rsidRPr="00EC3333" w:rsidRDefault="0000591A"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rPr>
        <w:fldChar w:fldCharType="begin"/>
      </w:r>
      <w:r w:rsidR="00166264" w:rsidRPr="00EC3333">
        <w:rPr>
          <w:rFonts w:ascii="Times New Roman" w:hAnsi="Times New Roman" w:cs="Times New Roman"/>
          <w:color w:val="000000" w:themeColor="text1"/>
          <w:sz w:val="22"/>
          <w:szCs w:val="22"/>
        </w:rPr>
        <w:instrText xml:space="preserve"> ADDIN ZOTERO_BIBL {"uncited":[],"omitted":[],"custom":[]} CSL_BIBLIOGRAPHY </w:instrText>
      </w:r>
      <w:r w:rsidRPr="00EC3333">
        <w:rPr>
          <w:rFonts w:ascii="Times New Roman" w:hAnsi="Times New Roman" w:cs="Times New Roman"/>
          <w:color w:val="000000" w:themeColor="text1"/>
          <w:sz w:val="22"/>
          <w:szCs w:val="22"/>
        </w:rPr>
        <w:fldChar w:fldCharType="separate"/>
      </w:r>
      <w:r w:rsidR="002A3D9C" w:rsidRPr="00EC3333">
        <w:rPr>
          <w:rFonts w:ascii="Times New Roman" w:hAnsi="Times New Roman" w:cs="Times New Roman"/>
          <w:color w:val="000000" w:themeColor="text1"/>
          <w:sz w:val="22"/>
          <w:szCs w:val="22"/>
          <w:lang w:val="en-US"/>
        </w:rPr>
        <w:t>1.</w:t>
      </w:r>
      <w:r w:rsidR="002A3D9C" w:rsidRPr="00EC3333">
        <w:rPr>
          <w:rFonts w:ascii="Times New Roman" w:hAnsi="Times New Roman" w:cs="Times New Roman"/>
          <w:color w:val="000000" w:themeColor="text1"/>
          <w:sz w:val="22"/>
          <w:szCs w:val="22"/>
          <w:lang w:val="en-US"/>
        </w:rPr>
        <w:tab/>
        <w:t xml:space="preserve">Mestdagh F, Steyaert A, Lavand’homme P. Cancer Pain Management: A Narrative Review of Current Concepts, Strategies, and Techniques. Curr Oncol. 2023 Jul 18;30(7):6838–58. </w:t>
      </w:r>
      <w:r w:rsidR="00370773" w:rsidRPr="00EC3333">
        <w:rPr>
          <w:rFonts w:ascii="Times New Roman" w:hAnsi="Times New Roman" w:cs="Times New Roman"/>
          <w:color w:val="000000" w:themeColor="text1"/>
          <w:sz w:val="22"/>
          <w:szCs w:val="22"/>
        </w:rPr>
        <w:t>https://doi.org/10</w:t>
      </w:r>
      <w:hyperlink r:id="rId8" w:tgtFrame="_blank" w:history="1">
        <w:r w:rsidR="000317E8" w:rsidRPr="00EC3333">
          <w:rPr>
            <w:rStyle w:val="Hyperlink"/>
            <w:rFonts w:ascii="Times New Roman" w:hAnsi="Times New Roman" w:cs="Times New Roman"/>
            <w:sz w:val="22"/>
            <w:szCs w:val="22"/>
          </w:rPr>
          <w:t>.3390/curroncol30070500</w:t>
        </w:r>
      </w:hyperlink>
    </w:p>
    <w:p w14:paraId="173E9E44" w14:textId="421B43C3"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w:t>
      </w:r>
      <w:r w:rsidRPr="00EC3333">
        <w:rPr>
          <w:rFonts w:ascii="Times New Roman" w:hAnsi="Times New Roman" w:cs="Times New Roman"/>
          <w:color w:val="000000" w:themeColor="text1"/>
          <w:sz w:val="22"/>
          <w:szCs w:val="22"/>
          <w:lang w:val="en-US"/>
        </w:rPr>
        <w:tab/>
        <w:t xml:space="preserve">Bennett MI, Kaasa S, Barke A, Korwisi B, Rief W, Treede RD, et al. The IASP classification of chronic pain for ICD-11: chronic cancer-related pain. Pain. 2019 Jan;160(1):38–44. </w:t>
      </w:r>
      <w:r w:rsidR="000317E8" w:rsidRPr="00EC3333">
        <w:rPr>
          <w:rFonts w:ascii="Times New Roman" w:hAnsi="Times New Roman" w:cs="Times New Roman"/>
          <w:color w:val="000000" w:themeColor="text1"/>
          <w:sz w:val="22"/>
          <w:szCs w:val="22"/>
        </w:rPr>
        <w:t> </w:t>
      </w:r>
      <w:r w:rsidR="00370773" w:rsidRPr="00EC3333">
        <w:rPr>
          <w:rFonts w:ascii="Times New Roman" w:hAnsi="Times New Roman" w:cs="Times New Roman"/>
          <w:color w:val="000000" w:themeColor="text1"/>
          <w:sz w:val="22"/>
          <w:szCs w:val="22"/>
        </w:rPr>
        <w:t>https://doi.org/10</w:t>
      </w:r>
      <w:r w:rsidR="000317E8" w:rsidRPr="00EC3333">
        <w:rPr>
          <w:rFonts w:ascii="Times New Roman" w:hAnsi="Times New Roman" w:cs="Times New Roman"/>
          <w:color w:val="000000" w:themeColor="text1"/>
          <w:sz w:val="22"/>
          <w:szCs w:val="22"/>
        </w:rPr>
        <w:t>.1097/j.pain.0000000000001363</w:t>
      </w:r>
    </w:p>
    <w:p w14:paraId="584A4276" w14:textId="21F37F11"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3.</w:t>
      </w:r>
      <w:r w:rsidRPr="00EC3333">
        <w:rPr>
          <w:rFonts w:ascii="Times New Roman" w:hAnsi="Times New Roman" w:cs="Times New Roman"/>
          <w:color w:val="000000" w:themeColor="text1"/>
          <w:sz w:val="22"/>
          <w:szCs w:val="22"/>
          <w:lang w:val="en-US"/>
        </w:rPr>
        <w:tab/>
        <w:t xml:space="preserve">Sjattar EL, Arafat R, Ling LW. Cancer pain self-management interventions in adults: scoping review. BMJ Support Palliat Care. 2024 Dec;14(4):411–5. </w:t>
      </w:r>
      <w:r w:rsidR="00AB5F73" w:rsidRPr="00EC3333">
        <w:rPr>
          <w:rFonts w:ascii="Times New Roman" w:hAnsi="Times New Roman" w:cs="Times New Roman"/>
          <w:color w:val="000000" w:themeColor="text1"/>
          <w:sz w:val="22"/>
          <w:szCs w:val="22"/>
        </w:rPr>
        <w:t>https://doi.org/</w:t>
      </w:r>
      <w:hyperlink r:id="rId9" w:tgtFrame="_blank" w:history="1">
        <w:r w:rsidR="000317E8" w:rsidRPr="00EC3333">
          <w:rPr>
            <w:rStyle w:val="Hyperlink"/>
            <w:rFonts w:ascii="Times New Roman" w:hAnsi="Times New Roman" w:cs="Times New Roman"/>
            <w:sz w:val="22"/>
            <w:szCs w:val="22"/>
          </w:rPr>
          <w:t>10.1136/spcare-2024-004893</w:t>
        </w:r>
      </w:hyperlink>
    </w:p>
    <w:p w14:paraId="33E485B4" w14:textId="673D4973"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lastRenderedPageBreak/>
        <w:t>4.</w:t>
      </w:r>
      <w:r w:rsidRPr="00EC3333">
        <w:rPr>
          <w:rFonts w:ascii="Times New Roman" w:hAnsi="Times New Roman" w:cs="Times New Roman"/>
          <w:color w:val="000000" w:themeColor="text1"/>
          <w:sz w:val="22"/>
          <w:szCs w:val="22"/>
          <w:lang w:val="en-US"/>
        </w:rPr>
        <w:tab/>
        <w:t xml:space="preserve">Fallon MT. Neuropathic pain in cancer. Br J Anaesth. 2013 Jul;111(1):105–11. </w:t>
      </w:r>
      <w:r w:rsidR="00AB5F73" w:rsidRPr="00EC3333">
        <w:rPr>
          <w:rFonts w:ascii="Times New Roman" w:hAnsi="Times New Roman" w:cs="Times New Roman"/>
          <w:color w:val="000000" w:themeColor="text1"/>
          <w:sz w:val="22"/>
          <w:szCs w:val="22"/>
        </w:rPr>
        <w:t>https://doi.org/</w:t>
      </w:r>
      <w:hyperlink r:id="rId10" w:tgtFrame="_blank" w:history="1">
        <w:r w:rsidR="000317E8" w:rsidRPr="00EC3333">
          <w:rPr>
            <w:rStyle w:val="Hyperlink"/>
            <w:rFonts w:ascii="Times New Roman" w:hAnsi="Times New Roman" w:cs="Times New Roman"/>
            <w:sz w:val="22"/>
            <w:szCs w:val="22"/>
          </w:rPr>
          <w:t>10.1093/bja/aet208</w:t>
        </w:r>
      </w:hyperlink>
    </w:p>
    <w:p w14:paraId="60EA2640" w14:textId="0BEEB7FC"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5.</w:t>
      </w:r>
      <w:r w:rsidRPr="00EC3333">
        <w:rPr>
          <w:rFonts w:ascii="Times New Roman" w:hAnsi="Times New Roman" w:cs="Times New Roman"/>
          <w:color w:val="000000" w:themeColor="text1"/>
          <w:sz w:val="22"/>
          <w:szCs w:val="22"/>
          <w:lang w:val="en-US"/>
        </w:rPr>
        <w:tab/>
        <w:t xml:space="preserve">Rayment C, Hjermstad MJ, Aass N, Kaasa S, Caraceni A, Strasser F, et al. Neuropathic cancer pain: Prevalence, severity, analgesics and impact from the European Palliative Care Research Collaborative–Computerised Symptom Assessment study. Palliat Med. 2013 Sep;27(8):714–21. </w:t>
      </w:r>
      <w:r w:rsidR="00AB5F73" w:rsidRPr="00EC3333">
        <w:rPr>
          <w:rFonts w:ascii="Times New Roman" w:hAnsi="Times New Roman" w:cs="Times New Roman"/>
          <w:color w:val="000000" w:themeColor="text1"/>
          <w:sz w:val="22"/>
          <w:szCs w:val="22"/>
        </w:rPr>
        <w:t>https://doi.org/</w:t>
      </w:r>
      <w:hyperlink r:id="rId11" w:tgtFrame="_blank" w:history="1">
        <w:r w:rsidR="000317E8" w:rsidRPr="00EC3333">
          <w:rPr>
            <w:rStyle w:val="Hyperlink"/>
            <w:rFonts w:ascii="Times New Roman" w:hAnsi="Times New Roman" w:cs="Times New Roman"/>
            <w:sz w:val="22"/>
            <w:szCs w:val="22"/>
          </w:rPr>
          <w:t>10.1177/0269216312464408</w:t>
        </w:r>
      </w:hyperlink>
    </w:p>
    <w:p w14:paraId="11CA599E" w14:textId="423CE149"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6.</w:t>
      </w:r>
      <w:r w:rsidRPr="00EC3333">
        <w:rPr>
          <w:rFonts w:ascii="Times New Roman" w:hAnsi="Times New Roman" w:cs="Times New Roman"/>
          <w:color w:val="000000" w:themeColor="text1"/>
          <w:sz w:val="22"/>
          <w:szCs w:val="22"/>
          <w:lang w:val="en-US"/>
        </w:rPr>
        <w:tab/>
        <w:t xml:space="preserve">Scholz J, Finnerup NB, Attal N, Aziz Q, Baron R, Bennett MI, et al. The IASP classification of chronic pain for ICD-11: chronic neuropathic pain. Pain. 2019 Jan;160(1):53–9. </w:t>
      </w:r>
      <w:r w:rsidR="00AB5F73" w:rsidRPr="00EC3333">
        <w:rPr>
          <w:rFonts w:ascii="Times New Roman" w:hAnsi="Times New Roman" w:cs="Times New Roman"/>
          <w:color w:val="000000" w:themeColor="text1"/>
          <w:sz w:val="22"/>
          <w:szCs w:val="22"/>
        </w:rPr>
        <w:t>https://doi.org/</w:t>
      </w:r>
      <w:hyperlink r:id="rId12" w:tgtFrame="_blank" w:history="1">
        <w:r w:rsidR="000317E8" w:rsidRPr="00EC3333">
          <w:rPr>
            <w:rStyle w:val="Hyperlink"/>
            <w:rFonts w:ascii="Times New Roman" w:hAnsi="Times New Roman" w:cs="Times New Roman"/>
            <w:sz w:val="22"/>
            <w:szCs w:val="22"/>
          </w:rPr>
          <w:t>10.1097/j.pain.0000000000001365</w:t>
        </w:r>
      </w:hyperlink>
    </w:p>
    <w:p w14:paraId="1ADCB940" w14:textId="2C0D4AD7"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7.</w:t>
      </w:r>
      <w:r w:rsidRPr="00EC3333">
        <w:rPr>
          <w:rFonts w:ascii="Times New Roman" w:hAnsi="Times New Roman" w:cs="Times New Roman"/>
          <w:color w:val="000000" w:themeColor="text1"/>
          <w:sz w:val="22"/>
          <w:szCs w:val="22"/>
          <w:lang w:val="en-US"/>
        </w:rPr>
        <w:tab/>
        <w:t xml:space="preserve">Sharma S, Rajagopal MR, Palat G, Singh C, Haji AG, Jain D. A Phase II Pilot Study to Evaluate Use of Intravenous Lidocaine for Opioid-Refractory Pain in Cancer Patients. </w:t>
      </w:r>
      <w:r w:rsidRPr="00EC3333">
        <w:rPr>
          <w:rFonts w:ascii="Times New Roman" w:hAnsi="Times New Roman" w:cs="Times New Roman"/>
          <w:color w:val="000000" w:themeColor="text1"/>
          <w:sz w:val="22"/>
          <w:szCs w:val="22"/>
          <w:lang w:val="es-ES"/>
        </w:rPr>
        <w:t xml:space="preserve">J Pain Symptom Manage. 2009 Jan;37(1):85–93. </w:t>
      </w:r>
      <w:r w:rsidR="00AB5F73" w:rsidRPr="00EC3333">
        <w:rPr>
          <w:rFonts w:ascii="Times New Roman" w:hAnsi="Times New Roman" w:cs="Times New Roman"/>
          <w:color w:val="000000" w:themeColor="text1"/>
          <w:sz w:val="22"/>
          <w:szCs w:val="22"/>
        </w:rPr>
        <w:t>https://doi.org/</w:t>
      </w:r>
      <w:hyperlink r:id="rId13" w:tgtFrame="_blank" w:history="1">
        <w:r w:rsidR="000317E8" w:rsidRPr="00EC3333">
          <w:rPr>
            <w:rStyle w:val="Hyperlink"/>
            <w:rFonts w:ascii="Times New Roman" w:hAnsi="Times New Roman" w:cs="Times New Roman"/>
            <w:sz w:val="22"/>
            <w:szCs w:val="22"/>
          </w:rPr>
          <w:t>10.1016/j.jpainsymman.2007.12.023</w:t>
        </w:r>
      </w:hyperlink>
    </w:p>
    <w:p w14:paraId="20BB7E3B" w14:textId="6CBCD49F"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s-ES"/>
        </w:rPr>
        <w:t>8.</w:t>
      </w:r>
      <w:r w:rsidRPr="00EC3333">
        <w:rPr>
          <w:rFonts w:ascii="Times New Roman" w:hAnsi="Times New Roman" w:cs="Times New Roman"/>
          <w:color w:val="000000" w:themeColor="text1"/>
          <w:sz w:val="22"/>
          <w:szCs w:val="22"/>
          <w:lang w:val="es-ES"/>
        </w:rPr>
        <w:tab/>
        <w:t xml:space="preserve">Carrillo Torres O, Gallegos Allier MM, Jiménez Olvera M. Comparación entre dexmedetomidina en infusión intravenosa vs. lidocaína en infusión intravenosa para el control de dolor refractario a tratamiento opioide en pacientes de cuidados paliativos. </w:t>
      </w:r>
      <w:r w:rsidRPr="00EC3333">
        <w:rPr>
          <w:rFonts w:ascii="Times New Roman" w:hAnsi="Times New Roman" w:cs="Times New Roman"/>
          <w:color w:val="000000" w:themeColor="text1"/>
          <w:sz w:val="22"/>
          <w:szCs w:val="22"/>
          <w:lang w:val="en-US"/>
        </w:rPr>
        <w:t xml:space="preserve">Rev Soc Esp Dolor. 2015 Feb;22(1):7–12. </w:t>
      </w:r>
      <w:r w:rsidR="00AB5F73" w:rsidRPr="00EC3333">
        <w:rPr>
          <w:rFonts w:ascii="Times New Roman" w:hAnsi="Times New Roman" w:cs="Times New Roman"/>
          <w:color w:val="000000" w:themeColor="text1"/>
          <w:sz w:val="22"/>
          <w:szCs w:val="22"/>
        </w:rPr>
        <w:t>https://doi.org/</w:t>
      </w:r>
      <w:r w:rsidR="000317E8" w:rsidRPr="00EC3333">
        <w:rPr>
          <w:rFonts w:ascii="Times New Roman" w:hAnsi="Times New Roman" w:cs="Times New Roman"/>
          <w:color w:val="000000" w:themeColor="text1"/>
          <w:sz w:val="22"/>
          <w:szCs w:val="22"/>
        </w:rPr>
        <w:t>10.4321/S1134-80462015000100002 </w:t>
      </w:r>
      <w:bookmarkStart w:id="0" w:name="top"/>
      <w:bookmarkEnd w:id="0"/>
    </w:p>
    <w:p w14:paraId="53E656D4" w14:textId="4FDB1A7F"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9.</w:t>
      </w:r>
      <w:r w:rsidRPr="00EC3333">
        <w:rPr>
          <w:rFonts w:ascii="Times New Roman" w:hAnsi="Times New Roman" w:cs="Times New Roman"/>
          <w:color w:val="000000" w:themeColor="text1"/>
          <w:sz w:val="22"/>
          <w:szCs w:val="22"/>
          <w:lang w:val="en-US"/>
        </w:rPr>
        <w:tab/>
        <w:t xml:space="preserve">Hawley P, Fyles G, Jefferys SG. Subcutaneous Lidocaine for Cancer-Related Pain. J Palliat Med. 2020 Oct 1;23(10):1357–64. </w:t>
      </w:r>
      <w:r w:rsidR="00AB5F73" w:rsidRPr="00EC3333">
        <w:rPr>
          <w:rFonts w:ascii="Times New Roman" w:hAnsi="Times New Roman" w:cs="Times New Roman"/>
          <w:color w:val="000000" w:themeColor="text1"/>
          <w:sz w:val="22"/>
          <w:szCs w:val="22"/>
        </w:rPr>
        <w:t>https://doi.org/</w:t>
      </w:r>
      <w:hyperlink r:id="rId14" w:tgtFrame="_blank" w:history="1">
        <w:r w:rsidR="00805145" w:rsidRPr="00EC3333">
          <w:rPr>
            <w:rStyle w:val="Hyperlink"/>
            <w:rFonts w:ascii="Times New Roman" w:hAnsi="Times New Roman" w:cs="Times New Roman"/>
            <w:sz w:val="22"/>
            <w:szCs w:val="22"/>
          </w:rPr>
          <w:t>10.1089/jpm.2019.0621</w:t>
        </w:r>
      </w:hyperlink>
    </w:p>
    <w:p w14:paraId="469DE219" w14:textId="2A4E0101"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10.</w:t>
      </w:r>
      <w:r w:rsidRPr="00EC3333">
        <w:rPr>
          <w:rFonts w:ascii="Times New Roman" w:hAnsi="Times New Roman" w:cs="Times New Roman"/>
          <w:color w:val="000000" w:themeColor="text1"/>
          <w:sz w:val="22"/>
          <w:szCs w:val="22"/>
          <w:lang w:val="en-US"/>
        </w:rPr>
        <w:tab/>
        <w:t xml:space="preserve">Hermanns H, Hollmann MW, Stevens MF, Lirk P, Brandenburger T, Piegeler T, et al. Molecular mechanisms of action of systemic lidocaine in acute and chronic pain: a narrative review. Br J Anaesth. 2019 Sep;123(3):335–49. </w:t>
      </w:r>
      <w:r w:rsidR="00AB5F73" w:rsidRPr="00EC3333">
        <w:rPr>
          <w:rFonts w:ascii="Times New Roman" w:hAnsi="Times New Roman" w:cs="Times New Roman"/>
          <w:color w:val="000000" w:themeColor="text1"/>
          <w:sz w:val="22"/>
          <w:szCs w:val="22"/>
        </w:rPr>
        <w:t>https://doi.org/</w:t>
      </w:r>
      <w:hyperlink r:id="rId15" w:tgtFrame="_blank" w:history="1">
        <w:r w:rsidR="00805145" w:rsidRPr="00EC3333">
          <w:rPr>
            <w:rStyle w:val="Hyperlink"/>
            <w:rFonts w:ascii="Times New Roman" w:hAnsi="Times New Roman" w:cs="Times New Roman"/>
            <w:sz w:val="22"/>
            <w:szCs w:val="22"/>
          </w:rPr>
          <w:t>10.1016/j.bja.2019.06.014</w:t>
        </w:r>
      </w:hyperlink>
    </w:p>
    <w:p w14:paraId="31F7C62E" w14:textId="0E337177"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11.</w:t>
      </w:r>
      <w:r w:rsidRPr="00EC3333">
        <w:rPr>
          <w:rFonts w:ascii="Times New Roman" w:hAnsi="Times New Roman" w:cs="Times New Roman"/>
          <w:color w:val="000000" w:themeColor="text1"/>
          <w:sz w:val="22"/>
          <w:szCs w:val="22"/>
          <w:lang w:val="en-US"/>
        </w:rPr>
        <w:tab/>
        <w:t xml:space="preserve">Scholz A. Mechanisms of (local) anaesthetics on voltage-gated sodium and other ion channels. Br J Anaesth. 2002 Jul;89(1):52–61. </w:t>
      </w:r>
      <w:r w:rsidR="00805145" w:rsidRPr="00EC3333">
        <w:rPr>
          <w:rFonts w:ascii="Times New Roman" w:hAnsi="Times New Roman" w:cs="Times New Roman"/>
          <w:color w:val="000000" w:themeColor="text1"/>
          <w:sz w:val="22"/>
          <w:szCs w:val="22"/>
          <w:lang w:val="en-US"/>
        </w:rPr>
        <w:t xml:space="preserve"> </w:t>
      </w:r>
      <w:r w:rsidR="00805145" w:rsidRPr="00EC3333">
        <w:rPr>
          <w:rFonts w:ascii="Times New Roman" w:hAnsi="Times New Roman" w:cs="Times New Roman"/>
          <w:color w:val="000000" w:themeColor="text1"/>
          <w:sz w:val="22"/>
          <w:szCs w:val="22"/>
        </w:rPr>
        <w:t> </w:t>
      </w:r>
      <w:r w:rsidR="00AB5F73" w:rsidRPr="00EC3333">
        <w:rPr>
          <w:rFonts w:ascii="Times New Roman" w:hAnsi="Times New Roman" w:cs="Times New Roman"/>
          <w:color w:val="000000" w:themeColor="text1"/>
          <w:sz w:val="22"/>
          <w:szCs w:val="22"/>
        </w:rPr>
        <w:t>https://doi.org/</w:t>
      </w:r>
      <w:hyperlink r:id="rId16" w:tgtFrame="_blank" w:history="1">
        <w:r w:rsidR="00805145" w:rsidRPr="00EC3333">
          <w:rPr>
            <w:rStyle w:val="Hyperlink"/>
            <w:rFonts w:ascii="Times New Roman" w:hAnsi="Times New Roman" w:cs="Times New Roman"/>
            <w:sz w:val="22"/>
            <w:szCs w:val="22"/>
          </w:rPr>
          <w:t>10.1093/bja/aef163</w:t>
        </w:r>
      </w:hyperlink>
    </w:p>
    <w:p w14:paraId="097A982C" w14:textId="72B8C1F9"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12.</w:t>
      </w:r>
      <w:r w:rsidRPr="00EC3333">
        <w:rPr>
          <w:rFonts w:ascii="Times New Roman" w:hAnsi="Times New Roman" w:cs="Times New Roman"/>
          <w:color w:val="000000" w:themeColor="text1"/>
          <w:sz w:val="22"/>
          <w:szCs w:val="22"/>
          <w:lang w:val="en-US"/>
        </w:rPr>
        <w:tab/>
        <w:t xml:space="preserve">Yang X, Wei X, Mu Y, Li Q, Liu J. A review of the mechanism of the central analgesic effect of lidocaine. Medicine (Baltimore). 2020 Apr;99(17):e19898. </w:t>
      </w:r>
      <w:r w:rsidR="00AB5F73" w:rsidRPr="00EC3333">
        <w:rPr>
          <w:rFonts w:ascii="Times New Roman" w:hAnsi="Times New Roman" w:cs="Times New Roman"/>
          <w:color w:val="000000" w:themeColor="text1"/>
          <w:sz w:val="22"/>
          <w:szCs w:val="22"/>
        </w:rPr>
        <w:t>https://doi.org/</w:t>
      </w:r>
      <w:hyperlink r:id="rId17" w:tgtFrame="_blank" w:history="1">
        <w:r w:rsidR="00805145" w:rsidRPr="00EC3333">
          <w:rPr>
            <w:rStyle w:val="Hyperlink"/>
            <w:rFonts w:ascii="Times New Roman" w:hAnsi="Times New Roman" w:cs="Times New Roman"/>
            <w:sz w:val="22"/>
            <w:szCs w:val="22"/>
          </w:rPr>
          <w:t>10.1097/MD.0000000000019898</w:t>
        </w:r>
      </w:hyperlink>
    </w:p>
    <w:p w14:paraId="3F2C9212" w14:textId="4E00B4A7"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13.</w:t>
      </w:r>
      <w:r w:rsidRPr="00EC3333">
        <w:rPr>
          <w:rFonts w:ascii="Times New Roman" w:hAnsi="Times New Roman" w:cs="Times New Roman"/>
          <w:color w:val="000000" w:themeColor="text1"/>
          <w:sz w:val="22"/>
          <w:szCs w:val="22"/>
          <w:lang w:val="en-US"/>
        </w:rPr>
        <w:tab/>
        <w:t>Yousefshahi F, Predescu O, Francisco Asenjo J. The Efficacy of Systemic Lidocaine in the Management of Chronic Pain: A Literature Review. Anesthesiol Pain Med [Internet]. 2017 Apr 22 [cited 2025 Aug 31];7(3).</w:t>
      </w:r>
      <w:r w:rsidR="00AB5F73" w:rsidRPr="00EC3333">
        <w:rPr>
          <w:rFonts w:ascii="Times New Roman" w:hAnsi="Times New Roman" w:cs="Times New Roman"/>
          <w:color w:val="000000" w:themeColor="text1"/>
          <w:sz w:val="22"/>
          <w:szCs w:val="22"/>
          <w:lang w:val="en-US"/>
        </w:rPr>
        <w:t xml:space="preserve"> </w:t>
      </w:r>
      <w:r w:rsidR="00AB5F73" w:rsidRPr="00EC3333">
        <w:rPr>
          <w:rFonts w:ascii="Times New Roman" w:hAnsi="Times New Roman" w:cs="Times New Roman"/>
          <w:color w:val="000000" w:themeColor="text1"/>
          <w:sz w:val="22"/>
          <w:szCs w:val="22"/>
        </w:rPr>
        <w:t>https://doi.org/</w:t>
      </w:r>
      <w:hyperlink r:id="rId18" w:tgtFrame="_blank" w:history="1">
        <w:r w:rsidR="00805145" w:rsidRPr="00EC3333">
          <w:rPr>
            <w:rStyle w:val="Hyperlink"/>
            <w:rFonts w:ascii="Times New Roman" w:hAnsi="Times New Roman" w:cs="Times New Roman"/>
            <w:sz w:val="22"/>
            <w:szCs w:val="22"/>
          </w:rPr>
          <w:t>10.5812/aapm.44732</w:t>
        </w:r>
      </w:hyperlink>
    </w:p>
    <w:p w14:paraId="2BEC9E52" w14:textId="24E9E799"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14.</w:t>
      </w:r>
      <w:r w:rsidRPr="00EC3333">
        <w:rPr>
          <w:rFonts w:ascii="Times New Roman" w:hAnsi="Times New Roman" w:cs="Times New Roman"/>
          <w:color w:val="000000" w:themeColor="text1"/>
          <w:sz w:val="22"/>
          <w:szCs w:val="22"/>
          <w:lang w:val="en-US"/>
        </w:rPr>
        <w:tab/>
        <w:t xml:space="preserve">Buchanan DD, J. MacIvor F. A role for intravenous lidocaine in severe cancer-related neuropathic pain at the end-of-life. Support Care Cancer. 2010 Jul;18(7):899–901. </w:t>
      </w:r>
      <w:r w:rsidR="00AB5F73" w:rsidRPr="00EC3333">
        <w:rPr>
          <w:rFonts w:ascii="Times New Roman" w:hAnsi="Times New Roman" w:cs="Times New Roman"/>
          <w:color w:val="000000" w:themeColor="text1"/>
          <w:sz w:val="22"/>
          <w:szCs w:val="22"/>
        </w:rPr>
        <w:t>https://doi.org/</w:t>
      </w:r>
      <w:hyperlink r:id="rId19" w:tgtFrame="_blank" w:history="1">
        <w:r w:rsidR="00805145" w:rsidRPr="00EC3333">
          <w:rPr>
            <w:rStyle w:val="Hyperlink"/>
            <w:rFonts w:ascii="Times New Roman" w:hAnsi="Times New Roman" w:cs="Times New Roman"/>
            <w:sz w:val="22"/>
            <w:szCs w:val="22"/>
          </w:rPr>
          <w:t>10.1007/s00520-010-0864-3</w:t>
        </w:r>
      </w:hyperlink>
    </w:p>
    <w:p w14:paraId="2F828B34" w14:textId="43BC677F"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15.</w:t>
      </w:r>
      <w:r w:rsidRPr="00EC3333">
        <w:rPr>
          <w:rFonts w:ascii="Times New Roman" w:hAnsi="Times New Roman" w:cs="Times New Roman"/>
          <w:color w:val="000000" w:themeColor="text1"/>
          <w:sz w:val="22"/>
          <w:szCs w:val="22"/>
          <w:lang w:val="en-US"/>
        </w:rPr>
        <w:tab/>
        <w:t xml:space="preserve">Hamaya C, Barr T, Strichartz GR. Multiple Inhibitory Mechanisms of Lidocaine on Bradykinin Receptor Activity in Model Sensory Neurons: Reg Anesth Pain Med. 2018 Aug;43(6):605–12. </w:t>
      </w:r>
      <w:r w:rsidR="00AB5F73" w:rsidRPr="00EC3333">
        <w:rPr>
          <w:rFonts w:ascii="Times New Roman" w:hAnsi="Times New Roman" w:cs="Times New Roman"/>
          <w:color w:val="000000" w:themeColor="text1"/>
          <w:sz w:val="22"/>
          <w:szCs w:val="22"/>
        </w:rPr>
        <w:t>https://doi.org/</w:t>
      </w:r>
      <w:hyperlink r:id="rId20" w:tgtFrame="_blank" w:history="1">
        <w:r w:rsidR="00805145" w:rsidRPr="00EC3333">
          <w:rPr>
            <w:rStyle w:val="Hyperlink"/>
            <w:rFonts w:ascii="Times New Roman" w:hAnsi="Times New Roman" w:cs="Times New Roman"/>
            <w:sz w:val="22"/>
            <w:szCs w:val="22"/>
          </w:rPr>
          <w:t>10.1097/AAP.0000000000000758</w:t>
        </w:r>
      </w:hyperlink>
    </w:p>
    <w:p w14:paraId="3E231472" w14:textId="736C1634"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n-US"/>
        </w:rPr>
        <w:t>16.</w:t>
      </w:r>
      <w:r w:rsidRPr="00EC3333">
        <w:rPr>
          <w:rFonts w:ascii="Times New Roman" w:hAnsi="Times New Roman" w:cs="Times New Roman"/>
          <w:color w:val="000000" w:themeColor="text1"/>
          <w:sz w:val="22"/>
          <w:szCs w:val="22"/>
          <w:lang w:val="en-US"/>
        </w:rPr>
        <w:tab/>
        <w:t xml:space="preserve">Weinberg L. Pharmacokinetics and pharmacodynamics of lignocaine: A review. World J Anesthesiol. 2015;4(2):17. </w:t>
      </w:r>
      <w:r w:rsidR="00805145" w:rsidRPr="00EC3333">
        <w:rPr>
          <w:rFonts w:ascii="Times New Roman" w:hAnsi="Times New Roman" w:cs="Times New Roman"/>
          <w:color w:val="000000" w:themeColor="text1"/>
          <w:sz w:val="22"/>
          <w:szCs w:val="22"/>
        </w:rPr>
        <w:t xml:space="preserve">  </w:t>
      </w:r>
      <w:r w:rsidR="00AB5F73" w:rsidRPr="00EC3333">
        <w:rPr>
          <w:rFonts w:ascii="Times New Roman" w:hAnsi="Times New Roman" w:cs="Times New Roman"/>
          <w:color w:val="000000" w:themeColor="text1"/>
          <w:sz w:val="22"/>
          <w:szCs w:val="22"/>
        </w:rPr>
        <w:t>https://doi.org/</w:t>
      </w:r>
      <w:hyperlink r:id="rId21" w:tgtFrame="_blank" w:history="1">
        <w:r w:rsidR="00805145" w:rsidRPr="00EC3333">
          <w:rPr>
            <w:rStyle w:val="Hyperlink"/>
            <w:rFonts w:ascii="Times New Roman" w:hAnsi="Times New Roman" w:cs="Times New Roman"/>
            <w:sz w:val="22"/>
            <w:szCs w:val="22"/>
          </w:rPr>
          <w:t>10.5313/wja.v4.i2.17</w:t>
        </w:r>
      </w:hyperlink>
      <w:r w:rsidR="00805145" w:rsidRPr="00EC3333">
        <w:rPr>
          <w:rFonts w:ascii="Times New Roman" w:hAnsi="Times New Roman" w:cs="Times New Roman"/>
          <w:color w:val="000000" w:themeColor="text1"/>
          <w:sz w:val="22"/>
          <w:szCs w:val="22"/>
        </w:rPr>
        <w:t>]</w:t>
      </w:r>
    </w:p>
    <w:p w14:paraId="62D428FC" w14:textId="76128B71"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lastRenderedPageBreak/>
        <w:t>17.</w:t>
      </w:r>
      <w:r w:rsidRPr="00EC3333">
        <w:rPr>
          <w:rFonts w:ascii="Times New Roman" w:hAnsi="Times New Roman" w:cs="Times New Roman"/>
          <w:color w:val="000000" w:themeColor="text1"/>
          <w:sz w:val="22"/>
          <w:szCs w:val="22"/>
          <w:lang w:val="en-US"/>
        </w:rPr>
        <w:tab/>
        <w:t>Salas S, Auquier P, Duffa</w:t>
      </w:r>
      <w:r w:rsidR="00EF50E4" w:rsidRPr="00EC3333">
        <w:rPr>
          <w:rFonts w:ascii="Times New Roman" w:hAnsi="Times New Roman" w:cs="Times New Roman"/>
          <w:color w:val="000000" w:themeColor="text1"/>
          <w:sz w:val="22"/>
          <w:szCs w:val="22"/>
          <w:lang w:val="en-US"/>
        </w:rPr>
        <w:t>u</w:t>
      </w:r>
      <w:r w:rsidRPr="00EC3333">
        <w:rPr>
          <w:rFonts w:ascii="Times New Roman" w:hAnsi="Times New Roman" w:cs="Times New Roman"/>
          <w:color w:val="000000" w:themeColor="text1"/>
          <w:sz w:val="22"/>
          <w:szCs w:val="22"/>
          <w:lang w:val="en-US"/>
        </w:rPr>
        <w:t xml:space="preserve">d F, et al. Efficacy of lidocaine in patients receiving palliative care with opioid-refractory cancer pain with a neuropathic component: study protocol for a randomized controlled study. Trials. 2014 Dec;15(1):318. </w:t>
      </w:r>
      <w:r w:rsidR="00AB5F73" w:rsidRPr="00EC3333">
        <w:rPr>
          <w:rFonts w:ascii="Times New Roman" w:hAnsi="Times New Roman" w:cs="Times New Roman"/>
          <w:color w:val="000000" w:themeColor="text1"/>
          <w:sz w:val="22"/>
          <w:szCs w:val="22"/>
        </w:rPr>
        <w:t>https://doi.org/</w:t>
      </w:r>
      <w:hyperlink r:id="rId22" w:tgtFrame="_blank" w:history="1">
        <w:r w:rsidR="00805145" w:rsidRPr="00EC3333">
          <w:rPr>
            <w:rStyle w:val="Hyperlink"/>
            <w:rFonts w:ascii="Times New Roman" w:hAnsi="Times New Roman" w:cs="Times New Roman"/>
            <w:sz w:val="22"/>
            <w:szCs w:val="22"/>
          </w:rPr>
          <w:t>10.1186/1745-6215-15-318</w:t>
        </w:r>
      </w:hyperlink>
    </w:p>
    <w:p w14:paraId="00354802" w14:textId="720A0AC2" w:rsidR="002A3D9C" w:rsidRPr="00EC3333" w:rsidRDefault="002A3D9C" w:rsidP="00EC333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18.</w:t>
      </w:r>
      <w:r w:rsidRPr="00EC3333">
        <w:rPr>
          <w:rFonts w:ascii="Times New Roman" w:hAnsi="Times New Roman" w:cs="Times New Roman"/>
          <w:color w:val="000000" w:themeColor="text1"/>
          <w:sz w:val="22"/>
          <w:szCs w:val="22"/>
          <w:lang w:val="en-US"/>
        </w:rPr>
        <w:tab/>
        <w:t xml:space="preserve">Lee JT, Sanderson CR, Xuan W, Agar M. Lidocaine for Cancer Pain in Adults: A Systematic Review and Meta-Analysis. J Palliat Med. 2019 Mar;22(3):326–34. </w:t>
      </w:r>
      <w:r w:rsidR="00AB5F73" w:rsidRPr="00EC3333">
        <w:rPr>
          <w:rFonts w:ascii="Times New Roman" w:hAnsi="Times New Roman" w:cs="Times New Roman"/>
          <w:color w:val="000000" w:themeColor="text1"/>
          <w:sz w:val="22"/>
          <w:szCs w:val="22"/>
        </w:rPr>
        <w:t>https://doi.org/</w:t>
      </w:r>
      <w:hyperlink r:id="rId23" w:tgtFrame="_blank" w:history="1">
        <w:r w:rsidR="00805145" w:rsidRPr="00EC3333">
          <w:rPr>
            <w:rStyle w:val="Hyperlink"/>
            <w:rFonts w:ascii="Times New Roman" w:hAnsi="Times New Roman" w:cs="Times New Roman"/>
            <w:sz w:val="22"/>
            <w:szCs w:val="22"/>
          </w:rPr>
          <w:t>10.1089/jpm.2018.0257</w:t>
        </w:r>
      </w:hyperlink>
    </w:p>
    <w:p w14:paraId="17181CE4" w14:textId="5617081D"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n-US"/>
        </w:rPr>
        <w:t>19.</w:t>
      </w:r>
      <w:r w:rsidRPr="00EC3333">
        <w:rPr>
          <w:rFonts w:ascii="Times New Roman" w:hAnsi="Times New Roman" w:cs="Times New Roman"/>
          <w:color w:val="000000" w:themeColor="text1"/>
          <w:sz w:val="22"/>
          <w:szCs w:val="22"/>
          <w:lang w:val="en-US"/>
        </w:rPr>
        <w:tab/>
        <w:t xml:space="preserve">Page MJ, McKenzie JE, Bossuyt PM, Boutron I, Hoffmann TC, Mulrow CD, et al. The PRISMA 2020 statement: an updated guideline for reporting systematic reviews. BMJ. 2021 Mar 29;n71. </w:t>
      </w:r>
      <w:r w:rsidR="00805145" w:rsidRPr="00EC3333">
        <w:rPr>
          <w:rFonts w:ascii="Times New Roman" w:hAnsi="Times New Roman" w:cs="Times New Roman"/>
          <w:color w:val="000000" w:themeColor="text1"/>
          <w:sz w:val="22"/>
          <w:szCs w:val="22"/>
        </w:rPr>
        <w:t>https://doi.org/10.1136/bmj.n71</w:t>
      </w:r>
    </w:p>
    <w:p w14:paraId="13191818" w14:textId="29275F4C"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20.</w:t>
      </w:r>
      <w:r w:rsidRPr="00EC3333">
        <w:rPr>
          <w:rFonts w:ascii="Times New Roman" w:hAnsi="Times New Roman" w:cs="Times New Roman"/>
          <w:color w:val="000000" w:themeColor="text1"/>
          <w:sz w:val="22"/>
          <w:szCs w:val="22"/>
          <w:lang w:val="en-US"/>
        </w:rPr>
        <w:tab/>
        <w:t xml:space="preserve">Greenhalgh T, Peacock R. Effectiveness and efficiency of search methods in systematic reviews of complex evidence: audit of primary sources. BMJ. 2005 Nov 5;331(7524):1064–5. </w:t>
      </w:r>
      <w:r w:rsidR="00AB5F73" w:rsidRPr="00EC3333">
        <w:rPr>
          <w:rFonts w:ascii="Times New Roman" w:hAnsi="Times New Roman" w:cs="Times New Roman"/>
          <w:color w:val="000000" w:themeColor="text1"/>
          <w:sz w:val="22"/>
          <w:szCs w:val="22"/>
        </w:rPr>
        <w:t>https://doi.org/</w:t>
      </w:r>
      <w:hyperlink r:id="rId24" w:tgtFrame="_blank" w:history="1">
        <w:r w:rsidR="00805145" w:rsidRPr="00EC3333">
          <w:rPr>
            <w:rStyle w:val="Hyperlink"/>
            <w:rFonts w:ascii="Times New Roman" w:hAnsi="Times New Roman" w:cs="Times New Roman"/>
            <w:sz w:val="22"/>
            <w:szCs w:val="22"/>
          </w:rPr>
          <w:t>10.1136/bmj.38636.593461.68</w:t>
        </w:r>
      </w:hyperlink>
    </w:p>
    <w:p w14:paraId="44BE1A94" w14:textId="490EB990"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n-US"/>
        </w:rPr>
        <w:t>21.</w:t>
      </w:r>
      <w:r w:rsidRPr="00EC3333">
        <w:rPr>
          <w:rFonts w:ascii="Times New Roman" w:hAnsi="Times New Roman" w:cs="Times New Roman"/>
          <w:color w:val="000000" w:themeColor="text1"/>
          <w:sz w:val="22"/>
          <w:szCs w:val="22"/>
          <w:lang w:val="en-US"/>
        </w:rPr>
        <w:tab/>
        <w:t>Sterne JAC, Savović J, Page MJ, Elbers RG, Blencowe NS, Boutron I, et al. RoB 2: a revised tool for assessing risk of bias in randomised trials. BMJ. 2019 Aug 28;l4898.</w:t>
      </w:r>
      <w:r w:rsidR="00805145" w:rsidRPr="00EC3333">
        <w:rPr>
          <w:rFonts w:ascii="Times New Roman" w:hAnsi="Times New Roman" w:cs="Times New Roman"/>
          <w:color w:val="000000" w:themeColor="text1"/>
          <w:sz w:val="22"/>
          <w:szCs w:val="22"/>
        </w:rPr>
        <w:t> </w:t>
      </w:r>
      <w:hyperlink r:id="rId25" w:history="1">
        <w:r w:rsidR="00805145" w:rsidRPr="00EC3333">
          <w:rPr>
            <w:rStyle w:val="Hyperlink"/>
            <w:rFonts w:ascii="Times New Roman" w:hAnsi="Times New Roman" w:cs="Times New Roman"/>
            <w:sz w:val="22"/>
            <w:szCs w:val="22"/>
          </w:rPr>
          <w:t>https://doi.org/10.1136/bmj.l4898</w:t>
        </w:r>
      </w:hyperlink>
    </w:p>
    <w:p w14:paraId="4C0E8533" w14:textId="77777777"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n-US"/>
        </w:rPr>
        <w:t>22.</w:t>
      </w:r>
      <w:r w:rsidRPr="00EC3333">
        <w:rPr>
          <w:rFonts w:ascii="Times New Roman" w:hAnsi="Times New Roman" w:cs="Times New Roman"/>
          <w:color w:val="000000" w:themeColor="text1"/>
          <w:sz w:val="22"/>
          <w:szCs w:val="22"/>
          <w:lang w:val="en-US"/>
        </w:rPr>
        <w:tab/>
        <w:t>Schünemann, Holger, Brożek, Jan, Guyatt, Gordon, Oxman, Andrew. GRADE handbook for grading quality of evidence and strength of recommendations [Internet]. The GRADE Working Group; 2013 [cited 2025 Sep 13]. Available from: https://gdt.gradepro.org/app/handbook/handbook.html</w:t>
      </w:r>
    </w:p>
    <w:p w14:paraId="6418D4FC" w14:textId="77777777"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n-US"/>
        </w:rPr>
        <w:t>23.</w:t>
      </w:r>
      <w:r w:rsidRPr="00EC3333">
        <w:rPr>
          <w:rFonts w:ascii="Times New Roman" w:hAnsi="Times New Roman" w:cs="Times New Roman"/>
          <w:color w:val="000000" w:themeColor="text1"/>
          <w:sz w:val="22"/>
          <w:szCs w:val="22"/>
          <w:lang w:val="en-US"/>
        </w:rPr>
        <w:tab/>
        <w:t>Higgins JPT, Thomas J, Chandler J, Cumpston M, Li T, Page MJ, et al., editors. Cochrane Handbook for Systematic Reviews of Interventions [Internet]. 1st ed. Wiley; 2019 [cited 2025 Sep 7]. Available from: https://onlinelibrary.wiley.com/doi/book/10.1002/9781119536604</w:t>
      </w:r>
    </w:p>
    <w:p w14:paraId="05EC87F0" w14:textId="525F2CC5" w:rsidR="00805145"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24.</w:t>
      </w:r>
      <w:r w:rsidRPr="00EC3333">
        <w:rPr>
          <w:rFonts w:ascii="Times New Roman" w:hAnsi="Times New Roman" w:cs="Times New Roman"/>
          <w:color w:val="000000" w:themeColor="text1"/>
          <w:sz w:val="22"/>
          <w:szCs w:val="22"/>
          <w:lang w:val="en-US"/>
        </w:rPr>
        <w:tab/>
        <w:t xml:space="preserve">Bruera E, Ripamonti C, Brenneis C, Macmillan K, Hanson J. A randomized double-blind crossover trial of intravenous lidocaine in the treatment of neuropathic cancer pain. J Pain Symptom Manage. 1992 Apr;7(3):138–40. </w:t>
      </w:r>
      <w:r w:rsidR="00AB5F73" w:rsidRPr="00EC3333">
        <w:rPr>
          <w:rFonts w:ascii="Times New Roman" w:hAnsi="Times New Roman" w:cs="Times New Roman"/>
          <w:color w:val="000000" w:themeColor="text1"/>
          <w:sz w:val="22"/>
          <w:szCs w:val="22"/>
        </w:rPr>
        <w:t>https://doi.org/</w:t>
      </w:r>
      <w:hyperlink r:id="rId26" w:tgtFrame="_blank" w:history="1">
        <w:r w:rsidR="00805145" w:rsidRPr="00EC3333">
          <w:rPr>
            <w:rStyle w:val="Hyperlink"/>
            <w:rFonts w:ascii="Times New Roman" w:hAnsi="Times New Roman" w:cs="Times New Roman"/>
            <w:sz w:val="22"/>
            <w:szCs w:val="22"/>
          </w:rPr>
          <w:t>10.1016/s0885-3924(06)80004-7</w:t>
        </w:r>
      </w:hyperlink>
    </w:p>
    <w:p w14:paraId="1A2AC97B" w14:textId="707850D3"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25.</w:t>
      </w:r>
      <w:r w:rsidRPr="00EC3333">
        <w:rPr>
          <w:rFonts w:ascii="Times New Roman" w:hAnsi="Times New Roman" w:cs="Times New Roman"/>
          <w:color w:val="000000" w:themeColor="text1"/>
          <w:sz w:val="22"/>
          <w:szCs w:val="22"/>
          <w:lang w:val="en-US"/>
        </w:rPr>
        <w:tab/>
        <w:t xml:space="preserve">Ellemann K, Sjögren P, Banning AM, Jensen TS, Smith T, Geertseen P. Trial of Intravenous Lidocaine on Painful Neuropathy in Cancer Patients: Clin J Pain. 1989 Dec;5(4):291–4. </w:t>
      </w:r>
      <w:r w:rsidR="00AB5F73" w:rsidRPr="00EC3333">
        <w:rPr>
          <w:rFonts w:ascii="Times New Roman" w:hAnsi="Times New Roman" w:cs="Times New Roman"/>
          <w:color w:val="000000" w:themeColor="text1"/>
          <w:sz w:val="22"/>
          <w:szCs w:val="22"/>
        </w:rPr>
        <w:t>https://doi.org/</w:t>
      </w:r>
      <w:hyperlink r:id="rId27" w:tgtFrame="_blank" w:history="1">
        <w:r w:rsidR="00805145" w:rsidRPr="00EC3333">
          <w:rPr>
            <w:rStyle w:val="Hyperlink"/>
            <w:rFonts w:ascii="Times New Roman" w:hAnsi="Times New Roman" w:cs="Times New Roman"/>
            <w:sz w:val="22"/>
            <w:szCs w:val="22"/>
          </w:rPr>
          <w:t>10.1097/00002508-198912000-00003</w:t>
        </w:r>
      </w:hyperlink>
    </w:p>
    <w:p w14:paraId="768037A4" w14:textId="1A8D0A9E" w:rsidR="002A3D9C"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26.</w:t>
      </w:r>
      <w:r w:rsidRPr="00EC3333">
        <w:rPr>
          <w:rFonts w:ascii="Times New Roman" w:hAnsi="Times New Roman" w:cs="Times New Roman"/>
          <w:color w:val="000000" w:themeColor="text1"/>
          <w:sz w:val="22"/>
          <w:szCs w:val="22"/>
          <w:lang w:val="en-US"/>
        </w:rPr>
        <w:tab/>
        <w:t xml:space="preserve">Luo L, Cheng Y, Wang H, Li L, Niu H, Yang Y, et al. Lidocaine—A Promising Candidate for the Treatment of Cancer-Induced Bone Pain: A Narrative Review. </w:t>
      </w:r>
      <w:r w:rsidRPr="00EC3333">
        <w:rPr>
          <w:rFonts w:ascii="Times New Roman" w:hAnsi="Times New Roman" w:cs="Times New Roman"/>
          <w:color w:val="000000" w:themeColor="text1"/>
          <w:sz w:val="22"/>
          <w:szCs w:val="22"/>
          <w:lang w:val="es-ES"/>
        </w:rPr>
        <w:t xml:space="preserve">Adv Ther. 2025 Jun;42(6):2587–605. </w:t>
      </w:r>
      <w:r w:rsidR="00AB5F73" w:rsidRPr="00EC3333">
        <w:rPr>
          <w:rFonts w:ascii="Times New Roman" w:hAnsi="Times New Roman" w:cs="Times New Roman"/>
          <w:color w:val="000000" w:themeColor="text1"/>
          <w:sz w:val="22"/>
          <w:szCs w:val="22"/>
        </w:rPr>
        <w:t>https://doi.org/</w:t>
      </w:r>
      <w:hyperlink r:id="rId28" w:tgtFrame="_blank" w:history="1">
        <w:r w:rsidR="00805145" w:rsidRPr="00EC3333">
          <w:rPr>
            <w:rStyle w:val="Hyperlink"/>
            <w:rFonts w:ascii="Times New Roman" w:hAnsi="Times New Roman" w:cs="Times New Roman"/>
            <w:sz w:val="22"/>
            <w:szCs w:val="22"/>
          </w:rPr>
          <w:t>10.1007/s12325-025-03192-w</w:t>
        </w:r>
      </w:hyperlink>
    </w:p>
    <w:p w14:paraId="2FE3851E" w14:textId="6684D2B2" w:rsidR="002A3D9C" w:rsidRPr="00EC3333" w:rsidRDefault="002A3D9C" w:rsidP="00AB5F73">
      <w:pPr>
        <w:pStyle w:val="Bibliography"/>
        <w:rPr>
          <w:rFonts w:ascii="Times New Roman" w:hAnsi="Times New Roman" w:cs="Times New Roman"/>
          <w:color w:val="000000" w:themeColor="text1"/>
          <w:sz w:val="22"/>
          <w:szCs w:val="22"/>
          <w:lang w:val="en-US"/>
        </w:rPr>
      </w:pPr>
      <w:r w:rsidRPr="00EC3333">
        <w:rPr>
          <w:rFonts w:ascii="Times New Roman" w:hAnsi="Times New Roman" w:cs="Times New Roman"/>
          <w:color w:val="000000" w:themeColor="text1"/>
          <w:sz w:val="22"/>
          <w:szCs w:val="22"/>
          <w:lang w:val="es-ES"/>
        </w:rPr>
        <w:t>27.</w:t>
      </w:r>
      <w:r w:rsidRPr="00EC3333">
        <w:rPr>
          <w:rFonts w:ascii="Times New Roman" w:hAnsi="Times New Roman" w:cs="Times New Roman"/>
          <w:color w:val="000000" w:themeColor="text1"/>
          <w:sz w:val="22"/>
          <w:szCs w:val="22"/>
          <w:lang w:val="es-ES"/>
        </w:rPr>
        <w:tab/>
        <w:t xml:space="preserve">Reyes Rueda M, Molina BM, Rodríguez Martínez C. Indicaciones off-label de la lidocaína en infusión en cuidados paliativos: Manejo de dolor neuropático y prurito refractario. </w:t>
      </w:r>
      <w:r w:rsidRPr="00EC3333">
        <w:rPr>
          <w:rFonts w:ascii="Times New Roman" w:hAnsi="Times New Roman" w:cs="Times New Roman"/>
          <w:color w:val="000000" w:themeColor="text1"/>
          <w:sz w:val="22"/>
          <w:szCs w:val="22"/>
          <w:lang w:val="en-US"/>
        </w:rPr>
        <w:t xml:space="preserve">Rev Chil Anest. 2023;52(3):277–81. </w:t>
      </w:r>
      <w:r w:rsidR="00AB5F73" w:rsidRPr="00EC3333">
        <w:rPr>
          <w:rFonts w:ascii="Times New Roman" w:hAnsi="Times New Roman" w:cs="Times New Roman"/>
          <w:color w:val="000000" w:themeColor="text1"/>
          <w:sz w:val="22"/>
          <w:szCs w:val="22"/>
        </w:rPr>
        <w:t>https://doi.org/</w:t>
      </w:r>
      <w:r w:rsidR="00805145" w:rsidRPr="00EC3333">
        <w:rPr>
          <w:rFonts w:ascii="Times New Roman" w:hAnsi="Times New Roman" w:cs="Times New Roman"/>
          <w:color w:val="000000" w:themeColor="text1"/>
          <w:sz w:val="22"/>
          <w:szCs w:val="22"/>
        </w:rPr>
        <w:t>10.25237/revchilanestv5208031431</w:t>
      </w:r>
    </w:p>
    <w:p w14:paraId="46769129" w14:textId="172F2A73" w:rsidR="002A3D9C" w:rsidRPr="00EC3333" w:rsidRDefault="002A3D9C" w:rsidP="00EC333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28.</w:t>
      </w:r>
      <w:r w:rsidRPr="00EC3333">
        <w:rPr>
          <w:rFonts w:ascii="Times New Roman" w:hAnsi="Times New Roman" w:cs="Times New Roman"/>
          <w:color w:val="000000" w:themeColor="text1"/>
          <w:sz w:val="22"/>
          <w:szCs w:val="22"/>
          <w:lang w:val="en-US"/>
        </w:rPr>
        <w:tab/>
        <w:t xml:space="preserve">Chong PH, Yeo ZZ. Parenteral Lidocaine for Complex Cancer Pain in the Home or Inpatient Hospice Setting: A Review and Synthesis of the Evidence. J Palliat Med. 2021 Aug 1;24(8):1154–60. </w:t>
      </w:r>
      <w:r w:rsidR="00805145" w:rsidRPr="00EC3333">
        <w:rPr>
          <w:rFonts w:ascii="Times New Roman" w:hAnsi="Times New Roman" w:cs="Times New Roman"/>
          <w:color w:val="000000" w:themeColor="text1"/>
          <w:sz w:val="22"/>
          <w:szCs w:val="22"/>
        </w:rPr>
        <w:t> </w:t>
      </w:r>
      <w:r w:rsidR="00AB5F73" w:rsidRPr="00EC3333">
        <w:rPr>
          <w:rFonts w:ascii="Times New Roman" w:hAnsi="Times New Roman" w:cs="Times New Roman"/>
          <w:color w:val="000000" w:themeColor="text1"/>
          <w:sz w:val="22"/>
          <w:szCs w:val="22"/>
        </w:rPr>
        <w:t>https://doi.org/</w:t>
      </w:r>
      <w:hyperlink r:id="rId29" w:tgtFrame="_blank" w:history="1">
        <w:r w:rsidR="00805145" w:rsidRPr="00EC3333">
          <w:rPr>
            <w:rStyle w:val="Hyperlink"/>
            <w:rFonts w:ascii="Times New Roman" w:hAnsi="Times New Roman" w:cs="Times New Roman"/>
            <w:sz w:val="22"/>
            <w:szCs w:val="22"/>
          </w:rPr>
          <w:t>10.1089/jpm.2020.0622</w:t>
        </w:r>
      </w:hyperlink>
    </w:p>
    <w:p w14:paraId="256374ED" w14:textId="16C2634E" w:rsidR="00805145" w:rsidRPr="00EC3333" w:rsidRDefault="002A3D9C" w:rsidP="00AB5F73">
      <w:pPr>
        <w:pStyle w:val="Bibliography"/>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lang w:val="en-US"/>
        </w:rPr>
        <w:t>29.</w:t>
      </w:r>
      <w:r w:rsidRPr="00EC3333">
        <w:rPr>
          <w:rFonts w:ascii="Times New Roman" w:hAnsi="Times New Roman" w:cs="Times New Roman"/>
          <w:color w:val="000000" w:themeColor="text1"/>
          <w:sz w:val="22"/>
          <w:szCs w:val="22"/>
          <w:lang w:val="en-US"/>
        </w:rPr>
        <w:tab/>
        <w:t xml:space="preserve">Lee J, Currow D, Lovell M, Phillips JL, McLachlan A, Ritchie M, et al. Lidocaine for Neuropathic Cancer Pain (LiCPain): study protocol for a mixed-methods pilot study. BMJ Open. 2023 Feb;13(2):e066125. </w:t>
      </w:r>
      <w:r w:rsidR="00AB5F73" w:rsidRPr="00EC3333">
        <w:rPr>
          <w:rFonts w:ascii="Times New Roman" w:hAnsi="Times New Roman" w:cs="Times New Roman"/>
          <w:color w:val="000000" w:themeColor="text1"/>
          <w:sz w:val="22"/>
          <w:szCs w:val="22"/>
        </w:rPr>
        <w:t>https://doi.org/</w:t>
      </w:r>
      <w:hyperlink r:id="rId30" w:tgtFrame="_blank" w:history="1">
        <w:r w:rsidR="00805145" w:rsidRPr="00EC3333">
          <w:rPr>
            <w:rStyle w:val="Hyperlink"/>
            <w:rFonts w:ascii="Times New Roman" w:hAnsi="Times New Roman" w:cs="Times New Roman"/>
            <w:sz w:val="22"/>
            <w:szCs w:val="22"/>
          </w:rPr>
          <w:t>10.1136/bmjopen-2022-066125</w:t>
        </w:r>
      </w:hyperlink>
    </w:p>
    <w:p w14:paraId="4DABB3C0" w14:textId="738979C4" w:rsidR="002A3D9C" w:rsidRPr="00EC3333" w:rsidRDefault="002A3D9C" w:rsidP="002A3D9C">
      <w:pPr>
        <w:pStyle w:val="Bibliography"/>
        <w:rPr>
          <w:rFonts w:ascii="Times New Roman" w:hAnsi="Times New Roman" w:cs="Times New Roman"/>
          <w:color w:val="000000" w:themeColor="text1"/>
          <w:sz w:val="22"/>
          <w:szCs w:val="22"/>
          <w:lang w:val="en-US"/>
        </w:rPr>
      </w:pPr>
    </w:p>
    <w:p w14:paraId="4BCA965D" w14:textId="0FF0D8EA" w:rsidR="00A55953" w:rsidRPr="00EC3333" w:rsidRDefault="0000591A" w:rsidP="00A55953">
      <w:pPr>
        <w:rPr>
          <w:rFonts w:ascii="Times New Roman" w:hAnsi="Times New Roman" w:cs="Times New Roman"/>
          <w:color w:val="000000" w:themeColor="text1"/>
          <w:sz w:val="22"/>
          <w:szCs w:val="22"/>
        </w:rPr>
      </w:pPr>
      <w:r w:rsidRPr="00EC3333">
        <w:rPr>
          <w:rFonts w:ascii="Times New Roman" w:hAnsi="Times New Roman" w:cs="Times New Roman"/>
          <w:color w:val="000000" w:themeColor="text1"/>
          <w:sz w:val="22"/>
          <w:szCs w:val="22"/>
        </w:rPr>
        <w:fldChar w:fldCharType="end"/>
      </w:r>
    </w:p>
    <w:p w14:paraId="3BB2152C" w14:textId="77777777" w:rsidR="004C2394" w:rsidRPr="00EC3333" w:rsidRDefault="004C2394" w:rsidP="004C2394">
      <w:pPr>
        <w:rPr>
          <w:rFonts w:ascii="Times New Roman" w:hAnsi="Times New Roman" w:cs="Times New Roman"/>
          <w:sz w:val="22"/>
          <w:szCs w:val="22"/>
        </w:rPr>
      </w:pPr>
    </w:p>
    <w:p w14:paraId="18902FB7" w14:textId="77777777" w:rsidR="004C2394" w:rsidRPr="00EC3333" w:rsidRDefault="004C2394" w:rsidP="004C2394">
      <w:pPr>
        <w:rPr>
          <w:rFonts w:ascii="Times New Roman" w:hAnsi="Times New Roman" w:cs="Times New Roman"/>
          <w:sz w:val="22"/>
          <w:szCs w:val="22"/>
        </w:rPr>
      </w:pPr>
    </w:p>
    <w:p w14:paraId="2AE57DB9" w14:textId="77777777" w:rsidR="004C2394" w:rsidRPr="00EC3333" w:rsidRDefault="004C2394" w:rsidP="00E32C02">
      <w:pPr>
        <w:rPr>
          <w:rFonts w:ascii="Times New Roman" w:hAnsi="Times New Roman" w:cs="Times New Roman"/>
          <w:sz w:val="22"/>
          <w:szCs w:val="22"/>
        </w:rPr>
      </w:pPr>
    </w:p>
    <w:p w14:paraId="498A174B" w14:textId="77777777" w:rsidR="004C2394" w:rsidRPr="00E32C02" w:rsidRDefault="004C2394" w:rsidP="00E32C02"/>
    <w:p w14:paraId="7F0EF920" w14:textId="77777777" w:rsidR="00E32C02" w:rsidRPr="00E32C02" w:rsidRDefault="00E32C02" w:rsidP="00E32C02"/>
    <w:p w14:paraId="33D8A369" w14:textId="77777777" w:rsidR="00A55953" w:rsidRDefault="00A55953" w:rsidP="00A55953"/>
    <w:p w14:paraId="559492BE" w14:textId="77777777" w:rsidR="008D250B" w:rsidRDefault="008D250B"/>
    <w:sectPr w:rsidR="008D250B">
      <w:footerReference w:type="even" r:id="rId31"/>
      <w:footerReference w:type="default" r:id="rId3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6B5297" w14:textId="77777777" w:rsidR="00D92C8C" w:rsidRDefault="00D92C8C" w:rsidP="00411757">
      <w:pPr>
        <w:spacing w:after="0" w:line="240" w:lineRule="auto"/>
      </w:pPr>
      <w:r>
        <w:separator/>
      </w:r>
    </w:p>
  </w:endnote>
  <w:endnote w:type="continuationSeparator" w:id="0">
    <w:p w14:paraId="05E960E6" w14:textId="77777777" w:rsidR="00D92C8C" w:rsidRDefault="00D92C8C" w:rsidP="00411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755587316"/>
      <w:docPartObj>
        <w:docPartGallery w:val="Page Numbers (Bottom of Page)"/>
        <w:docPartUnique/>
      </w:docPartObj>
    </w:sdtPr>
    <w:sdtContent>
      <w:p w14:paraId="4AAD9B64" w14:textId="0AE7FAD2" w:rsidR="00411757" w:rsidRDefault="00411757" w:rsidP="00582D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93EB10" w14:textId="77777777" w:rsidR="00411757" w:rsidRDefault="00411757" w:rsidP="004117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10931819"/>
      <w:docPartObj>
        <w:docPartGallery w:val="Page Numbers (Bottom of Page)"/>
        <w:docPartUnique/>
      </w:docPartObj>
    </w:sdtPr>
    <w:sdtContent>
      <w:p w14:paraId="75B22EE8" w14:textId="30DA4D44" w:rsidR="00411757" w:rsidRDefault="00411757" w:rsidP="00582D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2AA96A" w14:textId="77777777" w:rsidR="00411757" w:rsidRDefault="00411757" w:rsidP="0041175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A41063" w14:textId="77777777" w:rsidR="00D92C8C" w:rsidRDefault="00D92C8C" w:rsidP="00411757">
      <w:pPr>
        <w:spacing w:after="0" w:line="240" w:lineRule="auto"/>
      </w:pPr>
      <w:r>
        <w:separator/>
      </w:r>
    </w:p>
  </w:footnote>
  <w:footnote w:type="continuationSeparator" w:id="0">
    <w:p w14:paraId="72D8616A" w14:textId="77777777" w:rsidR="00D92C8C" w:rsidRDefault="00D92C8C" w:rsidP="004117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15CC5"/>
    <w:multiLevelType w:val="multilevel"/>
    <w:tmpl w:val="8A4E6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914AD9"/>
    <w:multiLevelType w:val="multilevel"/>
    <w:tmpl w:val="6EE49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806CC"/>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0821E2"/>
    <w:multiLevelType w:val="multilevel"/>
    <w:tmpl w:val="387E8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290B18"/>
    <w:multiLevelType w:val="multilevel"/>
    <w:tmpl w:val="79543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3016A6"/>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500FE1"/>
    <w:multiLevelType w:val="multilevel"/>
    <w:tmpl w:val="A1689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093FAB"/>
    <w:multiLevelType w:val="multilevel"/>
    <w:tmpl w:val="9C06F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99481D"/>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7F2263"/>
    <w:multiLevelType w:val="hybridMultilevel"/>
    <w:tmpl w:val="E0547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F4063F"/>
    <w:multiLevelType w:val="multilevel"/>
    <w:tmpl w:val="B16E3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6A1C4A"/>
    <w:multiLevelType w:val="multilevel"/>
    <w:tmpl w:val="E3B07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EE5F95"/>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913B0C"/>
    <w:multiLevelType w:val="multilevel"/>
    <w:tmpl w:val="D682C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9875A6"/>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B67F99"/>
    <w:multiLevelType w:val="multilevel"/>
    <w:tmpl w:val="E8EC6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D46862"/>
    <w:multiLevelType w:val="multilevel"/>
    <w:tmpl w:val="9F540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266FEC"/>
    <w:multiLevelType w:val="multilevel"/>
    <w:tmpl w:val="0FD24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8811852"/>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3B7827"/>
    <w:multiLevelType w:val="multilevel"/>
    <w:tmpl w:val="71B6D0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5547E2"/>
    <w:multiLevelType w:val="multilevel"/>
    <w:tmpl w:val="E7C8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EDD01CC"/>
    <w:multiLevelType w:val="multilevel"/>
    <w:tmpl w:val="5E8C74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C272C1"/>
    <w:multiLevelType w:val="multilevel"/>
    <w:tmpl w:val="3698A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19978AF"/>
    <w:multiLevelType w:val="multilevel"/>
    <w:tmpl w:val="404CF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1868B3"/>
    <w:multiLevelType w:val="multilevel"/>
    <w:tmpl w:val="DD489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8820C8F"/>
    <w:multiLevelType w:val="hybridMultilevel"/>
    <w:tmpl w:val="40AA4988"/>
    <w:lvl w:ilvl="0" w:tplc="63C25F16">
      <w:start w:val="1"/>
      <w:numFmt w:val="decimal"/>
      <w:lvlText w:val="%1)"/>
      <w:lvlJc w:val="left"/>
      <w:pPr>
        <w:ind w:left="786" w:hanging="360"/>
      </w:pPr>
      <w:rPr>
        <w:rFonts w:hint="default"/>
        <w:b w:val="0"/>
        <w:bCs w:val="0"/>
        <w:color w:val="auto"/>
        <w:sz w:val="20"/>
        <w:szCs w:val="20"/>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397E5C1C"/>
    <w:multiLevelType w:val="multilevel"/>
    <w:tmpl w:val="D5DA9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A701569"/>
    <w:multiLevelType w:val="multilevel"/>
    <w:tmpl w:val="191480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C000568"/>
    <w:multiLevelType w:val="multilevel"/>
    <w:tmpl w:val="4BCC4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D0A5D4D"/>
    <w:multiLevelType w:val="hybridMultilevel"/>
    <w:tmpl w:val="15F84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DC0322F"/>
    <w:multiLevelType w:val="multilevel"/>
    <w:tmpl w:val="D278F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DEF4BDC"/>
    <w:multiLevelType w:val="multilevel"/>
    <w:tmpl w:val="F47844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58F368A"/>
    <w:multiLevelType w:val="multilevel"/>
    <w:tmpl w:val="FB70A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B287AA4"/>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B9A1493"/>
    <w:multiLevelType w:val="multilevel"/>
    <w:tmpl w:val="DC74C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C5B7142"/>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D8D722D"/>
    <w:multiLevelType w:val="multilevel"/>
    <w:tmpl w:val="03727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EC21BF5"/>
    <w:multiLevelType w:val="multilevel"/>
    <w:tmpl w:val="9DB49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EFE23F7"/>
    <w:multiLevelType w:val="hybridMultilevel"/>
    <w:tmpl w:val="07F20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19F762C"/>
    <w:multiLevelType w:val="hybridMultilevel"/>
    <w:tmpl w:val="ADB0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1AC79EF"/>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4451267"/>
    <w:multiLevelType w:val="multilevel"/>
    <w:tmpl w:val="75BE9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4922769"/>
    <w:multiLevelType w:val="multilevel"/>
    <w:tmpl w:val="448E8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7D12DE3"/>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A052D78"/>
    <w:multiLevelType w:val="multilevel"/>
    <w:tmpl w:val="12F0F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B4C2B18"/>
    <w:multiLevelType w:val="hybridMultilevel"/>
    <w:tmpl w:val="037E7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B4F2679"/>
    <w:multiLevelType w:val="multilevel"/>
    <w:tmpl w:val="5E4C2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B563F6F"/>
    <w:multiLevelType w:val="multilevel"/>
    <w:tmpl w:val="68B66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17F0A9D"/>
    <w:multiLevelType w:val="multilevel"/>
    <w:tmpl w:val="B75A8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35A5034"/>
    <w:multiLevelType w:val="multilevel"/>
    <w:tmpl w:val="388A6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38701D0"/>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5E96522"/>
    <w:multiLevelType w:val="multilevel"/>
    <w:tmpl w:val="3690A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84909DD"/>
    <w:multiLevelType w:val="hybridMultilevel"/>
    <w:tmpl w:val="40AA4988"/>
    <w:lvl w:ilvl="0" w:tplc="63C25F16">
      <w:start w:val="1"/>
      <w:numFmt w:val="decimal"/>
      <w:lvlText w:val="%1)"/>
      <w:lvlJc w:val="left"/>
      <w:pPr>
        <w:ind w:left="786" w:hanging="360"/>
      </w:pPr>
      <w:rPr>
        <w:rFonts w:hint="default"/>
        <w:b w:val="0"/>
        <w:bCs w:val="0"/>
        <w:color w:val="auto"/>
        <w:sz w:val="20"/>
        <w:szCs w:val="20"/>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53" w15:restartNumberingAfterBreak="0">
    <w:nsid w:val="69193907"/>
    <w:multiLevelType w:val="multilevel"/>
    <w:tmpl w:val="F9781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941305E"/>
    <w:multiLevelType w:val="multilevel"/>
    <w:tmpl w:val="8500E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DAA5517"/>
    <w:multiLevelType w:val="multilevel"/>
    <w:tmpl w:val="3A9A8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E877E21"/>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40D673C"/>
    <w:multiLevelType w:val="multilevel"/>
    <w:tmpl w:val="4D10F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71B1B07"/>
    <w:multiLevelType w:val="multilevel"/>
    <w:tmpl w:val="232E1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74861AE"/>
    <w:multiLevelType w:val="multilevel"/>
    <w:tmpl w:val="11FA2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F8A1681"/>
    <w:multiLevelType w:val="hybridMultilevel"/>
    <w:tmpl w:val="40AA4988"/>
    <w:lvl w:ilvl="0" w:tplc="63C25F16">
      <w:start w:val="1"/>
      <w:numFmt w:val="decimal"/>
      <w:lvlText w:val="%1)"/>
      <w:lvlJc w:val="left"/>
      <w:pPr>
        <w:ind w:left="786" w:hanging="360"/>
      </w:pPr>
      <w:rPr>
        <w:rFonts w:hint="default"/>
        <w:b w:val="0"/>
        <w:bCs w:val="0"/>
        <w:color w:val="auto"/>
        <w:sz w:val="20"/>
        <w:szCs w:val="20"/>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num w:numId="1" w16cid:durableId="205339610">
    <w:abstractNumId w:val="19"/>
  </w:num>
  <w:num w:numId="2" w16cid:durableId="237062280">
    <w:abstractNumId w:val="46"/>
  </w:num>
  <w:num w:numId="3" w16cid:durableId="1906842884">
    <w:abstractNumId w:val="44"/>
  </w:num>
  <w:num w:numId="4" w16cid:durableId="1756901598">
    <w:abstractNumId w:val="49"/>
  </w:num>
  <w:num w:numId="5" w16cid:durableId="473644232">
    <w:abstractNumId w:val="0"/>
  </w:num>
  <w:num w:numId="6" w16cid:durableId="415320604">
    <w:abstractNumId w:val="58"/>
  </w:num>
  <w:num w:numId="7" w16cid:durableId="356661939">
    <w:abstractNumId w:val="32"/>
  </w:num>
  <w:num w:numId="8" w16cid:durableId="2021200724">
    <w:abstractNumId w:val="23"/>
  </w:num>
  <w:num w:numId="9" w16cid:durableId="2019693387">
    <w:abstractNumId w:val="26"/>
  </w:num>
  <w:num w:numId="10" w16cid:durableId="744571079">
    <w:abstractNumId w:val="48"/>
  </w:num>
  <w:num w:numId="11" w16cid:durableId="818419201">
    <w:abstractNumId w:val="37"/>
  </w:num>
  <w:num w:numId="12" w16cid:durableId="1871844295">
    <w:abstractNumId w:val="41"/>
  </w:num>
  <w:num w:numId="13" w16cid:durableId="1465003908">
    <w:abstractNumId w:val="9"/>
  </w:num>
  <w:num w:numId="14" w16cid:durableId="282004432">
    <w:abstractNumId w:val="47"/>
  </w:num>
  <w:num w:numId="15" w16cid:durableId="1537622596">
    <w:abstractNumId w:val="3"/>
  </w:num>
  <w:num w:numId="16" w16cid:durableId="1182667274">
    <w:abstractNumId w:val="4"/>
  </w:num>
  <w:num w:numId="17" w16cid:durableId="842358108">
    <w:abstractNumId w:val="24"/>
  </w:num>
  <w:num w:numId="18" w16cid:durableId="1480655941">
    <w:abstractNumId w:val="10"/>
  </w:num>
  <w:num w:numId="19" w16cid:durableId="128984977">
    <w:abstractNumId w:val="55"/>
  </w:num>
  <w:num w:numId="20" w16cid:durableId="757217461">
    <w:abstractNumId w:val="54"/>
  </w:num>
  <w:num w:numId="21" w16cid:durableId="653919319">
    <w:abstractNumId w:val="31"/>
  </w:num>
  <w:num w:numId="22" w16cid:durableId="1882549212">
    <w:abstractNumId w:val="27"/>
  </w:num>
  <w:num w:numId="23" w16cid:durableId="2012370135">
    <w:abstractNumId w:val="21"/>
  </w:num>
  <w:num w:numId="24" w16cid:durableId="206993534">
    <w:abstractNumId w:val="1"/>
  </w:num>
  <w:num w:numId="25" w16cid:durableId="858930450">
    <w:abstractNumId w:val="42"/>
  </w:num>
  <w:num w:numId="26" w16cid:durableId="599873731">
    <w:abstractNumId w:val="17"/>
  </w:num>
  <w:num w:numId="27" w16cid:durableId="1561750202">
    <w:abstractNumId w:val="15"/>
  </w:num>
  <w:num w:numId="28" w16cid:durableId="968634065">
    <w:abstractNumId w:val="22"/>
  </w:num>
  <w:num w:numId="29" w16cid:durableId="613172245">
    <w:abstractNumId w:val="36"/>
  </w:num>
  <w:num w:numId="30" w16cid:durableId="878470957">
    <w:abstractNumId w:val="16"/>
  </w:num>
  <w:num w:numId="31" w16cid:durableId="105973426">
    <w:abstractNumId w:val="34"/>
  </w:num>
  <w:num w:numId="32" w16cid:durableId="1814835461">
    <w:abstractNumId w:val="11"/>
  </w:num>
  <w:num w:numId="33" w16cid:durableId="1697458458">
    <w:abstractNumId w:val="13"/>
  </w:num>
  <w:num w:numId="34" w16cid:durableId="1916209357">
    <w:abstractNumId w:val="20"/>
  </w:num>
  <w:num w:numId="35" w16cid:durableId="1621108969">
    <w:abstractNumId w:val="7"/>
  </w:num>
  <w:num w:numId="36" w16cid:durableId="1905530652">
    <w:abstractNumId w:val="53"/>
  </w:num>
  <w:num w:numId="37" w16cid:durableId="1442265938">
    <w:abstractNumId w:val="57"/>
  </w:num>
  <w:num w:numId="38" w16cid:durableId="1780834617">
    <w:abstractNumId w:val="51"/>
  </w:num>
  <w:num w:numId="39" w16cid:durableId="718481411">
    <w:abstractNumId w:val="30"/>
  </w:num>
  <w:num w:numId="40" w16cid:durableId="977687485">
    <w:abstractNumId w:val="38"/>
  </w:num>
  <w:num w:numId="41" w16cid:durableId="1498693019">
    <w:abstractNumId w:val="6"/>
  </w:num>
  <w:num w:numId="42" w16cid:durableId="2087458225">
    <w:abstractNumId w:val="40"/>
  </w:num>
  <w:num w:numId="43" w16cid:durableId="217203900">
    <w:abstractNumId w:val="28"/>
  </w:num>
  <w:num w:numId="44" w16cid:durableId="808520184">
    <w:abstractNumId w:val="33"/>
  </w:num>
  <w:num w:numId="45" w16cid:durableId="933124597">
    <w:abstractNumId w:val="14"/>
  </w:num>
  <w:num w:numId="46" w16cid:durableId="553198538">
    <w:abstractNumId w:val="43"/>
  </w:num>
  <w:num w:numId="47" w16cid:durableId="242374255">
    <w:abstractNumId w:val="56"/>
  </w:num>
  <w:num w:numId="48" w16cid:durableId="866720290">
    <w:abstractNumId w:val="35"/>
  </w:num>
  <w:num w:numId="49" w16cid:durableId="1088234759">
    <w:abstractNumId w:val="50"/>
  </w:num>
  <w:num w:numId="50" w16cid:durableId="1184980556">
    <w:abstractNumId w:val="18"/>
  </w:num>
  <w:num w:numId="51" w16cid:durableId="800002647">
    <w:abstractNumId w:val="12"/>
  </w:num>
  <w:num w:numId="52" w16cid:durableId="52316482">
    <w:abstractNumId w:val="5"/>
  </w:num>
  <w:num w:numId="53" w16cid:durableId="296375331">
    <w:abstractNumId w:val="59"/>
  </w:num>
  <w:num w:numId="54" w16cid:durableId="1264804988">
    <w:abstractNumId w:val="8"/>
  </w:num>
  <w:num w:numId="55" w16cid:durableId="1726098536">
    <w:abstractNumId w:val="2"/>
  </w:num>
  <w:num w:numId="56" w16cid:durableId="894704476">
    <w:abstractNumId w:val="39"/>
  </w:num>
  <w:num w:numId="57" w16cid:durableId="463889009">
    <w:abstractNumId w:val="45"/>
  </w:num>
  <w:num w:numId="58" w16cid:durableId="1055660838">
    <w:abstractNumId w:val="29"/>
  </w:num>
  <w:num w:numId="59" w16cid:durableId="175005566">
    <w:abstractNumId w:val="52"/>
  </w:num>
  <w:num w:numId="60" w16cid:durableId="1041251063">
    <w:abstractNumId w:val="25"/>
  </w:num>
  <w:num w:numId="61" w16cid:durableId="1341618860">
    <w:abstractNumId w:val="6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50B"/>
    <w:rsid w:val="0000591A"/>
    <w:rsid w:val="00010604"/>
    <w:rsid w:val="00014992"/>
    <w:rsid w:val="000212C2"/>
    <w:rsid w:val="000317E8"/>
    <w:rsid w:val="00044BB6"/>
    <w:rsid w:val="00066289"/>
    <w:rsid w:val="0009354B"/>
    <w:rsid w:val="00094AB9"/>
    <w:rsid w:val="0010206C"/>
    <w:rsid w:val="00166264"/>
    <w:rsid w:val="00175170"/>
    <w:rsid w:val="00180A8E"/>
    <w:rsid w:val="001F71A5"/>
    <w:rsid w:val="00210681"/>
    <w:rsid w:val="00227118"/>
    <w:rsid w:val="002424DE"/>
    <w:rsid w:val="002617B6"/>
    <w:rsid w:val="002A3D9C"/>
    <w:rsid w:val="002C3FD4"/>
    <w:rsid w:val="00310BA6"/>
    <w:rsid w:val="00370773"/>
    <w:rsid w:val="003B4E48"/>
    <w:rsid w:val="003C7E4C"/>
    <w:rsid w:val="003F2D5D"/>
    <w:rsid w:val="00411757"/>
    <w:rsid w:val="004160F6"/>
    <w:rsid w:val="00435A2C"/>
    <w:rsid w:val="00480C12"/>
    <w:rsid w:val="004831D7"/>
    <w:rsid w:val="004A647B"/>
    <w:rsid w:val="004C2394"/>
    <w:rsid w:val="00536068"/>
    <w:rsid w:val="005572A3"/>
    <w:rsid w:val="00560E5E"/>
    <w:rsid w:val="005756D4"/>
    <w:rsid w:val="00582C6B"/>
    <w:rsid w:val="005A26D9"/>
    <w:rsid w:val="005A7033"/>
    <w:rsid w:val="005E6BE5"/>
    <w:rsid w:val="005F57E8"/>
    <w:rsid w:val="00610994"/>
    <w:rsid w:val="00610E59"/>
    <w:rsid w:val="00655561"/>
    <w:rsid w:val="00670245"/>
    <w:rsid w:val="006B5A97"/>
    <w:rsid w:val="006D1734"/>
    <w:rsid w:val="006E52C8"/>
    <w:rsid w:val="0070218A"/>
    <w:rsid w:val="0071553F"/>
    <w:rsid w:val="007224D2"/>
    <w:rsid w:val="007379CC"/>
    <w:rsid w:val="007463F8"/>
    <w:rsid w:val="007B2945"/>
    <w:rsid w:val="007E2362"/>
    <w:rsid w:val="007E76CE"/>
    <w:rsid w:val="00805145"/>
    <w:rsid w:val="008B25A8"/>
    <w:rsid w:val="008D250B"/>
    <w:rsid w:val="00925F3A"/>
    <w:rsid w:val="00957FA6"/>
    <w:rsid w:val="009C7FE1"/>
    <w:rsid w:val="009D5BDA"/>
    <w:rsid w:val="00A269B6"/>
    <w:rsid w:val="00A31D92"/>
    <w:rsid w:val="00A55953"/>
    <w:rsid w:val="00AA4B78"/>
    <w:rsid w:val="00AA6B4C"/>
    <w:rsid w:val="00AB5F73"/>
    <w:rsid w:val="00AB7EE9"/>
    <w:rsid w:val="00AC6E1E"/>
    <w:rsid w:val="00B1354E"/>
    <w:rsid w:val="00B36A40"/>
    <w:rsid w:val="00B65B44"/>
    <w:rsid w:val="00BA7CE3"/>
    <w:rsid w:val="00C17A5F"/>
    <w:rsid w:val="00C45D85"/>
    <w:rsid w:val="00C77A4D"/>
    <w:rsid w:val="00C8145E"/>
    <w:rsid w:val="00CA6A62"/>
    <w:rsid w:val="00CB1A6B"/>
    <w:rsid w:val="00CF1D98"/>
    <w:rsid w:val="00D15E02"/>
    <w:rsid w:val="00D44A64"/>
    <w:rsid w:val="00D5599B"/>
    <w:rsid w:val="00D92C8C"/>
    <w:rsid w:val="00DC458D"/>
    <w:rsid w:val="00E15B06"/>
    <w:rsid w:val="00E257E5"/>
    <w:rsid w:val="00E32C02"/>
    <w:rsid w:val="00E64678"/>
    <w:rsid w:val="00EC3333"/>
    <w:rsid w:val="00EF50E4"/>
    <w:rsid w:val="00F05287"/>
    <w:rsid w:val="00F3270B"/>
    <w:rsid w:val="00F422D2"/>
    <w:rsid w:val="00F4431A"/>
    <w:rsid w:val="00F61E7D"/>
    <w:rsid w:val="00F66935"/>
    <w:rsid w:val="00FA56E3"/>
    <w:rsid w:val="00FC6898"/>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60B84"/>
  <w15:chartTrackingRefBased/>
  <w15:docId w15:val="{F24E8326-5E9F-084B-B287-070C09CC5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D25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D25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D25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D25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D25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D25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D25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D25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D25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25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D25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D25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D25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D25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D25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D25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D25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D250B"/>
    <w:rPr>
      <w:rFonts w:eastAsiaTheme="majorEastAsia" w:cstheme="majorBidi"/>
      <w:color w:val="272727" w:themeColor="text1" w:themeTint="D8"/>
    </w:rPr>
  </w:style>
  <w:style w:type="paragraph" w:styleId="Title">
    <w:name w:val="Title"/>
    <w:basedOn w:val="Normal"/>
    <w:next w:val="Normal"/>
    <w:link w:val="TitleChar"/>
    <w:uiPriority w:val="10"/>
    <w:qFormat/>
    <w:rsid w:val="008D25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25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D25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D25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D250B"/>
    <w:pPr>
      <w:spacing w:before="160"/>
      <w:jc w:val="center"/>
    </w:pPr>
    <w:rPr>
      <w:i/>
      <w:iCs/>
      <w:color w:val="404040" w:themeColor="text1" w:themeTint="BF"/>
    </w:rPr>
  </w:style>
  <w:style w:type="character" w:customStyle="1" w:styleId="QuoteChar">
    <w:name w:val="Quote Char"/>
    <w:basedOn w:val="DefaultParagraphFont"/>
    <w:link w:val="Quote"/>
    <w:uiPriority w:val="29"/>
    <w:rsid w:val="008D250B"/>
    <w:rPr>
      <w:i/>
      <w:iCs/>
      <w:color w:val="404040" w:themeColor="text1" w:themeTint="BF"/>
    </w:rPr>
  </w:style>
  <w:style w:type="paragraph" w:styleId="ListParagraph">
    <w:name w:val="List Paragraph"/>
    <w:basedOn w:val="Normal"/>
    <w:uiPriority w:val="34"/>
    <w:qFormat/>
    <w:rsid w:val="008D250B"/>
    <w:pPr>
      <w:ind w:left="720"/>
      <w:contextualSpacing/>
    </w:pPr>
  </w:style>
  <w:style w:type="character" w:styleId="IntenseEmphasis">
    <w:name w:val="Intense Emphasis"/>
    <w:basedOn w:val="DefaultParagraphFont"/>
    <w:uiPriority w:val="21"/>
    <w:qFormat/>
    <w:rsid w:val="008D250B"/>
    <w:rPr>
      <w:i/>
      <w:iCs/>
      <w:color w:val="0F4761" w:themeColor="accent1" w:themeShade="BF"/>
    </w:rPr>
  </w:style>
  <w:style w:type="paragraph" w:styleId="IntenseQuote">
    <w:name w:val="Intense Quote"/>
    <w:basedOn w:val="Normal"/>
    <w:next w:val="Normal"/>
    <w:link w:val="IntenseQuoteChar"/>
    <w:uiPriority w:val="30"/>
    <w:qFormat/>
    <w:rsid w:val="008D25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D250B"/>
    <w:rPr>
      <w:i/>
      <w:iCs/>
      <w:color w:val="0F4761" w:themeColor="accent1" w:themeShade="BF"/>
    </w:rPr>
  </w:style>
  <w:style w:type="character" w:styleId="IntenseReference">
    <w:name w:val="Intense Reference"/>
    <w:basedOn w:val="DefaultParagraphFont"/>
    <w:uiPriority w:val="32"/>
    <w:qFormat/>
    <w:rsid w:val="008D250B"/>
    <w:rPr>
      <w:b/>
      <w:bCs/>
      <w:smallCaps/>
      <w:color w:val="0F4761" w:themeColor="accent1" w:themeShade="BF"/>
      <w:spacing w:val="5"/>
    </w:rPr>
  </w:style>
  <w:style w:type="paragraph" w:styleId="Bibliography">
    <w:name w:val="Bibliography"/>
    <w:basedOn w:val="Normal"/>
    <w:next w:val="Normal"/>
    <w:uiPriority w:val="37"/>
    <w:unhideWhenUsed/>
    <w:rsid w:val="0000591A"/>
    <w:pPr>
      <w:tabs>
        <w:tab w:val="left" w:pos="260"/>
      </w:tabs>
      <w:spacing w:after="240" w:line="240" w:lineRule="auto"/>
      <w:ind w:left="264" w:hanging="264"/>
    </w:pPr>
  </w:style>
  <w:style w:type="paragraph" w:styleId="NormalWeb">
    <w:name w:val="Normal (Web)"/>
    <w:basedOn w:val="Normal"/>
    <w:uiPriority w:val="99"/>
    <w:unhideWhenUsed/>
    <w:rsid w:val="00AB7EE9"/>
    <w:rPr>
      <w:rFonts w:ascii="Times New Roman" w:hAnsi="Times New Roman" w:cs="Times New Roman"/>
    </w:rPr>
  </w:style>
  <w:style w:type="paragraph" w:styleId="NoSpacing">
    <w:name w:val="No Spacing"/>
    <w:uiPriority w:val="1"/>
    <w:qFormat/>
    <w:rsid w:val="00F422D2"/>
    <w:pPr>
      <w:spacing w:after="0" w:line="240" w:lineRule="auto"/>
    </w:pPr>
  </w:style>
  <w:style w:type="table" w:styleId="TableGrid">
    <w:name w:val="Table Grid"/>
    <w:basedOn w:val="TableNormal"/>
    <w:uiPriority w:val="39"/>
    <w:rsid w:val="00F42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E52C8"/>
    <w:rPr>
      <w:i/>
      <w:iCs/>
    </w:rPr>
  </w:style>
  <w:style w:type="character" w:styleId="Hyperlink">
    <w:name w:val="Hyperlink"/>
    <w:basedOn w:val="DefaultParagraphFont"/>
    <w:uiPriority w:val="99"/>
    <w:unhideWhenUsed/>
    <w:rsid w:val="000317E8"/>
    <w:rPr>
      <w:color w:val="467886" w:themeColor="hyperlink"/>
      <w:u w:val="single"/>
    </w:rPr>
  </w:style>
  <w:style w:type="character" w:styleId="UnresolvedMention">
    <w:name w:val="Unresolved Mention"/>
    <w:basedOn w:val="DefaultParagraphFont"/>
    <w:uiPriority w:val="99"/>
    <w:semiHidden/>
    <w:unhideWhenUsed/>
    <w:rsid w:val="000317E8"/>
    <w:rPr>
      <w:color w:val="605E5C"/>
      <w:shd w:val="clear" w:color="auto" w:fill="E1DFDD"/>
    </w:rPr>
  </w:style>
  <w:style w:type="character" w:styleId="FollowedHyperlink">
    <w:name w:val="FollowedHyperlink"/>
    <w:basedOn w:val="DefaultParagraphFont"/>
    <w:uiPriority w:val="99"/>
    <w:semiHidden/>
    <w:unhideWhenUsed/>
    <w:rsid w:val="00370773"/>
    <w:rPr>
      <w:color w:val="96607D" w:themeColor="followedHyperlink"/>
      <w:u w:val="single"/>
    </w:rPr>
  </w:style>
  <w:style w:type="paragraph" w:styleId="Footer">
    <w:name w:val="footer"/>
    <w:basedOn w:val="Normal"/>
    <w:link w:val="FooterChar"/>
    <w:uiPriority w:val="99"/>
    <w:unhideWhenUsed/>
    <w:rsid w:val="004117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1757"/>
  </w:style>
  <w:style w:type="character" w:styleId="PageNumber">
    <w:name w:val="page number"/>
    <w:basedOn w:val="DefaultParagraphFont"/>
    <w:uiPriority w:val="99"/>
    <w:semiHidden/>
    <w:unhideWhenUsed/>
    <w:rsid w:val="004117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25745">
      <w:bodyDiv w:val="1"/>
      <w:marLeft w:val="0"/>
      <w:marRight w:val="0"/>
      <w:marTop w:val="0"/>
      <w:marBottom w:val="0"/>
      <w:divBdr>
        <w:top w:val="none" w:sz="0" w:space="0" w:color="auto"/>
        <w:left w:val="none" w:sz="0" w:space="0" w:color="auto"/>
        <w:bottom w:val="none" w:sz="0" w:space="0" w:color="auto"/>
        <w:right w:val="none" w:sz="0" w:space="0" w:color="auto"/>
      </w:divBdr>
    </w:div>
    <w:div w:id="18089112">
      <w:bodyDiv w:val="1"/>
      <w:marLeft w:val="0"/>
      <w:marRight w:val="0"/>
      <w:marTop w:val="0"/>
      <w:marBottom w:val="0"/>
      <w:divBdr>
        <w:top w:val="none" w:sz="0" w:space="0" w:color="auto"/>
        <w:left w:val="none" w:sz="0" w:space="0" w:color="auto"/>
        <w:bottom w:val="none" w:sz="0" w:space="0" w:color="auto"/>
        <w:right w:val="none" w:sz="0" w:space="0" w:color="auto"/>
      </w:divBdr>
    </w:div>
    <w:div w:id="27488453">
      <w:bodyDiv w:val="1"/>
      <w:marLeft w:val="0"/>
      <w:marRight w:val="0"/>
      <w:marTop w:val="0"/>
      <w:marBottom w:val="0"/>
      <w:divBdr>
        <w:top w:val="none" w:sz="0" w:space="0" w:color="auto"/>
        <w:left w:val="none" w:sz="0" w:space="0" w:color="auto"/>
        <w:bottom w:val="none" w:sz="0" w:space="0" w:color="auto"/>
        <w:right w:val="none" w:sz="0" w:space="0" w:color="auto"/>
      </w:divBdr>
    </w:div>
    <w:div w:id="31540772">
      <w:bodyDiv w:val="1"/>
      <w:marLeft w:val="0"/>
      <w:marRight w:val="0"/>
      <w:marTop w:val="0"/>
      <w:marBottom w:val="0"/>
      <w:divBdr>
        <w:top w:val="none" w:sz="0" w:space="0" w:color="auto"/>
        <w:left w:val="none" w:sz="0" w:space="0" w:color="auto"/>
        <w:bottom w:val="none" w:sz="0" w:space="0" w:color="auto"/>
        <w:right w:val="none" w:sz="0" w:space="0" w:color="auto"/>
      </w:divBdr>
    </w:div>
    <w:div w:id="40643084">
      <w:bodyDiv w:val="1"/>
      <w:marLeft w:val="0"/>
      <w:marRight w:val="0"/>
      <w:marTop w:val="0"/>
      <w:marBottom w:val="0"/>
      <w:divBdr>
        <w:top w:val="none" w:sz="0" w:space="0" w:color="auto"/>
        <w:left w:val="none" w:sz="0" w:space="0" w:color="auto"/>
        <w:bottom w:val="none" w:sz="0" w:space="0" w:color="auto"/>
        <w:right w:val="none" w:sz="0" w:space="0" w:color="auto"/>
      </w:divBdr>
    </w:div>
    <w:div w:id="54361150">
      <w:bodyDiv w:val="1"/>
      <w:marLeft w:val="0"/>
      <w:marRight w:val="0"/>
      <w:marTop w:val="0"/>
      <w:marBottom w:val="0"/>
      <w:divBdr>
        <w:top w:val="none" w:sz="0" w:space="0" w:color="auto"/>
        <w:left w:val="none" w:sz="0" w:space="0" w:color="auto"/>
        <w:bottom w:val="none" w:sz="0" w:space="0" w:color="auto"/>
        <w:right w:val="none" w:sz="0" w:space="0" w:color="auto"/>
      </w:divBdr>
    </w:div>
    <w:div w:id="81729822">
      <w:bodyDiv w:val="1"/>
      <w:marLeft w:val="0"/>
      <w:marRight w:val="0"/>
      <w:marTop w:val="0"/>
      <w:marBottom w:val="0"/>
      <w:divBdr>
        <w:top w:val="none" w:sz="0" w:space="0" w:color="auto"/>
        <w:left w:val="none" w:sz="0" w:space="0" w:color="auto"/>
        <w:bottom w:val="none" w:sz="0" w:space="0" w:color="auto"/>
        <w:right w:val="none" w:sz="0" w:space="0" w:color="auto"/>
      </w:divBdr>
    </w:div>
    <w:div w:id="87389200">
      <w:bodyDiv w:val="1"/>
      <w:marLeft w:val="0"/>
      <w:marRight w:val="0"/>
      <w:marTop w:val="0"/>
      <w:marBottom w:val="0"/>
      <w:divBdr>
        <w:top w:val="none" w:sz="0" w:space="0" w:color="auto"/>
        <w:left w:val="none" w:sz="0" w:space="0" w:color="auto"/>
        <w:bottom w:val="none" w:sz="0" w:space="0" w:color="auto"/>
        <w:right w:val="none" w:sz="0" w:space="0" w:color="auto"/>
      </w:divBdr>
    </w:div>
    <w:div w:id="93400763">
      <w:bodyDiv w:val="1"/>
      <w:marLeft w:val="0"/>
      <w:marRight w:val="0"/>
      <w:marTop w:val="0"/>
      <w:marBottom w:val="0"/>
      <w:divBdr>
        <w:top w:val="none" w:sz="0" w:space="0" w:color="auto"/>
        <w:left w:val="none" w:sz="0" w:space="0" w:color="auto"/>
        <w:bottom w:val="none" w:sz="0" w:space="0" w:color="auto"/>
        <w:right w:val="none" w:sz="0" w:space="0" w:color="auto"/>
      </w:divBdr>
    </w:div>
    <w:div w:id="121114987">
      <w:bodyDiv w:val="1"/>
      <w:marLeft w:val="0"/>
      <w:marRight w:val="0"/>
      <w:marTop w:val="0"/>
      <w:marBottom w:val="0"/>
      <w:divBdr>
        <w:top w:val="none" w:sz="0" w:space="0" w:color="auto"/>
        <w:left w:val="none" w:sz="0" w:space="0" w:color="auto"/>
        <w:bottom w:val="none" w:sz="0" w:space="0" w:color="auto"/>
        <w:right w:val="none" w:sz="0" w:space="0" w:color="auto"/>
      </w:divBdr>
    </w:div>
    <w:div w:id="151988965">
      <w:bodyDiv w:val="1"/>
      <w:marLeft w:val="0"/>
      <w:marRight w:val="0"/>
      <w:marTop w:val="0"/>
      <w:marBottom w:val="0"/>
      <w:divBdr>
        <w:top w:val="none" w:sz="0" w:space="0" w:color="auto"/>
        <w:left w:val="none" w:sz="0" w:space="0" w:color="auto"/>
        <w:bottom w:val="none" w:sz="0" w:space="0" w:color="auto"/>
        <w:right w:val="none" w:sz="0" w:space="0" w:color="auto"/>
      </w:divBdr>
    </w:div>
    <w:div w:id="232855385">
      <w:bodyDiv w:val="1"/>
      <w:marLeft w:val="0"/>
      <w:marRight w:val="0"/>
      <w:marTop w:val="0"/>
      <w:marBottom w:val="0"/>
      <w:divBdr>
        <w:top w:val="none" w:sz="0" w:space="0" w:color="auto"/>
        <w:left w:val="none" w:sz="0" w:space="0" w:color="auto"/>
        <w:bottom w:val="none" w:sz="0" w:space="0" w:color="auto"/>
        <w:right w:val="none" w:sz="0" w:space="0" w:color="auto"/>
      </w:divBdr>
    </w:div>
    <w:div w:id="254899333">
      <w:bodyDiv w:val="1"/>
      <w:marLeft w:val="0"/>
      <w:marRight w:val="0"/>
      <w:marTop w:val="0"/>
      <w:marBottom w:val="0"/>
      <w:divBdr>
        <w:top w:val="none" w:sz="0" w:space="0" w:color="auto"/>
        <w:left w:val="none" w:sz="0" w:space="0" w:color="auto"/>
        <w:bottom w:val="none" w:sz="0" w:space="0" w:color="auto"/>
        <w:right w:val="none" w:sz="0" w:space="0" w:color="auto"/>
      </w:divBdr>
    </w:div>
    <w:div w:id="260842198">
      <w:bodyDiv w:val="1"/>
      <w:marLeft w:val="0"/>
      <w:marRight w:val="0"/>
      <w:marTop w:val="0"/>
      <w:marBottom w:val="0"/>
      <w:divBdr>
        <w:top w:val="none" w:sz="0" w:space="0" w:color="auto"/>
        <w:left w:val="none" w:sz="0" w:space="0" w:color="auto"/>
        <w:bottom w:val="none" w:sz="0" w:space="0" w:color="auto"/>
        <w:right w:val="none" w:sz="0" w:space="0" w:color="auto"/>
      </w:divBdr>
    </w:div>
    <w:div w:id="276064131">
      <w:bodyDiv w:val="1"/>
      <w:marLeft w:val="0"/>
      <w:marRight w:val="0"/>
      <w:marTop w:val="0"/>
      <w:marBottom w:val="0"/>
      <w:divBdr>
        <w:top w:val="none" w:sz="0" w:space="0" w:color="auto"/>
        <w:left w:val="none" w:sz="0" w:space="0" w:color="auto"/>
        <w:bottom w:val="none" w:sz="0" w:space="0" w:color="auto"/>
        <w:right w:val="none" w:sz="0" w:space="0" w:color="auto"/>
      </w:divBdr>
    </w:div>
    <w:div w:id="292442042">
      <w:bodyDiv w:val="1"/>
      <w:marLeft w:val="0"/>
      <w:marRight w:val="0"/>
      <w:marTop w:val="0"/>
      <w:marBottom w:val="0"/>
      <w:divBdr>
        <w:top w:val="none" w:sz="0" w:space="0" w:color="auto"/>
        <w:left w:val="none" w:sz="0" w:space="0" w:color="auto"/>
        <w:bottom w:val="none" w:sz="0" w:space="0" w:color="auto"/>
        <w:right w:val="none" w:sz="0" w:space="0" w:color="auto"/>
      </w:divBdr>
    </w:div>
    <w:div w:id="295263757">
      <w:bodyDiv w:val="1"/>
      <w:marLeft w:val="0"/>
      <w:marRight w:val="0"/>
      <w:marTop w:val="0"/>
      <w:marBottom w:val="0"/>
      <w:divBdr>
        <w:top w:val="none" w:sz="0" w:space="0" w:color="auto"/>
        <w:left w:val="none" w:sz="0" w:space="0" w:color="auto"/>
        <w:bottom w:val="none" w:sz="0" w:space="0" w:color="auto"/>
        <w:right w:val="none" w:sz="0" w:space="0" w:color="auto"/>
      </w:divBdr>
    </w:div>
    <w:div w:id="297616694">
      <w:bodyDiv w:val="1"/>
      <w:marLeft w:val="0"/>
      <w:marRight w:val="0"/>
      <w:marTop w:val="0"/>
      <w:marBottom w:val="0"/>
      <w:divBdr>
        <w:top w:val="none" w:sz="0" w:space="0" w:color="auto"/>
        <w:left w:val="none" w:sz="0" w:space="0" w:color="auto"/>
        <w:bottom w:val="none" w:sz="0" w:space="0" w:color="auto"/>
        <w:right w:val="none" w:sz="0" w:space="0" w:color="auto"/>
      </w:divBdr>
    </w:div>
    <w:div w:id="337200725">
      <w:bodyDiv w:val="1"/>
      <w:marLeft w:val="0"/>
      <w:marRight w:val="0"/>
      <w:marTop w:val="0"/>
      <w:marBottom w:val="0"/>
      <w:divBdr>
        <w:top w:val="none" w:sz="0" w:space="0" w:color="auto"/>
        <w:left w:val="none" w:sz="0" w:space="0" w:color="auto"/>
        <w:bottom w:val="none" w:sz="0" w:space="0" w:color="auto"/>
        <w:right w:val="none" w:sz="0" w:space="0" w:color="auto"/>
      </w:divBdr>
    </w:div>
    <w:div w:id="355816866">
      <w:bodyDiv w:val="1"/>
      <w:marLeft w:val="0"/>
      <w:marRight w:val="0"/>
      <w:marTop w:val="0"/>
      <w:marBottom w:val="0"/>
      <w:divBdr>
        <w:top w:val="none" w:sz="0" w:space="0" w:color="auto"/>
        <w:left w:val="none" w:sz="0" w:space="0" w:color="auto"/>
        <w:bottom w:val="none" w:sz="0" w:space="0" w:color="auto"/>
        <w:right w:val="none" w:sz="0" w:space="0" w:color="auto"/>
      </w:divBdr>
    </w:div>
    <w:div w:id="388384128">
      <w:bodyDiv w:val="1"/>
      <w:marLeft w:val="0"/>
      <w:marRight w:val="0"/>
      <w:marTop w:val="0"/>
      <w:marBottom w:val="0"/>
      <w:divBdr>
        <w:top w:val="none" w:sz="0" w:space="0" w:color="auto"/>
        <w:left w:val="none" w:sz="0" w:space="0" w:color="auto"/>
        <w:bottom w:val="none" w:sz="0" w:space="0" w:color="auto"/>
        <w:right w:val="none" w:sz="0" w:space="0" w:color="auto"/>
      </w:divBdr>
    </w:div>
    <w:div w:id="399601914">
      <w:bodyDiv w:val="1"/>
      <w:marLeft w:val="0"/>
      <w:marRight w:val="0"/>
      <w:marTop w:val="0"/>
      <w:marBottom w:val="0"/>
      <w:divBdr>
        <w:top w:val="none" w:sz="0" w:space="0" w:color="auto"/>
        <w:left w:val="none" w:sz="0" w:space="0" w:color="auto"/>
        <w:bottom w:val="none" w:sz="0" w:space="0" w:color="auto"/>
        <w:right w:val="none" w:sz="0" w:space="0" w:color="auto"/>
      </w:divBdr>
    </w:div>
    <w:div w:id="412095286">
      <w:bodyDiv w:val="1"/>
      <w:marLeft w:val="0"/>
      <w:marRight w:val="0"/>
      <w:marTop w:val="0"/>
      <w:marBottom w:val="0"/>
      <w:divBdr>
        <w:top w:val="none" w:sz="0" w:space="0" w:color="auto"/>
        <w:left w:val="none" w:sz="0" w:space="0" w:color="auto"/>
        <w:bottom w:val="none" w:sz="0" w:space="0" w:color="auto"/>
        <w:right w:val="none" w:sz="0" w:space="0" w:color="auto"/>
      </w:divBdr>
    </w:div>
    <w:div w:id="415515633">
      <w:bodyDiv w:val="1"/>
      <w:marLeft w:val="0"/>
      <w:marRight w:val="0"/>
      <w:marTop w:val="0"/>
      <w:marBottom w:val="0"/>
      <w:divBdr>
        <w:top w:val="none" w:sz="0" w:space="0" w:color="auto"/>
        <w:left w:val="none" w:sz="0" w:space="0" w:color="auto"/>
        <w:bottom w:val="none" w:sz="0" w:space="0" w:color="auto"/>
        <w:right w:val="none" w:sz="0" w:space="0" w:color="auto"/>
      </w:divBdr>
      <w:divsChild>
        <w:div w:id="535581534">
          <w:marLeft w:val="0"/>
          <w:marRight w:val="0"/>
          <w:marTop w:val="0"/>
          <w:marBottom w:val="0"/>
          <w:divBdr>
            <w:top w:val="none" w:sz="0" w:space="0" w:color="auto"/>
            <w:left w:val="none" w:sz="0" w:space="0" w:color="auto"/>
            <w:bottom w:val="none" w:sz="0" w:space="0" w:color="auto"/>
            <w:right w:val="none" w:sz="0" w:space="0" w:color="auto"/>
          </w:divBdr>
        </w:div>
        <w:div w:id="1752923475">
          <w:marLeft w:val="0"/>
          <w:marRight w:val="0"/>
          <w:marTop w:val="0"/>
          <w:marBottom w:val="0"/>
          <w:divBdr>
            <w:top w:val="none" w:sz="0" w:space="0" w:color="auto"/>
            <w:left w:val="none" w:sz="0" w:space="0" w:color="auto"/>
            <w:bottom w:val="none" w:sz="0" w:space="0" w:color="auto"/>
            <w:right w:val="none" w:sz="0" w:space="0" w:color="auto"/>
          </w:divBdr>
        </w:div>
      </w:divsChild>
    </w:div>
    <w:div w:id="424153317">
      <w:bodyDiv w:val="1"/>
      <w:marLeft w:val="0"/>
      <w:marRight w:val="0"/>
      <w:marTop w:val="0"/>
      <w:marBottom w:val="0"/>
      <w:divBdr>
        <w:top w:val="none" w:sz="0" w:space="0" w:color="auto"/>
        <w:left w:val="none" w:sz="0" w:space="0" w:color="auto"/>
        <w:bottom w:val="none" w:sz="0" w:space="0" w:color="auto"/>
        <w:right w:val="none" w:sz="0" w:space="0" w:color="auto"/>
      </w:divBdr>
    </w:div>
    <w:div w:id="443354437">
      <w:bodyDiv w:val="1"/>
      <w:marLeft w:val="0"/>
      <w:marRight w:val="0"/>
      <w:marTop w:val="0"/>
      <w:marBottom w:val="0"/>
      <w:divBdr>
        <w:top w:val="none" w:sz="0" w:space="0" w:color="auto"/>
        <w:left w:val="none" w:sz="0" w:space="0" w:color="auto"/>
        <w:bottom w:val="none" w:sz="0" w:space="0" w:color="auto"/>
        <w:right w:val="none" w:sz="0" w:space="0" w:color="auto"/>
      </w:divBdr>
    </w:div>
    <w:div w:id="457797856">
      <w:bodyDiv w:val="1"/>
      <w:marLeft w:val="0"/>
      <w:marRight w:val="0"/>
      <w:marTop w:val="0"/>
      <w:marBottom w:val="0"/>
      <w:divBdr>
        <w:top w:val="none" w:sz="0" w:space="0" w:color="auto"/>
        <w:left w:val="none" w:sz="0" w:space="0" w:color="auto"/>
        <w:bottom w:val="none" w:sz="0" w:space="0" w:color="auto"/>
        <w:right w:val="none" w:sz="0" w:space="0" w:color="auto"/>
      </w:divBdr>
    </w:div>
    <w:div w:id="469859505">
      <w:bodyDiv w:val="1"/>
      <w:marLeft w:val="0"/>
      <w:marRight w:val="0"/>
      <w:marTop w:val="0"/>
      <w:marBottom w:val="0"/>
      <w:divBdr>
        <w:top w:val="none" w:sz="0" w:space="0" w:color="auto"/>
        <w:left w:val="none" w:sz="0" w:space="0" w:color="auto"/>
        <w:bottom w:val="none" w:sz="0" w:space="0" w:color="auto"/>
        <w:right w:val="none" w:sz="0" w:space="0" w:color="auto"/>
      </w:divBdr>
    </w:div>
    <w:div w:id="473790260">
      <w:bodyDiv w:val="1"/>
      <w:marLeft w:val="0"/>
      <w:marRight w:val="0"/>
      <w:marTop w:val="0"/>
      <w:marBottom w:val="0"/>
      <w:divBdr>
        <w:top w:val="none" w:sz="0" w:space="0" w:color="auto"/>
        <w:left w:val="none" w:sz="0" w:space="0" w:color="auto"/>
        <w:bottom w:val="none" w:sz="0" w:space="0" w:color="auto"/>
        <w:right w:val="none" w:sz="0" w:space="0" w:color="auto"/>
      </w:divBdr>
    </w:div>
    <w:div w:id="479079076">
      <w:bodyDiv w:val="1"/>
      <w:marLeft w:val="0"/>
      <w:marRight w:val="0"/>
      <w:marTop w:val="0"/>
      <w:marBottom w:val="0"/>
      <w:divBdr>
        <w:top w:val="none" w:sz="0" w:space="0" w:color="auto"/>
        <w:left w:val="none" w:sz="0" w:space="0" w:color="auto"/>
        <w:bottom w:val="none" w:sz="0" w:space="0" w:color="auto"/>
        <w:right w:val="none" w:sz="0" w:space="0" w:color="auto"/>
      </w:divBdr>
    </w:div>
    <w:div w:id="491530722">
      <w:bodyDiv w:val="1"/>
      <w:marLeft w:val="0"/>
      <w:marRight w:val="0"/>
      <w:marTop w:val="0"/>
      <w:marBottom w:val="0"/>
      <w:divBdr>
        <w:top w:val="none" w:sz="0" w:space="0" w:color="auto"/>
        <w:left w:val="none" w:sz="0" w:space="0" w:color="auto"/>
        <w:bottom w:val="none" w:sz="0" w:space="0" w:color="auto"/>
        <w:right w:val="none" w:sz="0" w:space="0" w:color="auto"/>
      </w:divBdr>
    </w:div>
    <w:div w:id="497237512">
      <w:bodyDiv w:val="1"/>
      <w:marLeft w:val="0"/>
      <w:marRight w:val="0"/>
      <w:marTop w:val="0"/>
      <w:marBottom w:val="0"/>
      <w:divBdr>
        <w:top w:val="none" w:sz="0" w:space="0" w:color="auto"/>
        <w:left w:val="none" w:sz="0" w:space="0" w:color="auto"/>
        <w:bottom w:val="none" w:sz="0" w:space="0" w:color="auto"/>
        <w:right w:val="none" w:sz="0" w:space="0" w:color="auto"/>
      </w:divBdr>
    </w:div>
    <w:div w:id="498931746">
      <w:bodyDiv w:val="1"/>
      <w:marLeft w:val="0"/>
      <w:marRight w:val="0"/>
      <w:marTop w:val="0"/>
      <w:marBottom w:val="0"/>
      <w:divBdr>
        <w:top w:val="none" w:sz="0" w:space="0" w:color="auto"/>
        <w:left w:val="none" w:sz="0" w:space="0" w:color="auto"/>
        <w:bottom w:val="none" w:sz="0" w:space="0" w:color="auto"/>
        <w:right w:val="none" w:sz="0" w:space="0" w:color="auto"/>
      </w:divBdr>
    </w:div>
    <w:div w:id="516188909">
      <w:bodyDiv w:val="1"/>
      <w:marLeft w:val="0"/>
      <w:marRight w:val="0"/>
      <w:marTop w:val="0"/>
      <w:marBottom w:val="0"/>
      <w:divBdr>
        <w:top w:val="none" w:sz="0" w:space="0" w:color="auto"/>
        <w:left w:val="none" w:sz="0" w:space="0" w:color="auto"/>
        <w:bottom w:val="none" w:sz="0" w:space="0" w:color="auto"/>
        <w:right w:val="none" w:sz="0" w:space="0" w:color="auto"/>
      </w:divBdr>
    </w:div>
    <w:div w:id="556891601">
      <w:bodyDiv w:val="1"/>
      <w:marLeft w:val="0"/>
      <w:marRight w:val="0"/>
      <w:marTop w:val="0"/>
      <w:marBottom w:val="0"/>
      <w:divBdr>
        <w:top w:val="none" w:sz="0" w:space="0" w:color="auto"/>
        <w:left w:val="none" w:sz="0" w:space="0" w:color="auto"/>
        <w:bottom w:val="none" w:sz="0" w:space="0" w:color="auto"/>
        <w:right w:val="none" w:sz="0" w:space="0" w:color="auto"/>
      </w:divBdr>
    </w:div>
    <w:div w:id="557088090">
      <w:bodyDiv w:val="1"/>
      <w:marLeft w:val="0"/>
      <w:marRight w:val="0"/>
      <w:marTop w:val="0"/>
      <w:marBottom w:val="0"/>
      <w:divBdr>
        <w:top w:val="none" w:sz="0" w:space="0" w:color="auto"/>
        <w:left w:val="none" w:sz="0" w:space="0" w:color="auto"/>
        <w:bottom w:val="none" w:sz="0" w:space="0" w:color="auto"/>
        <w:right w:val="none" w:sz="0" w:space="0" w:color="auto"/>
      </w:divBdr>
    </w:div>
    <w:div w:id="563024275">
      <w:bodyDiv w:val="1"/>
      <w:marLeft w:val="0"/>
      <w:marRight w:val="0"/>
      <w:marTop w:val="0"/>
      <w:marBottom w:val="0"/>
      <w:divBdr>
        <w:top w:val="none" w:sz="0" w:space="0" w:color="auto"/>
        <w:left w:val="none" w:sz="0" w:space="0" w:color="auto"/>
        <w:bottom w:val="none" w:sz="0" w:space="0" w:color="auto"/>
        <w:right w:val="none" w:sz="0" w:space="0" w:color="auto"/>
      </w:divBdr>
    </w:div>
    <w:div w:id="567351172">
      <w:bodyDiv w:val="1"/>
      <w:marLeft w:val="0"/>
      <w:marRight w:val="0"/>
      <w:marTop w:val="0"/>
      <w:marBottom w:val="0"/>
      <w:divBdr>
        <w:top w:val="none" w:sz="0" w:space="0" w:color="auto"/>
        <w:left w:val="none" w:sz="0" w:space="0" w:color="auto"/>
        <w:bottom w:val="none" w:sz="0" w:space="0" w:color="auto"/>
        <w:right w:val="none" w:sz="0" w:space="0" w:color="auto"/>
      </w:divBdr>
      <w:divsChild>
        <w:div w:id="458690378">
          <w:marLeft w:val="0"/>
          <w:marRight w:val="0"/>
          <w:marTop w:val="0"/>
          <w:marBottom w:val="0"/>
          <w:divBdr>
            <w:top w:val="none" w:sz="0" w:space="0" w:color="auto"/>
            <w:left w:val="none" w:sz="0" w:space="0" w:color="auto"/>
            <w:bottom w:val="none" w:sz="0" w:space="0" w:color="auto"/>
            <w:right w:val="none" w:sz="0" w:space="0" w:color="auto"/>
          </w:divBdr>
          <w:divsChild>
            <w:div w:id="190251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379495">
      <w:bodyDiv w:val="1"/>
      <w:marLeft w:val="0"/>
      <w:marRight w:val="0"/>
      <w:marTop w:val="0"/>
      <w:marBottom w:val="0"/>
      <w:divBdr>
        <w:top w:val="none" w:sz="0" w:space="0" w:color="auto"/>
        <w:left w:val="none" w:sz="0" w:space="0" w:color="auto"/>
        <w:bottom w:val="none" w:sz="0" w:space="0" w:color="auto"/>
        <w:right w:val="none" w:sz="0" w:space="0" w:color="auto"/>
      </w:divBdr>
    </w:div>
    <w:div w:id="590705082">
      <w:bodyDiv w:val="1"/>
      <w:marLeft w:val="0"/>
      <w:marRight w:val="0"/>
      <w:marTop w:val="0"/>
      <w:marBottom w:val="0"/>
      <w:divBdr>
        <w:top w:val="none" w:sz="0" w:space="0" w:color="auto"/>
        <w:left w:val="none" w:sz="0" w:space="0" w:color="auto"/>
        <w:bottom w:val="none" w:sz="0" w:space="0" w:color="auto"/>
        <w:right w:val="none" w:sz="0" w:space="0" w:color="auto"/>
      </w:divBdr>
      <w:divsChild>
        <w:div w:id="791097516">
          <w:marLeft w:val="0"/>
          <w:marRight w:val="0"/>
          <w:marTop w:val="0"/>
          <w:marBottom w:val="0"/>
          <w:divBdr>
            <w:top w:val="none" w:sz="0" w:space="0" w:color="auto"/>
            <w:left w:val="none" w:sz="0" w:space="0" w:color="auto"/>
            <w:bottom w:val="none" w:sz="0" w:space="0" w:color="auto"/>
            <w:right w:val="none" w:sz="0" w:space="0" w:color="auto"/>
          </w:divBdr>
        </w:div>
        <w:div w:id="986594442">
          <w:marLeft w:val="0"/>
          <w:marRight w:val="0"/>
          <w:marTop w:val="0"/>
          <w:marBottom w:val="0"/>
          <w:divBdr>
            <w:top w:val="none" w:sz="0" w:space="0" w:color="auto"/>
            <w:left w:val="none" w:sz="0" w:space="0" w:color="auto"/>
            <w:bottom w:val="none" w:sz="0" w:space="0" w:color="auto"/>
            <w:right w:val="none" w:sz="0" w:space="0" w:color="auto"/>
          </w:divBdr>
        </w:div>
      </w:divsChild>
    </w:div>
    <w:div w:id="628896740">
      <w:bodyDiv w:val="1"/>
      <w:marLeft w:val="0"/>
      <w:marRight w:val="0"/>
      <w:marTop w:val="0"/>
      <w:marBottom w:val="0"/>
      <w:divBdr>
        <w:top w:val="none" w:sz="0" w:space="0" w:color="auto"/>
        <w:left w:val="none" w:sz="0" w:space="0" w:color="auto"/>
        <w:bottom w:val="none" w:sz="0" w:space="0" w:color="auto"/>
        <w:right w:val="none" w:sz="0" w:space="0" w:color="auto"/>
      </w:divBdr>
    </w:div>
    <w:div w:id="637491352">
      <w:bodyDiv w:val="1"/>
      <w:marLeft w:val="0"/>
      <w:marRight w:val="0"/>
      <w:marTop w:val="0"/>
      <w:marBottom w:val="0"/>
      <w:divBdr>
        <w:top w:val="none" w:sz="0" w:space="0" w:color="auto"/>
        <w:left w:val="none" w:sz="0" w:space="0" w:color="auto"/>
        <w:bottom w:val="none" w:sz="0" w:space="0" w:color="auto"/>
        <w:right w:val="none" w:sz="0" w:space="0" w:color="auto"/>
      </w:divBdr>
    </w:div>
    <w:div w:id="663631010">
      <w:bodyDiv w:val="1"/>
      <w:marLeft w:val="0"/>
      <w:marRight w:val="0"/>
      <w:marTop w:val="0"/>
      <w:marBottom w:val="0"/>
      <w:divBdr>
        <w:top w:val="none" w:sz="0" w:space="0" w:color="auto"/>
        <w:left w:val="none" w:sz="0" w:space="0" w:color="auto"/>
        <w:bottom w:val="none" w:sz="0" w:space="0" w:color="auto"/>
        <w:right w:val="none" w:sz="0" w:space="0" w:color="auto"/>
      </w:divBdr>
    </w:div>
    <w:div w:id="664935145">
      <w:bodyDiv w:val="1"/>
      <w:marLeft w:val="0"/>
      <w:marRight w:val="0"/>
      <w:marTop w:val="0"/>
      <w:marBottom w:val="0"/>
      <w:divBdr>
        <w:top w:val="none" w:sz="0" w:space="0" w:color="auto"/>
        <w:left w:val="none" w:sz="0" w:space="0" w:color="auto"/>
        <w:bottom w:val="none" w:sz="0" w:space="0" w:color="auto"/>
        <w:right w:val="none" w:sz="0" w:space="0" w:color="auto"/>
      </w:divBdr>
    </w:div>
    <w:div w:id="666321276">
      <w:bodyDiv w:val="1"/>
      <w:marLeft w:val="0"/>
      <w:marRight w:val="0"/>
      <w:marTop w:val="0"/>
      <w:marBottom w:val="0"/>
      <w:divBdr>
        <w:top w:val="none" w:sz="0" w:space="0" w:color="auto"/>
        <w:left w:val="none" w:sz="0" w:space="0" w:color="auto"/>
        <w:bottom w:val="none" w:sz="0" w:space="0" w:color="auto"/>
        <w:right w:val="none" w:sz="0" w:space="0" w:color="auto"/>
      </w:divBdr>
    </w:div>
    <w:div w:id="669792167">
      <w:bodyDiv w:val="1"/>
      <w:marLeft w:val="0"/>
      <w:marRight w:val="0"/>
      <w:marTop w:val="0"/>
      <w:marBottom w:val="0"/>
      <w:divBdr>
        <w:top w:val="none" w:sz="0" w:space="0" w:color="auto"/>
        <w:left w:val="none" w:sz="0" w:space="0" w:color="auto"/>
        <w:bottom w:val="none" w:sz="0" w:space="0" w:color="auto"/>
        <w:right w:val="none" w:sz="0" w:space="0" w:color="auto"/>
      </w:divBdr>
    </w:div>
    <w:div w:id="669910758">
      <w:bodyDiv w:val="1"/>
      <w:marLeft w:val="0"/>
      <w:marRight w:val="0"/>
      <w:marTop w:val="0"/>
      <w:marBottom w:val="0"/>
      <w:divBdr>
        <w:top w:val="none" w:sz="0" w:space="0" w:color="auto"/>
        <w:left w:val="none" w:sz="0" w:space="0" w:color="auto"/>
        <w:bottom w:val="none" w:sz="0" w:space="0" w:color="auto"/>
        <w:right w:val="none" w:sz="0" w:space="0" w:color="auto"/>
      </w:divBdr>
    </w:div>
    <w:div w:id="674264235">
      <w:bodyDiv w:val="1"/>
      <w:marLeft w:val="0"/>
      <w:marRight w:val="0"/>
      <w:marTop w:val="0"/>
      <w:marBottom w:val="0"/>
      <w:divBdr>
        <w:top w:val="none" w:sz="0" w:space="0" w:color="auto"/>
        <w:left w:val="none" w:sz="0" w:space="0" w:color="auto"/>
        <w:bottom w:val="none" w:sz="0" w:space="0" w:color="auto"/>
        <w:right w:val="none" w:sz="0" w:space="0" w:color="auto"/>
      </w:divBdr>
    </w:div>
    <w:div w:id="678046266">
      <w:bodyDiv w:val="1"/>
      <w:marLeft w:val="0"/>
      <w:marRight w:val="0"/>
      <w:marTop w:val="0"/>
      <w:marBottom w:val="0"/>
      <w:divBdr>
        <w:top w:val="none" w:sz="0" w:space="0" w:color="auto"/>
        <w:left w:val="none" w:sz="0" w:space="0" w:color="auto"/>
        <w:bottom w:val="none" w:sz="0" w:space="0" w:color="auto"/>
        <w:right w:val="none" w:sz="0" w:space="0" w:color="auto"/>
      </w:divBdr>
    </w:div>
    <w:div w:id="684476751">
      <w:bodyDiv w:val="1"/>
      <w:marLeft w:val="0"/>
      <w:marRight w:val="0"/>
      <w:marTop w:val="0"/>
      <w:marBottom w:val="0"/>
      <w:divBdr>
        <w:top w:val="none" w:sz="0" w:space="0" w:color="auto"/>
        <w:left w:val="none" w:sz="0" w:space="0" w:color="auto"/>
        <w:bottom w:val="none" w:sz="0" w:space="0" w:color="auto"/>
        <w:right w:val="none" w:sz="0" w:space="0" w:color="auto"/>
      </w:divBdr>
    </w:div>
    <w:div w:id="729578652">
      <w:bodyDiv w:val="1"/>
      <w:marLeft w:val="0"/>
      <w:marRight w:val="0"/>
      <w:marTop w:val="0"/>
      <w:marBottom w:val="0"/>
      <w:divBdr>
        <w:top w:val="none" w:sz="0" w:space="0" w:color="auto"/>
        <w:left w:val="none" w:sz="0" w:space="0" w:color="auto"/>
        <w:bottom w:val="none" w:sz="0" w:space="0" w:color="auto"/>
        <w:right w:val="none" w:sz="0" w:space="0" w:color="auto"/>
      </w:divBdr>
    </w:div>
    <w:div w:id="730422512">
      <w:bodyDiv w:val="1"/>
      <w:marLeft w:val="0"/>
      <w:marRight w:val="0"/>
      <w:marTop w:val="0"/>
      <w:marBottom w:val="0"/>
      <w:divBdr>
        <w:top w:val="none" w:sz="0" w:space="0" w:color="auto"/>
        <w:left w:val="none" w:sz="0" w:space="0" w:color="auto"/>
        <w:bottom w:val="none" w:sz="0" w:space="0" w:color="auto"/>
        <w:right w:val="none" w:sz="0" w:space="0" w:color="auto"/>
      </w:divBdr>
    </w:div>
    <w:div w:id="770786275">
      <w:bodyDiv w:val="1"/>
      <w:marLeft w:val="0"/>
      <w:marRight w:val="0"/>
      <w:marTop w:val="0"/>
      <w:marBottom w:val="0"/>
      <w:divBdr>
        <w:top w:val="none" w:sz="0" w:space="0" w:color="auto"/>
        <w:left w:val="none" w:sz="0" w:space="0" w:color="auto"/>
        <w:bottom w:val="none" w:sz="0" w:space="0" w:color="auto"/>
        <w:right w:val="none" w:sz="0" w:space="0" w:color="auto"/>
      </w:divBdr>
    </w:div>
    <w:div w:id="775247365">
      <w:bodyDiv w:val="1"/>
      <w:marLeft w:val="0"/>
      <w:marRight w:val="0"/>
      <w:marTop w:val="0"/>
      <w:marBottom w:val="0"/>
      <w:divBdr>
        <w:top w:val="none" w:sz="0" w:space="0" w:color="auto"/>
        <w:left w:val="none" w:sz="0" w:space="0" w:color="auto"/>
        <w:bottom w:val="none" w:sz="0" w:space="0" w:color="auto"/>
        <w:right w:val="none" w:sz="0" w:space="0" w:color="auto"/>
      </w:divBdr>
    </w:div>
    <w:div w:id="777675029">
      <w:bodyDiv w:val="1"/>
      <w:marLeft w:val="0"/>
      <w:marRight w:val="0"/>
      <w:marTop w:val="0"/>
      <w:marBottom w:val="0"/>
      <w:divBdr>
        <w:top w:val="none" w:sz="0" w:space="0" w:color="auto"/>
        <w:left w:val="none" w:sz="0" w:space="0" w:color="auto"/>
        <w:bottom w:val="none" w:sz="0" w:space="0" w:color="auto"/>
        <w:right w:val="none" w:sz="0" w:space="0" w:color="auto"/>
      </w:divBdr>
    </w:div>
    <w:div w:id="800922679">
      <w:bodyDiv w:val="1"/>
      <w:marLeft w:val="0"/>
      <w:marRight w:val="0"/>
      <w:marTop w:val="0"/>
      <w:marBottom w:val="0"/>
      <w:divBdr>
        <w:top w:val="none" w:sz="0" w:space="0" w:color="auto"/>
        <w:left w:val="none" w:sz="0" w:space="0" w:color="auto"/>
        <w:bottom w:val="none" w:sz="0" w:space="0" w:color="auto"/>
        <w:right w:val="none" w:sz="0" w:space="0" w:color="auto"/>
      </w:divBdr>
    </w:div>
    <w:div w:id="825098663">
      <w:bodyDiv w:val="1"/>
      <w:marLeft w:val="0"/>
      <w:marRight w:val="0"/>
      <w:marTop w:val="0"/>
      <w:marBottom w:val="0"/>
      <w:divBdr>
        <w:top w:val="none" w:sz="0" w:space="0" w:color="auto"/>
        <w:left w:val="none" w:sz="0" w:space="0" w:color="auto"/>
        <w:bottom w:val="none" w:sz="0" w:space="0" w:color="auto"/>
        <w:right w:val="none" w:sz="0" w:space="0" w:color="auto"/>
      </w:divBdr>
    </w:div>
    <w:div w:id="853692154">
      <w:bodyDiv w:val="1"/>
      <w:marLeft w:val="0"/>
      <w:marRight w:val="0"/>
      <w:marTop w:val="0"/>
      <w:marBottom w:val="0"/>
      <w:divBdr>
        <w:top w:val="none" w:sz="0" w:space="0" w:color="auto"/>
        <w:left w:val="none" w:sz="0" w:space="0" w:color="auto"/>
        <w:bottom w:val="none" w:sz="0" w:space="0" w:color="auto"/>
        <w:right w:val="none" w:sz="0" w:space="0" w:color="auto"/>
      </w:divBdr>
    </w:div>
    <w:div w:id="870798084">
      <w:bodyDiv w:val="1"/>
      <w:marLeft w:val="0"/>
      <w:marRight w:val="0"/>
      <w:marTop w:val="0"/>
      <w:marBottom w:val="0"/>
      <w:divBdr>
        <w:top w:val="none" w:sz="0" w:space="0" w:color="auto"/>
        <w:left w:val="none" w:sz="0" w:space="0" w:color="auto"/>
        <w:bottom w:val="none" w:sz="0" w:space="0" w:color="auto"/>
        <w:right w:val="none" w:sz="0" w:space="0" w:color="auto"/>
      </w:divBdr>
    </w:div>
    <w:div w:id="875964685">
      <w:bodyDiv w:val="1"/>
      <w:marLeft w:val="0"/>
      <w:marRight w:val="0"/>
      <w:marTop w:val="0"/>
      <w:marBottom w:val="0"/>
      <w:divBdr>
        <w:top w:val="none" w:sz="0" w:space="0" w:color="auto"/>
        <w:left w:val="none" w:sz="0" w:space="0" w:color="auto"/>
        <w:bottom w:val="none" w:sz="0" w:space="0" w:color="auto"/>
        <w:right w:val="none" w:sz="0" w:space="0" w:color="auto"/>
      </w:divBdr>
    </w:div>
    <w:div w:id="931671273">
      <w:bodyDiv w:val="1"/>
      <w:marLeft w:val="0"/>
      <w:marRight w:val="0"/>
      <w:marTop w:val="0"/>
      <w:marBottom w:val="0"/>
      <w:divBdr>
        <w:top w:val="none" w:sz="0" w:space="0" w:color="auto"/>
        <w:left w:val="none" w:sz="0" w:space="0" w:color="auto"/>
        <w:bottom w:val="none" w:sz="0" w:space="0" w:color="auto"/>
        <w:right w:val="none" w:sz="0" w:space="0" w:color="auto"/>
      </w:divBdr>
      <w:divsChild>
        <w:div w:id="1775439484">
          <w:marLeft w:val="0"/>
          <w:marRight w:val="0"/>
          <w:marTop w:val="0"/>
          <w:marBottom w:val="0"/>
          <w:divBdr>
            <w:top w:val="none" w:sz="0" w:space="0" w:color="auto"/>
            <w:left w:val="none" w:sz="0" w:space="0" w:color="auto"/>
            <w:bottom w:val="none" w:sz="0" w:space="0" w:color="auto"/>
            <w:right w:val="none" w:sz="0" w:space="0" w:color="auto"/>
          </w:divBdr>
        </w:div>
      </w:divsChild>
    </w:div>
    <w:div w:id="937368298">
      <w:bodyDiv w:val="1"/>
      <w:marLeft w:val="0"/>
      <w:marRight w:val="0"/>
      <w:marTop w:val="0"/>
      <w:marBottom w:val="0"/>
      <w:divBdr>
        <w:top w:val="none" w:sz="0" w:space="0" w:color="auto"/>
        <w:left w:val="none" w:sz="0" w:space="0" w:color="auto"/>
        <w:bottom w:val="none" w:sz="0" w:space="0" w:color="auto"/>
        <w:right w:val="none" w:sz="0" w:space="0" w:color="auto"/>
      </w:divBdr>
    </w:div>
    <w:div w:id="956832341">
      <w:bodyDiv w:val="1"/>
      <w:marLeft w:val="0"/>
      <w:marRight w:val="0"/>
      <w:marTop w:val="0"/>
      <w:marBottom w:val="0"/>
      <w:divBdr>
        <w:top w:val="none" w:sz="0" w:space="0" w:color="auto"/>
        <w:left w:val="none" w:sz="0" w:space="0" w:color="auto"/>
        <w:bottom w:val="none" w:sz="0" w:space="0" w:color="auto"/>
        <w:right w:val="none" w:sz="0" w:space="0" w:color="auto"/>
      </w:divBdr>
    </w:div>
    <w:div w:id="958299169">
      <w:bodyDiv w:val="1"/>
      <w:marLeft w:val="0"/>
      <w:marRight w:val="0"/>
      <w:marTop w:val="0"/>
      <w:marBottom w:val="0"/>
      <w:divBdr>
        <w:top w:val="none" w:sz="0" w:space="0" w:color="auto"/>
        <w:left w:val="none" w:sz="0" w:space="0" w:color="auto"/>
        <w:bottom w:val="none" w:sz="0" w:space="0" w:color="auto"/>
        <w:right w:val="none" w:sz="0" w:space="0" w:color="auto"/>
      </w:divBdr>
    </w:div>
    <w:div w:id="965936513">
      <w:bodyDiv w:val="1"/>
      <w:marLeft w:val="0"/>
      <w:marRight w:val="0"/>
      <w:marTop w:val="0"/>
      <w:marBottom w:val="0"/>
      <w:divBdr>
        <w:top w:val="none" w:sz="0" w:space="0" w:color="auto"/>
        <w:left w:val="none" w:sz="0" w:space="0" w:color="auto"/>
        <w:bottom w:val="none" w:sz="0" w:space="0" w:color="auto"/>
        <w:right w:val="none" w:sz="0" w:space="0" w:color="auto"/>
      </w:divBdr>
    </w:div>
    <w:div w:id="990064406">
      <w:bodyDiv w:val="1"/>
      <w:marLeft w:val="0"/>
      <w:marRight w:val="0"/>
      <w:marTop w:val="0"/>
      <w:marBottom w:val="0"/>
      <w:divBdr>
        <w:top w:val="none" w:sz="0" w:space="0" w:color="auto"/>
        <w:left w:val="none" w:sz="0" w:space="0" w:color="auto"/>
        <w:bottom w:val="none" w:sz="0" w:space="0" w:color="auto"/>
        <w:right w:val="none" w:sz="0" w:space="0" w:color="auto"/>
      </w:divBdr>
    </w:div>
    <w:div w:id="996375311">
      <w:bodyDiv w:val="1"/>
      <w:marLeft w:val="0"/>
      <w:marRight w:val="0"/>
      <w:marTop w:val="0"/>
      <w:marBottom w:val="0"/>
      <w:divBdr>
        <w:top w:val="none" w:sz="0" w:space="0" w:color="auto"/>
        <w:left w:val="none" w:sz="0" w:space="0" w:color="auto"/>
        <w:bottom w:val="none" w:sz="0" w:space="0" w:color="auto"/>
        <w:right w:val="none" w:sz="0" w:space="0" w:color="auto"/>
      </w:divBdr>
      <w:divsChild>
        <w:div w:id="781804539">
          <w:marLeft w:val="0"/>
          <w:marRight w:val="0"/>
          <w:marTop w:val="0"/>
          <w:marBottom w:val="0"/>
          <w:divBdr>
            <w:top w:val="none" w:sz="0" w:space="0" w:color="auto"/>
            <w:left w:val="none" w:sz="0" w:space="0" w:color="auto"/>
            <w:bottom w:val="none" w:sz="0" w:space="0" w:color="auto"/>
            <w:right w:val="none" w:sz="0" w:space="0" w:color="auto"/>
          </w:divBdr>
        </w:div>
        <w:div w:id="719093237">
          <w:marLeft w:val="0"/>
          <w:marRight w:val="0"/>
          <w:marTop w:val="0"/>
          <w:marBottom w:val="0"/>
          <w:divBdr>
            <w:top w:val="none" w:sz="0" w:space="0" w:color="auto"/>
            <w:left w:val="none" w:sz="0" w:space="0" w:color="auto"/>
            <w:bottom w:val="none" w:sz="0" w:space="0" w:color="auto"/>
            <w:right w:val="none" w:sz="0" w:space="0" w:color="auto"/>
          </w:divBdr>
        </w:div>
      </w:divsChild>
    </w:div>
    <w:div w:id="1021708887">
      <w:bodyDiv w:val="1"/>
      <w:marLeft w:val="0"/>
      <w:marRight w:val="0"/>
      <w:marTop w:val="0"/>
      <w:marBottom w:val="0"/>
      <w:divBdr>
        <w:top w:val="none" w:sz="0" w:space="0" w:color="auto"/>
        <w:left w:val="none" w:sz="0" w:space="0" w:color="auto"/>
        <w:bottom w:val="none" w:sz="0" w:space="0" w:color="auto"/>
        <w:right w:val="none" w:sz="0" w:space="0" w:color="auto"/>
      </w:divBdr>
    </w:div>
    <w:div w:id="1026373577">
      <w:bodyDiv w:val="1"/>
      <w:marLeft w:val="0"/>
      <w:marRight w:val="0"/>
      <w:marTop w:val="0"/>
      <w:marBottom w:val="0"/>
      <w:divBdr>
        <w:top w:val="none" w:sz="0" w:space="0" w:color="auto"/>
        <w:left w:val="none" w:sz="0" w:space="0" w:color="auto"/>
        <w:bottom w:val="none" w:sz="0" w:space="0" w:color="auto"/>
        <w:right w:val="none" w:sz="0" w:space="0" w:color="auto"/>
      </w:divBdr>
    </w:div>
    <w:div w:id="1062364210">
      <w:bodyDiv w:val="1"/>
      <w:marLeft w:val="0"/>
      <w:marRight w:val="0"/>
      <w:marTop w:val="0"/>
      <w:marBottom w:val="0"/>
      <w:divBdr>
        <w:top w:val="none" w:sz="0" w:space="0" w:color="auto"/>
        <w:left w:val="none" w:sz="0" w:space="0" w:color="auto"/>
        <w:bottom w:val="none" w:sz="0" w:space="0" w:color="auto"/>
        <w:right w:val="none" w:sz="0" w:space="0" w:color="auto"/>
      </w:divBdr>
    </w:div>
    <w:div w:id="1069226230">
      <w:bodyDiv w:val="1"/>
      <w:marLeft w:val="0"/>
      <w:marRight w:val="0"/>
      <w:marTop w:val="0"/>
      <w:marBottom w:val="0"/>
      <w:divBdr>
        <w:top w:val="none" w:sz="0" w:space="0" w:color="auto"/>
        <w:left w:val="none" w:sz="0" w:space="0" w:color="auto"/>
        <w:bottom w:val="none" w:sz="0" w:space="0" w:color="auto"/>
        <w:right w:val="none" w:sz="0" w:space="0" w:color="auto"/>
      </w:divBdr>
    </w:div>
    <w:div w:id="1072309936">
      <w:bodyDiv w:val="1"/>
      <w:marLeft w:val="0"/>
      <w:marRight w:val="0"/>
      <w:marTop w:val="0"/>
      <w:marBottom w:val="0"/>
      <w:divBdr>
        <w:top w:val="none" w:sz="0" w:space="0" w:color="auto"/>
        <w:left w:val="none" w:sz="0" w:space="0" w:color="auto"/>
        <w:bottom w:val="none" w:sz="0" w:space="0" w:color="auto"/>
        <w:right w:val="none" w:sz="0" w:space="0" w:color="auto"/>
      </w:divBdr>
    </w:div>
    <w:div w:id="1083065142">
      <w:bodyDiv w:val="1"/>
      <w:marLeft w:val="0"/>
      <w:marRight w:val="0"/>
      <w:marTop w:val="0"/>
      <w:marBottom w:val="0"/>
      <w:divBdr>
        <w:top w:val="none" w:sz="0" w:space="0" w:color="auto"/>
        <w:left w:val="none" w:sz="0" w:space="0" w:color="auto"/>
        <w:bottom w:val="none" w:sz="0" w:space="0" w:color="auto"/>
        <w:right w:val="none" w:sz="0" w:space="0" w:color="auto"/>
      </w:divBdr>
    </w:div>
    <w:div w:id="1089425330">
      <w:bodyDiv w:val="1"/>
      <w:marLeft w:val="0"/>
      <w:marRight w:val="0"/>
      <w:marTop w:val="0"/>
      <w:marBottom w:val="0"/>
      <w:divBdr>
        <w:top w:val="none" w:sz="0" w:space="0" w:color="auto"/>
        <w:left w:val="none" w:sz="0" w:space="0" w:color="auto"/>
        <w:bottom w:val="none" w:sz="0" w:space="0" w:color="auto"/>
        <w:right w:val="none" w:sz="0" w:space="0" w:color="auto"/>
      </w:divBdr>
    </w:div>
    <w:div w:id="1097747292">
      <w:bodyDiv w:val="1"/>
      <w:marLeft w:val="0"/>
      <w:marRight w:val="0"/>
      <w:marTop w:val="0"/>
      <w:marBottom w:val="0"/>
      <w:divBdr>
        <w:top w:val="none" w:sz="0" w:space="0" w:color="auto"/>
        <w:left w:val="none" w:sz="0" w:space="0" w:color="auto"/>
        <w:bottom w:val="none" w:sz="0" w:space="0" w:color="auto"/>
        <w:right w:val="none" w:sz="0" w:space="0" w:color="auto"/>
      </w:divBdr>
    </w:div>
    <w:div w:id="1132363287">
      <w:bodyDiv w:val="1"/>
      <w:marLeft w:val="0"/>
      <w:marRight w:val="0"/>
      <w:marTop w:val="0"/>
      <w:marBottom w:val="0"/>
      <w:divBdr>
        <w:top w:val="none" w:sz="0" w:space="0" w:color="auto"/>
        <w:left w:val="none" w:sz="0" w:space="0" w:color="auto"/>
        <w:bottom w:val="none" w:sz="0" w:space="0" w:color="auto"/>
        <w:right w:val="none" w:sz="0" w:space="0" w:color="auto"/>
      </w:divBdr>
    </w:div>
    <w:div w:id="1138111525">
      <w:bodyDiv w:val="1"/>
      <w:marLeft w:val="0"/>
      <w:marRight w:val="0"/>
      <w:marTop w:val="0"/>
      <w:marBottom w:val="0"/>
      <w:divBdr>
        <w:top w:val="none" w:sz="0" w:space="0" w:color="auto"/>
        <w:left w:val="none" w:sz="0" w:space="0" w:color="auto"/>
        <w:bottom w:val="none" w:sz="0" w:space="0" w:color="auto"/>
        <w:right w:val="none" w:sz="0" w:space="0" w:color="auto"/>
      </w:divBdr>
    </w:div>
    <w:div w:id="1150750995">
      <w:bodyDiv w:val="1"/>
      <w:marLeft w:val="0"/>
      <w:marRight w:val="0"/>
      <w:marTop w:val="0"/>
      <w:marBottom w:val="0"/>
      <w:divBdr>
        <w:top w:val="none" w:sz="0" w:space="0" w:color="auto"/>
        <w:left w:val="none" w:sz="0" w:space="0" w:color="auto"/>
        <w:bottom w:val="none" w:sz="0" w:space="0" w:color="auto"/>
        <w:right w:val="none" w:sz="0" w:space="0" w:color="auto"/>
      </w:divBdr>
    </w:div>
    <w:div w:id="1162431266">
      <w:bodyDiv w:val="1"/>
      <w:marLeft w:val="0"/>
      <w:marRight w:val="0"/>
      <w:marTop w:val="0"/>
      <w:marBottom w:val="0"/>
      <w:divBdr>
        <w:top w:val="none" w:sz="0" w:space="0" w:color="auto"/>
        <w:left w:val="none" w:sz="0" w:space="0" w:color="auto"/>
        <w:bottom w:val="none" w:sz="0" w:space="0" w:color="auto"/>
        <w:right w:val="none" w:sz="0" w:space="0" w:color="auto"/>
      </w:divBdr>
    </w:div>
    <w:div w:id="1168862114">
      <w:bodyDiv w:val="1"/>
      <w:marLeft w:val="0"/>
      <w:marRight w:val="0"/>
      <w:marTop w:val="0"/>
      <w:marBottom w:val="0"/>
      <w:divBdr>
        <w:top w:val="none" w:sz="0" w:space="0" w:color="auto"/>
        <w:left w:val="none" w:sz="0" w:space="0" w:color="auto"/>
        <w:bottom w:val="none" w:sz="0" w:space="0" w:color="auto"/>
        <w:right w:val="none" w:sz="0" w:space="0" w:color="auto"/>
      </w:divBdr>
    </w:div>
    <w:div w:id="1185250010">
      <w:bodyDiv w:val="1"/>
      <w:marLeft w:val="0"/>
      <w:marRight w:val="0"/>
      <w:marTop w:val="0"/>
      <w:marBottom w:val="0"/>
      <w:divBdr>
        <w:top w:val="none" w:sz="0" w:space="0" w:color="auto"/>
        <w:left w:val="none" w:sz="0" w:space="0" w:color="auto"/>
        <w:bottom w:val="none" w:sz="0" w:space="0" w:color="auto"/>
        <w:right w:val="none" w:sz="0" w:space="0" w:color="auto"/>
      </w:divBdr>
    </w:div>
    <w:div w:id="1243905113">
      <w:bodyDiv w:val="1"/>
      <w:marLeft w:val="0"/>
      <w:marRight w:val="0"/>
      <w:marTop w:val="0"/>
      <w:marBottom w:val="0"/>
      <w:divBdr>
        <w:top w:val="none" w:sz="0" w:space="0" w:color="auto"/>
        <w:left w:val="none" w:sz="0" w:space="0" w:color="auto"/>
        <w:bottom w:val="none" w:sz="0" w:space="0" w:color="auto"/>
        <w:right w:val="none" w:sz="0" w:space="0" w:color="auto"/>
      </w:divBdr>
    </w:div>
    <w:div w:id="1306354452">
      <w:bodyDiv w:val="1"/>
      <w:marLeft w:val="0"/>
      <w:marRight w:val="0"/>
      <w:marTop w:val="0"/>
      <w:marBottom w:val="0"/>
      <w:divBdr>
        <w:top w:val="none" w:sz="0" w:space="0" w:color="auto"/>
        <w:left w:val="none" w:sz="0" w:space="0" w:color="auto"/>
        <w:bottom w:val="none" w:sz="0" w:space="0" w:color="auto"/>
        <w:right w:val="none" w:sz="0" w:space="0" w:color="auto"/>
      </w:divBdr>
      <w:divsChild>
        <w:div w:id="2011253750">
          <w:marLeft w:val="0"/>
          <w:marRight w:val="0"/>
          <w:marTop w:val="0"/>
          <w:marBottom w:val="0"/>
          <w:divBdr>
            <w:top w:val="none" w:sz="0" w:space="0" w:color="auto"/>
            <w:left w:val="none" w:sz="0" w:space="0" w:color="auto"/>
            <w:bottom w:val="none" w:sz="0" w:space="0" w:color="auto"/>
            <w:right w:val="none" w:sz="0" w:space="0" w:color="auto"/>
          </w:divBdr>
        </w:div>
        <w:div w:id="709577398">
          <w:marLeft w:val="0"/>
          <w:marRight w:val="0"/>
          <w:marTop w:val="0"/>
          <w:marBottom w:val="0"/>
          <w:divBdr>
            <w:top w:val="none" w:sz="0" w:space="0" w:color="auto"/>
            <w:left w:val="none" w:sz="0" w:space="0" w:color="auto"/>
            <w:bottom w:val="none" w:sz="0" w:space="0" w:color="auto"/>
            <w:right w:val="none" w:sz="0" w:space="0" w:color="auto"/>
          </w:divBdr>
        </w:div>
      </w:divsChild>
    </w:div>
    <w:div w:id="1316640638">
      <w:bodyDiv w:val="1"/>
      <w:marLeft w:val="0"/>
      <w:marRight w:val="0"/>
      <w:marTop w:val="0"/>
      <w:marBottom w:val="0"/>
      <w:divBdr>
        <w:top w:val="none" w:sz="0" w:space="0" w:color="auto"/>
        <w:left w:val="none" w:sz="0" w:space="0" w:color="auto"/>
        <w:bottom w:val="none" w:sz="0" w:space="0" w:color="auto"/>
        <w:right w:val="none" w:sz="0" w:space="0" w:color="auto"/>
      </w:divBdr>
    </w:div>
    <w:div w:id="1320310085">
      <w:bodyDiv w:val="1"/>
      <w:marLeft w:val="0"/>
      <w:marRight w:val="0"/>
      <w:marTop w:val="0"/>
      <w:marBottom w:val="0"/>
      <w:divBdr>
        <w:top w:val="none" w:sz="0" w:space="0" w:color="auto"/>
        <w:left w:val="none" w:sz="0" w:space="0" w:color="auto"/>
        <w:bottom w:val="none" w:sz="0" w:space="0" w:color="auto"/>
        <w:right w:val="none" w:sz="0" w:space="0" w:color="auto"/>
      </w:divBdr>
    </w:div>
    <w:div w:id="1325743114">
      <w:bodyDiv w:val="1"/>
      <w:marLeft w:val="0"/>
      <w:marRight w:val="0"/>
      <w:marTop w:val="0"/>
      <w:marBottom w:val="0"/>
      <w:divBdr>
        <w:top w:val="none" w:sz="0" w:space="0" w:color="auto"/>
        <w:left w:val="none" w:sz="0" w:space="0" w:color="auto"/>
        <w:bottom w:val="none" w:sz="0" w:space="0" w:color="auto"/>
        <w:right w:val="none" w:sz="0" w:space="0" w:color="auto"/>
      </w:divBdr>
    </w:div>
    <w:div w:id="1327047904">
      <w:bodyDiv w:val="1"/>
      <w:marLeft w:val="0"/>
      <w:marRight w:val="0"/>
      <w:marTop w:val="0"/>
      <w:marBottom w:val="0"/>
      <w:divBdr>
        <w:top w:val="none" w:sz="0" w:space="0" w:color="auto"/>
        <w:left w:val="none" w:sz="0" w:space="0" w:color="auto"/>
        <w:bottom w:val="none" w:sz="0" w:space="0" w:color="auto"/>
        <w:right w:val="none" w:sz="0" w:space="0" w:color="auto"/>
      </w:divBdr>
    </w:div>
    <w:div w:id="1328167637">
      <w:bodyDiv w:val="1"/>
      <w:marLeft w:val="0"/>
      <w:marRight w:val="0"/>
      <w:marTop w:val="0"/>
      <w:marBottom w:val="0"/>
      <w:divBdr>
        <w:top w:val="none" w:sz="0" w:space="0" w:color="auto"/>
        <w:left w:val="none" w:sz="0" w:space="0" w:color="auto"/>
        <w:bottom w:val="none" w:sz="0" w:space="0" w:color="auto"/>
        <w:right w:val="none" w:sz="0" w:space="0" w:color="auto"/>
      </w:divBdr>
    </w:div>
    <w:div w:id="1355300267">
      <w:bodyDiv w:val="1"/>
      <w:marLeft w:val="0"/>
      <w:marRight w:val="0"/>
      <w:marTop w:val="0"/>
      <w:marBottom w:val="0"/>
      <w:divBdr>
        <w:top w:val="none" w:sz="0" w:space="0" w:color="auto"/>
        <w:left w:val="none" w:sz="0" w:space="0" w:color="auto"/>
        <w:bottom w:val="none" w:sz="0" w:space="0" w:color="auto"/>
        <w:right w:val="none" w:sz="0" w:space="0" w:color="auto"/>
      </w:divBdr>
      <w:divsChild>
        <w:div w:id="699740035">
          <w:marLeft w:val="0"/>
          <w:marRight w:val="0"/>
          <w:marTop w:val="0"/>
          <w:marBottom w:val="0"/>
          <w:divBdr>
            <w:top w:val="none" w:sz="0" w:space="0" w:color="auto"/>
            <w:left w:val="none" w:sz="0" w:space="0" w:color="auto"/>
            <w:bottom w:val="none" w:sz="0" w:space="0" w:color="auto"/>
            <w:right w:val="none" w:sz="0" w:space="0" w:color="auto"/>
          </w:divBdr>
        </w:div>
        <w:div w:id="1497458023">
          <w:marLeft w:val="0"/>
          <w:marRight w:val="0"/>
          <w:marTop w:val="0"/>
          <w:marBottom w:val="0"/>
          <w:divBdr>
            <w:top w:val="none" w:sz="0" w:space="0" w:color="auto"/>
            <w:left w:val="none" w:sz="0" w:space="0" w:color="auto"/>
            <w:bottom w:val="none" w:sz="0" w:space="0" w:color="auto"/>
            <w:right w:val="none" w:sz="0" w:space="0" w:color="auto"/>
          </w:divBdr>
        </w:div>
      </w:divsChild>
    </w:div>
    <w:div w:id="1358238449">
      <w:bodyDiv w:val="1"/>
      <w:marLeft w:val="0"/>
      <w:marRight w:val="0"/>
      <w:marTop w:val="0"/>
      <w:marBottom w:val="0"/>
      <w:divBdr>
        <w:top w:val="none" w:sz="0" w:space="0" w:color="auto"/>
        <w:left w:val="none" w:sz="0" w:space="0" w:color="auto"/>
        <w:bottom w:val="none" w:sz="0" w:space="0" w:color="auto"/>
        <w:right w:val="none" w:sz="0" w:space="0" w:color="auto"/>
      </w:divBdr>
    </w:div>
    <w:div w:id="1358772020">
      <w:bodyDiv w:val="1"/>
      <w:marLeft w:val="0"/>
      <w:marRight w:val="0"/>
      <w:marTop w:val="0"/>
      <w:marBottom w:val="0"/>
      <w:divBdr>
        <w:top w:val="none" w:sz="0" w:space="0" w:color="auto"/>
        <w:left w:val="none" w:sz="0" w:space="0" w:color="auto"/>
        <w:bottom w:val="none" w:sz="0" w:space="0" w:color="auto"/>
        <w:right w:val="none" w:sz="0" w:space="0" w:color="auto"/>
      </w:divBdr>
    </w:div>
    <w:div w:id="1387953979">
      <w:bodyDiv w:val="1"/>
      <w:marLeft w:val="0"/>
      <w:marRight w:val="0"/>
      <w:marTop w:val="0"/>
      <w:marBottom w:val="0"/>
      <w:divBdr>
        <w:top w:val="none" w:sz="0" w:space="0" w:color="auto"/>
        <w:left w:val="none" w:sz="0" w:space="0" w:color="auto"/>
        <w:bottom w:val="none" w:sz="0" w:space="0" w:color="auto"/>
        <w:right w:val="none" w:sz="0" w:space="0" w:color="auto"/>
      </w:divBdr>
      <w:divsChild>
        <w:div w:id="1612785776">
          <w:marLeft w:val="0"/>
          <w:marRight w:val="0"/>
          <w:marTop w:val="0"/>
          <w:marBottom w:val="0"/>
          <w:divBdr>
            <w:top w:val="none" w:sz="0" w:space="0" w:color="auto"/>
            <w:left w:val="none" w:sz="0" w:space="0" w:color="auto"/>
            <w:bottom w:val="none" w:sz="0" w:space="0" w:color="auto"/>
            <w:right w:val="none" w:sz="0" w:space="0" w:color="auto"/>
          </w:divBdr>
        </w:div>
        <w:div w:id="1579706961">
          <w:marLeft w:val="0"/>
          <w:marRight w:val="0"/>
          <w:marTop w:val="0"/>
          <w:marBottom w:val="0"/>
          <w:divBdr>
            <w:top w:val="none" w:sz="0" w:space="0" w:color="auto"/>
            <w:left w:val="none" w:sz="0" w:space="0" w:color="auto"/>
            <w:bottom w:val="none" w:sz="0" w:space="0" w:color="auto"/>
            <w:right w:val="none" w:sz="0" w:space="0" w:color="auto"/>
          </w:divBdr>
        </w:div>
      </w:divsChild>
    </w:div>
    <w:div w:id="1396971620">
      <w:bodyDiv w:val="1"/>
      <w:marLeft w:val="0"/>
      <w:marRight w:val="0"/>
      <w:marTop w:val="0"/>
      <w:marBottom w:val="0"/>
      <w:divBdr>
        <w:top w:val="none" w:sz="0" w:space="0" w:color="auto"/>
        <w:left w:val="none" w:sz="0" w:space="0" w:color="auto"/>
        <w:bottom w:val="none" w:sz="0" w:space="0" w:color="auto"/>
        <w:right w:val="none" w:sz="0" w:space="0" w:color="auto"/>
      </w:divBdr>
      <w:divsChild>
        <w:div w:id="595603068">
          <w:marLeft w:val="0"/>
          <w:marRight w:val="0"/>
          <w:marTop w:val="0"/>
          <w:marBottom w:val="0"/>
          <w:divBdr>
            <w:top w:val="none" w:sz="0" w:space="0" w:color="auto"/>
            <w:left w:val="none" w:sz="0" w:space="0" w:color="auto"/>
            <w:bottom w:val="none" w:sz="0" w:space="0" w:color="auto"/>
            <w:right w:val="none" w:sz="0" w:space="0" w:color="auto"/>
          </w:divBdr>
          <w:divsChild>
            <w:div w:id="354577216">
              <w:marLeft w:val="0"/>
              <w:marRight w:val="0"/>
              <w:marTop w:val="0"/>
              <w:marBottom w:val="0"/>
              <w:divBdr>
                <w:top w:val="none" w:sz="0" w:space="0" w:color="auto"/>
                <w:left w:val="none" w:sz="0" w:space="0" w:color="auto"/>
                <w:bottom w:val="none" w:sz="0" w:space="0" w:color="auto"/>
                <w:right w:val="none" w:sz="0" w:space="0" w:color="auto"/>
              </w:divBdr>
              <w:divsChild>
                <w:div w:id="1493984764">
                  <w:marLeft w:val="0"/>
                  <w:marRight w:val="0"/>
                  <w:marTop w:val="0"/>
                  <w:marBottom w:val="0"/>
                  <w:divBdr>
                    <w:top w:val="none" w:sz="0" w:space="0" w:color="auto"/>
                    <w:left w:val="none" w:sz="0" w:space="0" w:color="auto"/>
                    <w:bottom w:val="none" w:sz="0" w:space="0" w:color="auto"/>
                    <w:right w:val="none" w:sz="0" w:space="0" w:color="auto"/>
                  </w:divBdr>
                  <w:divsChild>
                    <w:div w:id="1473868840">
                      <w:marLeft w:val="0"/>
                      <w:marRight w:val="0"/>
                      <w:marTop w:val="0"/>
                      <w:marBottom w:val="0"/>
                      <w:divBdr>
                        <w:top w:val="none" w:sz="0" w:space="0" w:color="auto"/>
                        <w:left w:val="none" w:sz="0" w:space="0" w:color="auto"/>
                        <w:bottom w:val="none" w:sz="0" w:space="0" w:color="auto"/>
                        <w:right w:val="none" w:sz="0" w:space="0" w:color="auto"/>
                      </w:divBdr>
                      <w:divsChild>
                        <w:div w:id="1602563771">
                          <w:marLeft w:val="0"/>
                          <w:marRight w:val="0"/>
                          <w:marTop w:val="0"/>
                          <w:marBottom w:val="0"/>
                          <w:divBdr>
                            <w:top w:val="none" w:sz="0" w:space="0" w:color="auto"/>
                            <w:left w:val="none" w:sz="0" w:space="0" w:color="auto"/>
                            <w:bottom w:val="none" w:sz="0" w:space="0" w:color="auto"/>
                            <w:right w:val="none" w:sz="0" w:space="0" w:color="auto"/>
                          </w:divBdr>
                          <w:divsChild>
                            <w:div w:id="92461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8430631">
      <w:bodyDiv w:val="1"/>
      <w:marLeft w:val="0"/>
      <w:marRight w:val="0"/>
      <w:marTop w:val="0"/>
      <w:marBottom w:val="0"/>
      <w:divBdr>
        <w:top w:val="none" w:sz="0" w:space="0" w:color="auto"/>
        <w:left w:val="none" w:sz="0" w:space="0" w:color="auto"/>
        <w:bottom w:val="none" w:sz="0" w:space="0" w:color="auto"/>
        <w:right w:val="none" w:sz="0" w:space="0" w:color="auto"/>
      </w:divBdr>
    </w:div>
    <w:div w:id="1445878657">
      <w:bodyDiv w:val="1"/>
      <w:marLeft w:val="0"/>
      <w:marRight w:val="0"/>
      <w:marTop w:val="0"/>
      <w:marBottom w:val="0"/>
      <w:divBdr>
        <w:top w:val="none" w:sz="0" w:space="0" w:color="auto"/>
        <w:left w:val="none" w:sz="0" w:space="0" w:color="auto"/>
        <w:bottom w:val="none" w:sz="0" w:space="0" w:color="auto"/>
        <w:right w:val="none" w:sz="0" w:space="0" w:color="auto"/>
      </w:divBdr>
      <w:divsChild>
        <w:div w:id="1367832246">
          <w:marLeft w:val="0"/>
          <w:marRight w:val="0"/>
          <w:marTop w:val="0"/>
          <w:marBottom w:val="0"/>
          <w:divBdr>
            <w:top w:val="none" w:sz="0" w:space="0" w:color="auto"/>
            <w:left w:val="none" w:sz="0" w:space="0" w:color="auto"/>
            <w:bottom w:val="none" w:sz="0" w:space="0" w:color="auto"/>
            <w:right w:val="none" w:sz="0" w:space="0" w:color="auto"/>
          </w:divBdr>
          <w:divsChild>
            <w:div w:id="1682319999">
              <w:marLeft w:val="0"/>
              <w:marRight w:val="0"/>
              <w:marTop w:val="0"/>
              <w:marBottom w:val="0"/>
              <w:divBdr>
                <w:top w:val="none" w:sz="0" w:space="0" w:color="auto"/>
                <w:left w:val="none" w:sz="0" w:space="0" w:color="auto"/>
                <w:bottom w:val="none" w:sz="0" w:space="0" w:color="auto"/>
                <w:right w:val="none" w:sz="0" w:space="0" w:color="auto"/>
              </w:divBdr>
              <w:divsChild>
                <w:div w:id="1641691549">
                  <w:marLeft w:val="0"/>
                  <w:marRight w:val="0"/>
                  <w:marTop w:val="0"/>
                  <w:marBottom w:val="0"/>
                  <w:divBdr>
                    <w:top w:val="none" w:sz="0" w:space="0" w:color="auto"/>
                    <w:left w:val="none" w:sz="0" w:space="0" w:color="auto"/>
                    <w:bottom w:val="none" w:sz="0" w:space="0" w:color="auto"/>
                    <w:right w:val="none" w:sz="0" w:space="0" w:color="auto"/>
                  </w:divBdr>
                  <w:divsChild>
                    <w:div w:id="750347777">
                      <w:marLeft w:val="0"/>
                      <w:marRight w:val="0"/>
                      <w:marTop w:val="0"/>
                      <w:marBottom w:val="0"/>
                      <w:divBdr>
                        <w:top w:val="none" w:sz="0" w:space="0" w:color="auto"/>
                        <w:left w:val="none" w:sz="0" w:space="0" w:color="auto"/>
                        <w:bottom w:val="none" w:sz="0" w:space="0" w:color="auto"/>
                        <w:right w:val="none" w:sz="0" w:space="0" w:color="auto"/>
                      </w:divBdr>
                      <w:divsChild>
                        <w:div w:id="1203057238">
                          <w:marLeft w:val="0"/>
                          <w:marRight w:val="0"/>
                          <w:marTop w:val="0"/>
                          <w:marBottom w:val="0"/>
                          <w:divBdr>
                            <w:top w:val="none" w:sz="0" w:space="0" w:color="auto"/>
                            <w:left w:val="none" w:sz="0" w:space="0" w:color="auto"/>
                            <w:bottom w:val="none" w:sz="0" w:space="0" w:color="auto"/>
                            <w:right w:val="none" w:sz="0" w:space="0" w:color="auto"/>
                          </w:divBdr>
                          <w:divsChild>
                            <w:div w:id="105042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811106">
      <w:bodyDiv w:val="1"/>
      <w:marLeft w:val="0"/>
      <w:marRight w:val="0"/>
      <w:marTop w:val="0"/>
      <w:marBottom w:val="0"/>
      <w:divBdr>
        <w:top w:val="none" w:sz="0" w:space="0" w:color="auto"/>
        <w:left w:val="none" w:sz="0" w:space="0" w:color="auto"/>
        <w:bottom w:val="none" w:sz="0" w:space="0" w:color="auto"/>
        <w:right w:val="none" w:sz="0" w:space="0" w:color="auto"/>
      </w:divBdr>
    </w:div>
    <w:div w:id="1470705765">
      <w:bodyDiv w:val="1"/>
      <w:marLeft w:val="0"/>
      <w:marRight w:val="0"/>
      <w:marTop w:val="0"/>
      <w:marBottom w:val="0"/>
      <w:divBdr>
        <w:top w:val="none" w:sz="0" w:space="0" w:color="auto"/>
        <w:left w:val="none" w:sz="0" w:space="0" w:color="auto"/>
        <w:bottom w:val="none" w:sz="0" w:space="0" w:color="auto"/>
        <w:right w:val="none" w:sz="0" w:space="0" w:color="auto"/>
      </w:divBdr>
      <w:divsChild>
        <w:div w:id="1124737335">
          <w:marLeft w:val="0"/>
          <w:marRight w:val="0"/>
          <w:marTop w:val="0"/>
          <w:marBottom w:val="0"/>
          <w:divBdr>
            <w:top w:val="none" w:sz="0" w:space="0" w:color="auto"/>
            <w:left w:val="none" w:sz="0" w:space="0" w:color="auto"/>
            <w:bottom w:val="none" w:sz="0" w:space="0" w:color="auto"/>
            <w:right w:val="none" w:sz="0" w:space="0" w:color="auto"/>
          </w:divBdr>
        </w:div>
        <w:div w:id="1242987871">
          <w:marLeft w:val="0"/>
          <w:marRight w:val="0"/>
          <w:marTop w:val="0"/>
          <w:marBottom w:val="0"/>
          <w:divBdr>
            <w:top w:val="none" w:sz="0" w:space="0" w:color="auto"/>
            <w:left w:val="none" w:sz="0" w:space="0" w:color="auto"/>
            <w:bottom w:val="none" w:sz="0" w:space="0" w:color="auto"/>
            <w:right w:val="none" w:sz="0" w:space="0" w:color="auto"/>
          </w:divBdr>
        </w:div>
      </w:divsChild>
    </w:div>
    <w:div w:id="1518349929">
      <w:bodyDiv w:val="1"/>
      <w:marLeft w:val="0"/>
      <w:marRight w:val="0"/>
      <w:marTop w:val="0"/>
      <w:marBottom w:val="0"/>
      <w:divBdr>
        <w:top w:val="none" w:sz="0" w:space="0" w:color="auto"/>
        <w:left w:val="none" w:sz="0" w:space="0" w:color="auto"/>
        <w:bottom w:val="none" w:sz="0" w:space="0" w:color="auto"/>
        <w:right w:val="none" w:sz="0" w:space="0" w:color="auto"/>
      </w:divBdr>
    </w:div>
    <w:div w:id="1528636295">
      <w:bodyDiv w:val="1"/>
      <w:marLeft w:val="0"/>
      <w:marRight w:val="0"/>
      <w:marTop w:val="0"/>
      <w:marBottom w:val="0"/>
      <w:divBdr>
        <w:top w:val="none" w:sz="0" w:space="0" w:color="auto"/>
        <w:left w:val="none" w:sz="0" w:space="0" w:color="auto"/>
        <w:bottom w:val="none" w:sz="0" w:space="0" w:color="auto"/>
        <w:right w:val="none" w:sz="0" w:space="0" w:color="auto"/>
      </w:divBdr>
    </w:div>
    <w:div w:id="1537622535">
      <w:bodyDiv w:val="1"/>
      <w:marLeft w:val="0"/>
      <w:marRight w:val="0"/>
      <w:marTop w:val="0"/>
      <w:marBottom w:val="0"/>
      <w:divBdr>
        <w:top w:val="none" w:sz="0" w:space="0" w:color="auto"/>
        <w:left w:val="none" w:sz="0" w:space="0" w:color="auto"/>
        <w:bottom w:val="none" w:sz="0" w:space="0" w:color="auto"/>
        <w:right w:val="none" w:sz="0" w:space="0" w:color="auto"/>
      </w:divBdr>
    </w:div>
    <w:div w:id="1551650603">
      <w:bodyDiv w:val="1"/>
      <w:marLeft w:val="0"/>
      <w:marRight w:val="0"/>
      <w:marTop w:val="0"/>
      <w:marBottom w:val="0"/>
      <w:divBdr>
        <w:top w:val="none" w:sz="0" w:space="0" w:color="auto"/>
        <w:left w:val="none" w:sz="0" w:space="0" w:color="auto"/>
        <w:bottom w:val="none" w:sz="0" w:space="0" w:color="auto"/>
        <w:right w:val="none" w:sz="0" w:space="0" w:color="auto"/>
      </w:divBdr>
    </w:div>
    <w:div w:id="1557858778">
      <w:bodyDiv w:val="1"/>
      <w:marLeft w:val="0"/>
      <w:marRight w:val="0"/>
      <w:marTop w:val="0"/>
      <w:marBottom w:val="0"/>
      <w:divBdr>
        <w:top w:val="none" w:sz="0" w:space="0" w:color="auto"/>
        <w:left w:val="none" w:sz="0" w:space="0" w:color="auto"/>
        <w:bottom w:val="none" w:sz="0" w:space="0" w:color="auto"/>
        <w:right w:val="none" w:sz="0" w:space="0" w:color="auto"/>
      </w:divBdr>
      <w:divsChild>
        <w:div w:id="783888355">
          <w:marLeft w:val="0"/>
          <w:marRight w:val="0"/>
          <w:marTop w:val="0"/>
          <w:marBottom w:val="0"/>
          <w:divBdr>
            <w:top w:val="none" w:sz="0" w:space="0" w:color="auto"/>
            <w:left w:val="none" w:sz="0" w:space="0" w:color="auto"/>
            <w:bottom w:val="none" w:sz="0" w:space="0" w:color="auto"/>
            <w:right w:val="none" w:sz="0" w:space="0" w:color="auto"/>
          </w:divBdr>
        </w:div>
        <w:div w:id="473642394">
          <w:marLeft w:val="0"/>
          <w:marRight w:val="0"/>
          <w:marTop w:val="0"/>
          <w:marBottom w:val="0"/>
          <w:divBdr>
            <w:top w:val="none" w:sz="0" w:space="0" w:color="auto"/>
            <w:left w:val="none" w:sz="0" w:space="0" w:color="auto"/>
            <w:bottom w:val="none" w:sz="0" w:space="0" w:color="auto"/>
            <w:right w:val="none" w:sz="0" w:space="0" w:color="auto"/>
          </w:divBdr>
        </w:div>
      </w:divsChild>
    </w:div>
    <w:div w:id="1565264291">
      <w:bodyDiv w:val="1"/>
      <w:marLeft w:val="0"/>
      <w:marRight w:val="0"/>
      <w:marTop w:val="0"/>
      <w:marBottom w:val="0"/>
      <w:divBdr>
        <w:top w:val="none" w:sz="0" w:space="0" w:color="auto"/>
        <w:left w:val="none" w:sz="0" w:space="0" w:color="auto"/>
        <w:bottom w:val="none" w:sz="0" w:space="0" w:color="auto"/>
        <w:right w:val="none" w:sz="0" w:space="0" w:color="auto"/>
      </w:divBdr>
    </w:div>
    <w:div w:id="1581864990">
      <w:bodyDiv w:val="1"/>
      <w:marLeft w:val="0"/>
      <w:marRight w:val="0"/>
      <w:marTop w:val="0"/>
      <w:marBottom w:val="0"/>
      <w:divBdr>
        <w:top w:val="none" w:sz="0" w:space="0" w:color="auto"/>
        <w:left w:val="none" w:sz="0" w:space="0" w:color="auto"/>
        <w:bottom w:val="none" w:sz="0" w:space="0" w:color="auto"/>
        <w:right w:val="none" w:sz="0" w:space="0" w:color="auto"/>
      </w:divBdr>
    </w:div>
    <w:div w:id="1585142549">
      <w:bodyDiv w:val="1"/>
      <w:marLeft w:val="0"/>
      <w:marRight w:val="0"/>
      <w:marTop w:val="0"/>
      <w:marBottom w:val="0"/>
      <w:divBdr>
        <w:top w:val="none" w:sz="0" w:space="0" w:color="auto"/>
        <w:left w:val="none" w:sz="0" w:space="0" w:color="auto"/>
        <w:bottom w:val="none" w:sz="0" w:space="0" w:color="auto"/>
        <w:right w:val="none" w:sz="0" w:space="0" w:color="auto"/>
      </w:divBdr>
    </w:div>
    <w:div w:id="1590892718">
      <w:bodyDiv w:val="1"/>
      <w:marLeft w:val="0"/>
      <w:marRight w:val="0"/>
      <w:marTop w:val="0"/>
      <w:marBottom w:val="0"/>
      <w:divBdr>
        <w:top w:val="none" w:sz="0" w:space="0" w:color="auto"/>
        <w:left w:val="none" w:sz="0" w:space="0" w:color="auto"/>
        <w:bottom w:val="none" w:sz="0" w:space="0" w:color="auto"/>
        <w:right w:val="none" w:sz="0" w:space="0" w:color="auto"/>
      </w:divBdr>
    </w:div>
    <w:div w:id="1619290445">
      <w:bodyDiv w:val="1"/>
      <w:marLeft w:val="0"/>
      <w:marRight w:val="0"/>
      <w:marTop w:val="0"/>
      <w:marBottom w:val="0"/>
      <w:divBdr>
        <w:top w:val="none" w:sz="0" w:space="0" w:color="auto"/>
        <w:left w:val="none" w:sz="0" w:space="0" w:color="auto"/>
        <w:bottom w:val="none" w:sz="0" w:space="0" w:color="auto"/>
        <w:right w:val="none" w:sz="0" w:space="0" w:color="auto"/>
      </w:divBdr>
    </w:div>
    <w:div w:id="1621760158">
      <w:bodyDiv w:val="1"/>
      <w:marLeft w:val="0"/>
      <w:marRight w:val="0"/>
      <w:marTop w:val="0"/>
      <w:marBottom w:val="0"/>
      <w:divBdr>
        <w:top w:val="none" w:sz="0" w:space="0" w:color="auto"/>
        <w:left w:val="none" w:sz="0" w:space="0" w:color="auto"/>
        <w:bottom w:val="none" w:sz="0" w:space="0" w:color="auto"/>
        <w:right w:val="none" w:sz="0" w:space="0" w:color="auto"/>
      </w:divBdr>
    </w:div>
    <w:div w:id="1621842905">
      <w:bodyDiv w:val="1"/>
      <w:marLeft w:val="0"/>
      <w:marRight w:val="0"/>
      <w:marTop w:val="0"/>
      <w:marBottom w:val="0"/>
      <w:divBdr>
        <w:top w:val="none" w:sz="0" w:space="0" w:color="auto"/>
        <w:left w:val="none" w:sz="0" w:space="0" w:color="auto"/>
        <w:bottom w:val="none" w:sz="0" w:space="0" w:color="auto"/>
        <w:right w:val="none" w:sz="0" w:space="0" w:color="auto"/>
      </w:divBdr>
    </w:div>
    <w:div w:id="1631588386">
      <w:bodyDiv w:val="1"/>
      <w:marLeft w:val="0"/>
      <w:marRight w:val="0"/>
      <w:marTop w:val="0"/>
      <w:marBottom w:val="0"/>
      <w:divBdr>
        <w:top w:val="none" w:sz="0" w:space="0" w:color="auto"/>
        <w:left w:val="none" w:sz="0" w:space="0" w:color="auto"/>
        <w:bottom w:val="none" w:sz="0" w:space="0" w:color="auto"/>
        <w:right w:val="none" w:sz="0" w:space="0" w:color="auto"/>
      </w:divBdr>
    </w:div>
    <w:div w:id="1642467244">
      <w:bodyDiv w:val="1"/>
      <w:marLeft w:val="0"/>
      <w:marRight w:val="0"/>
      <w:marTop w:val="0"/>
      <w:marBottom w:val="0"/>
      <w:divBdr>
        <w:top w:val="none" w:sz="0" w:space="0" w:color="auto"/>
        <w:left w:val="none" w:sz="0" w:space="0" w:color="auto"/>
        <w:bottom w:val="none" w:sz="0" w:space="0" w:color="auto"/>
        <w:right w:val="none" w:sz="0" w:space="0" w:color="auto"/>
      </w:divBdr>
    </w:div>
    <w:div w:id="1645811944">
      <w:bodyDiv w:val="1"/>
      <w:marLeft w:val="0"/>
      <w:marRight w:val="0"/>
      <w:marTop w:val="0"/>
      <w:marBottom w:val="0"/>
      <w:divBdr>
        <w:top w:val="none" w:sz="0" w:space="0" w:color="auto"/>
        <w:left w:val="none" w:sz="0" w:space="0" w:color="auto"/>
        <w:bottom w:val="none" w:sz="0" w:space="0" w:color="auto"/>
        <w:right w:val="none" w:sz="0" w:space="0" w:color="auto"/>
      </w:divBdr>
      <w:divsChild>
        <w:div w:id="1803111242">
          <w:marLeft w:val="0"/>
          <w:marRight w:val="0"/>
          <w:marTop w:val="0"/>
          <w:marBottom w:val="0"/>
          <w:divBdr>
            <w:top w:val="none" w:sz="0" w:space="0" w:color="auto"/>
            <w:left w:val="none" w:sz="0" w:space="0" w:color="auto"/>
            <w:bottom w:val="none" w:sz="0" w:space="0" w:color="auto"/>
            <w:right w:val="none" w:sz="0" w:space="0" w:color="auto"/>
          </w:divBdr>
          <w:divsChild>
            <w:div w:id="211544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0728">
      <w:bodyDiv w:val="1"/>
      <w:marLeft w:val="0"/>
      <w:marRight w:val="0"/>
      <w:marTop w:val="0"/>
      <w:marBottom w:val="0"/>
      <w:divBdr>
        <w:top w:val="none" w:sz="0" w:space="0" w:color="auto"/>
        <w:left w:val="none" w:sz="0" w:space="0" w:color="auto"/>
        <w:bottom w:val="none" w:sz="0" w:space="0" w:color="auto"/>
        <w:right w:val="none" w:sz="0" w:space="0" w:color="auto"/>
      </w:divBdr>
    </w:div>
    <w:div w:id="1658067014">
      <w:bodyDiv w:val="1"/>
      <w:marLeft w:val="0"/>
      <w:marRight w:val="0"/>
      <w:marTop w:val="0"/>
      <w:marBottom w:val="0"/>
      <w:divBdr>
        <w:top w:val="none" w:sz="0" w:space="0" w:color="auto"/>
        <w:left w:val="none" w:sz="0" w:space="0" w:color="auto"/>
        <w:bottom w:val="none" w:sz="0" w:space="0" w:color="auto"/>
        <w:right w:val="none" w:sz="0" w:space="0" w:color="auto"/>
      </w:divBdr>
    </w:div>
    <w:div w:id="1664895171">
      <w:bodyDiv w:val="1"/>
      <w:marLeft w:val="0"/>
      <w:marRight w:val="0"/>
      <w:marTop w:val="0"/>
      <w:marBottom w:val="0"/>
      <w:divBdr>
        <w:top w:val="none" w:sz="0" w:space="0" w:color="auto"/>
        <w:left w:val="none" w:sz="0" w:space="0" w:color="auto"/>
        <w:bottom w:val="none" w:sz="0" w:space="0" w:color="auto"/>
        <w:right w:val="none" w:sz="0" w:space="0" w:color="auto"/>
      </w:divBdr>
    </w:div>
    <w:div w:id="1682463882">
      <w:bodyDiv w:val="1"/>
      <w:marLeft w:val="0"/>
      <w:marRight w:val="0"/>
      <w:marTop w:val="0"/>
      <w:marBottom w:val="0"/>
      <w:divBdr>
        <w:top w:val="none" w:sz="0" w:space="0" w:color="auto"/>
        <w:left w:val="none" w:sz="0" w:space="0" w:color="auto"/>
        <w:bottom w:val="none" w:sz="0" w:space="0" w:color="auto"/>
        <w:right w:val="none" w:sz="0" w:space="0" w:color="auto"/>
      </w:divBdr>
    </w:div>
    <w:div w:id="1689943531">
      <w:bodyDiv w:val="1"/>
      <w:marLeft w:val="0"/>
      <w:marRight w:val="0"/>
      <w:marTop w:val="0"/>
      <w:marBottom w:val="0"/>
      <w:divBdr>
        <w:top w:val="none" w:sz="0" w:space="0" w:color="auto"/>
        <w:left w:val="none" w:sz="0" w:space="0" w:color="auto"/>
        <w:bottom w:val="none" w:sz="0" w:space="0" w:color="auto"/>
        <w:right w:val="none" w:sz="0" w:space="0" w:color="auto"/>
      </w:divBdr>
      <w:divsChild>
        <w:div w:id="1687294233">
          <w:marLeft w:val="0"/>
          <w:marRight w:val="0"/>
          <w:marTop w:val="0"/>
          <w:marBottom w:val="0"/>
          <w:divBdr>
            <w:top w:val="none" w:sz="0" w:space="0" w:color="auto"/>
            <w:left w:val="none" w:sz="0" w:space="0" w:color="auto"/>
            <w:bottom w:val="none" w:sz="0" w:space="0" w:color="auto"/>
            <w:right w:val="none" w:sz="0" w:space="0" w:color="auto"/>
          </w:divBdr>
        </w:div>
        <w:div w:id="1979916456">
          <w:marLeft w:val="0"/>
          <w:marRight w:val="0"/>
          <w:marTop w:val="0"/>
          <w:marBottom w:val="0"/>
          <w:divBdr>
            <w:top w:val="none" w:sz="0" w:space="0" w:color="auto"/>
            <w:left w:val="none" w:sz="0" w:space="0" w:color="auto"/>
            <w:bottom w:val="none" w:sz="0" w:space="0" w:color="auto"/>
            <w:right w:val="none" w:sz="0" w:space="0" w:color="auto"/>
          </w:divBdr>
        </w:div>
      </w:divsChild>
    </w:div>
    <w:div w:id="1695184637">
      <w:bodyDiv w:val="1"/>
      <w:marLeft w:val="0"/>
      <w:marRight w:val="0"/>
      <w:marTop w:val="0"/>
      <w:marBottom w:val="0"/>
      <w:divBdr>
        <w:top w:val="none" w:sz="0" w:space="0" w:color="auto"/>
        <w:left w:val="none" w:sz="0" w:space="0" w:color="auto"/>
        <w:bottom w:val="none" w:sz="0" w:space="0" w:color="auto"/>
        <w:right w:val="none" w:sz="0" w:space="0" w:color="auto"/>
      </w:divBdr>
    </w:div>
    <w:div w:id="1702584742">
      <w:bodyDiv w:val="1"/>
      <w:marLeft w:val="0"/>
      <w:marRight w:val="0"/>
      <w:marTop w:val="0"/>
      <w:marBottom w:val="0"/>
      <w:divBdr>
        <w:top w:val="none" w:sz="0" w:space="0" w:color="auto"/>
        <w:left w:val="none" w:sz="0" w:space="0" w:color="auto"/>
        <w:bottom w:val="none" w:sz="0" w:space="0" w:color="auto"/>
        <w:right w:val="none" w:sz="0" w:space="0" w:color="auto"/>
      </w:divBdr>
    </w:div>
    <w:div w:id="1719470261">
      <w:bodyDiv w:val="1"/>
      <w:marLeft w:val="0"/>
      <w:marRight w:val="0"/>
      <w:marTop w:val="0"/>
      <w:marBottom w:val="0"/>
      <w:divBdr>
        <w:top w:val="none" w:sz="0" w:space="0" w:color="auto"/>
        <w:left w:val="none" w:sz="0" w:space="0" w:color="auto"/>
        <w:bottom w:val="none" w:sz="0" w:space="0" w:color="auto"/>
        <w:right w:val="none" w:sz="0" w:space="0" w:color="auto"/>
      </w:divBdr>
    </w:div>
    <w:div w:id="1727951294">
      <w:bodyDiv w:val="1"/>
      <w:marLeft w:val="0"/>
      <w:marRight w:val="0"/>
      <w:marTop w:val="0"/>
      <w:marBottom w:val="0"/>
      <w:divBdr>
        <w:top w:val="none" w:sz="0" w:space="0" w:color="auto"/>
        <w:left w:val="none" w:sz="0" w:space="0" w:color="auto"/>
        <w:bottom w:val="none" w:sz="0" w:space="0" w:color="auto"/>
        <w:right w:val="none" w:sz="0" w:space="0" w:color="auto"/>
      </w:divBdr>
    </w:div>
    <w:div w:id="1729036296">
      <w:bodyDiv w:val="1"/>
      <w:marLeft w:val="0"/>
      <w:marRight w:val="0"/>
      <w:marTop w:val="0"/>
      <w:marBottom w:val="0"/>
      <w:divBdr>
        <w:top w:val="none" w:sz="0" w:space="0" w:color="auto"/>
        <w:left w:val="none" w:sz="0" w:space="0" w:color="auto"/>
        <w:bottom w:val="none" w:sz="0" w:space="0" w:color="auto"/>
        <w:right w:val="none" w:sz="0" w:space="0" w:color="auto"/>
      </w:divBdr>
    </w:div>
    <w:div w:id="1742754603">
      <w:bodyDiv w:val="1"/>
      <w:marLeft w:val="0"/>
      <w:marRight w:val="0"/>
      <w:marTop w:val="0"/>
      <w:marBottom w:val="0"/>
      <w:divBdr>
        <w:top w:val="none" w:sz="0" w:space="0" w:color="auto"/>
        <w:left w:val="none" w:sz="0" w:space="0" w:color="auto"/>
        <w:bottom w:val="none" w:sz="0" w:space="0" w:color="auto"/>
        <w:right w:val="none" w:sz="0" w:space="0" w:color="auto"/>
      </w:divBdr>
    </w:div>
    <w:div w:id="1756898599">
      <w:bodyDiv w:val="1"/>
      <w:marLeft w:val="0"/>
      <w:marRight w:val="0"/>
      <w:marTop w:val="0"/>
      <w:marBottom w:val="0"/>
      <w:divBdr>
        <w:top w:val="none" w:sz="0" w:space="0" w:color="auto"/>
        <w:left w:val="none" w:sz="0" w:space="0" w:color="auto"/>
        <w:bottom w:val="none" w:sz="0" w:space="0" w:color="auto"/>
        <w:right w:val="none" w:sz="0" w:space="0" w:color="auto"/>
      </w:divBdr>
    </w:div>
    <w:div w:id="1775439029">
      <w:bodyDiv w:val="1"/>
      <w:marLeft w:val="0"/>
      <w:marRight w:val="0"/>
      <w:marTop w:val="0"/>
      <w:marBottom w:val="0"/>
      <w:divBdr>
        <w:top w:val="none" w:sz="0" w:space="0" w:color="auto"/>
        <w:left w:val="none" w:sz="0" w:space="0" w:color="auto"/>
        <w:bottom w:val="none" w:sz="0" w:space="0" w:color="auto"/>
        <w:right w:val="none" w:sz="0" w:space="0" w:color="auto"/>
      </w:divBdr>
      <w:divsChild>
        <w:div w:id="680864151">
          <w:marLeft w:val="0"/>
          <w:marRight w:val="0"/>
          <w:marTop w:val="0"/>
          <w:marBottom w:val="0"/>
          <w:divBdr>
            <w:top w:val="none" w:sz="0" w:space="0" w:color="auto"/>
            <w:left w:val="none" w:sz="0" w:space="0" w:color="auto"/>
            <w:bottom w:val="none" w:sz="0" w:space="0" w:color="auto"/>
            <w:right w:val="none" w:sz="0" w:space="0" w:color="auto"/>
          </w:divBdr>
        </w:div>
        <w:div w:id="591595770">
          <w:marLeft w:val="0"/>
          <w:marRight w:val="0"/>
          <w:marTop w:val="0"/>
          <w:marBottom w:val="0"/>
          <w:divBdr>
            <w:top w:val="none" w:sz="0" w:space="0" w:color="auto"/>
            <w:left w:val="none" w:sz="0" w:space="0" w:color="auto"/>
            <w:bottom w:val="none" w:sz="0" w:space="0" w:color="auto"/>
            <w:right w:val="none" w:sz="0" w:space="0" w:color="auto"/>
          </w:divBdr>
        </w:div>
      </w:divsChild>
    </w:div>
    <w:div w:id="1775704363">
      <w:bodyDiv w:val="1"/>
      <w:marLeft w:val="0"/>
      <w:marRight w:val="0"/>
      <w:marTop w:val="0"/>
      <w:marBottom w:val="0"/>
      <w:divBdr>
        <w:top w:val="none" w:sz="0" w:space="0" w:color="auto"/>
        <w:left w:val="none" w:sz="0" w:space="0" w:color="auto"/>
        <w:bottom w:val="none" w:sz="0" w:space="0" w:color="auto"/>
        <w:right w:val="none" w:sz="0" w:space="0" w:color="auto"/>
      </w:divBdr>
    </w:div>
    <w:div w:id="1787963891">
      <w:bodyDiv w:val="1"/>
      <w:marLeft w:val="0"/>
      <w:marRight w:val="0"/>
      <w:marTop w:val="0"/>
      <w:marBottom w:val="0"/>
      <w:divBdr>
        <w:top w:val="none" w:sz="0" w:space="0" w:color="auto"/>
        <w:left w:val="none" w:sz="0" w:space="0" w:color="auto"/>
        <w:bottom w:val="none" w:sz="0" w:space="0" w:color="auto"/>
        <w:right w:val="none" w:sz="0" w:space="0" w:color="auto"/>
      </w:divBdr>
      <w:divsChild>
        <w:div w:id="1180199606">
          <w:marLeft w:val="0"/>
          <w:marRight w:val="0"/>
          <w:marTop w:val="0"/>
          <w:marBottom w:val="0"/>
          <w:divBdr>
            <w:top w:val="none" w:sz="0" w:space="0" w:color="auto"/>
            <w:left w:val="none" w:sz="0" w:space="0" w:color="auto"/>
            <w:bottom w:val="none" w:sz="0" w:space="0" w:color="auto"/>
            <w:right w:val="none" w:sz="0" w:space="0" w:color="auto"/>
          </w:divBdr>
        </w:div>
      </w:divsChild>
    </w:div>
    <w:div w:id="1801222999">
      <w:bodyDiv w:val="1"/>
      <w:marLeft w:val="0"/>
      <w:marRight w:val="0"/>
      <w:marTop w:val="0"/>
      <w:marBottom w:val="0"/>
      <w:divBdr>
        <w:top w:val="none" w:sz="0" w:space="0" w:color="auto"/>
        <w:left w:val="none" w:sz="0" w:space="0" w:color="auto"/>
        <w:bottom w:val="none" w:sz="0" w:space="0" w:color="auto"/>
        <w:right w:val="none" w:sz="0" w:space="0" w:color="auto"/>
      </w:divBdr>
    </w:div>
    <w:div w:id="1812674731">
      <w:bodyDiv w:val="1"/>
      <w:marLeft w:val="0"/>
      <w:marRight w:val="0"/>
      <w:marTop w:val="0"/>
      <w:marBottom w:val="0"/>
      <w:divBdr>
        <w:top w:val="none" w:sz="0" w:space="0" w:color="auto"/>
        <w:left w:val="none" w:sz="0" w:space="0" w:color="auto"/>
        <w:bottom w:val="none" w:sz="0" w:space="0" w:color="auto"/>
        <w:right w:val="none" w:sz="0" w:space="0" w:color="auto"/>
      </w:divBdr>
    </w:div>
    <w:div w:id="1817407860">
      <w:bodyDiv w:val="1"/>
      <w:marLeft w:val="0"/>
      <w:marRight w:val="0"/>
      <w:marTop w:val="0"/>
      <w:marBottom w:val="0"/>
      <w:divBdr>
        <w:top w:val="none" w:sz="0" w:space="0" w:color="auto"/>
        <w:left w:val="none" w:sz="0" w:space="0" w:color="auto"/>
        <w:bottom w:val="none" w:sz="0" w:space="0" w:color="auto"/>
        <w:right w:val="none" w:sz="0" w:space="0" w:color="auto"/>
      </w:divBdr>
    </w:div>
    <w:div w:id="1824080498">
      <w:bodyDiv w:val="1"/>
      <w:marLeft w:val="0"/>
      <w:marRight w:val="0"/>
      <w:marTop w:val="0"/>
      <w:marBottom w:val="0"/>
      <w:divBdr>
        <w:top w:val="none" w:sz="0" w:space="0" w:color="auto"/>
        <w:left w:val="none" w:sz="0" w:space="0" w:color="auto"/>
        <w:bottom w:val="none" w:sz="0" w:space="0" w:color="auto"/>
        <w:right w:val="none" w:sz="0" w:space="0" w:color="auto"/>
      </w:divBdr>
    </w:div>
    <w:div w:id="1832984168">
      <w:bodyDiv w:val="1"/>
      <w:marLeft w:val="0"/>
      <w:marRight w:val="0"/>
      <w:marTop w:val="0"/>
      <w:marBottom w:val="0"/>
      <w:divBdr>
        <w:top w:val="none" w:sz="0" w:space="0" w:color="auto"/>
        <w:left w:val="none" w:sz="0" w:space="0" w:color="auto"/>
        <w:bottom w:val="none" w:sz="0" w:space="0" w:color="auto"/>
        <w:right w:val="none" w:sz="0" w:space="0" w:color="auto"/>
      </w:divBdr>
    </w:div>
    <w:div w:id="1871991679">
      <w:bodyDiv w:val="1"/>
      <w:marLeft w:val="0"/>
      <w:marRight w:val="0"/>
      <w:marTop w:val="0"/>
      <w:marBottom w:val="0"/>
      <w:divBdr>
        <w:top w:val="none" w:sz="0" w:space="0" w:color="auto"/>
        <w:left w:val="none" w:sz="0" w:space="0" w:color="auto"/>
        <w:bottom w:val="none" w:sz="0" w:space="0" w:color="auto"/>
        <w:right w:val="none" w:sz="0" w:space="0" w:color="auto"/>
      </w:divBdr>
    </w:div>
    <w:div w:id="1894349978">
      <w:bodyDiv w:val="1"/>
      <w:marLeft w:val="0"/>
      <w:marRight w:val="0"/>
      <w:marTop w:val="0"/>
      <w:marBottom w:val="0"/>
      <w:divBdr>
        <w:top w:val="none" w:sz="0" w:space="0" w:color="auto"/>
        <w:left w:val="none" w:sz="0" w:space="0" w:color="auto"/>
        <w:bottom w:val="none" w:sz="0" w:space="0" w:color="auto"/>
        <w:right w:val="none" w:sz="0" w:space="0" w:color="auto"/>
      </w:divBdr>
    </w:div>
    <w:div w:id="1906915344">
      <w:bodyDiv w:val="1"/>
      <w:marLeft w:val="0"/>
      <w:marRight w:val="0"/>
      <w:marTop w:val="0"/>
      <w:marBottom w:val="0"/>
      <w:divBdr>
        <w:top w:val="none" w:sz="0" w:space="0" w:color="auto"/>
        <w:left w:val="none" w:sz="0" w:space="0" w:color="auto"/>
        <w:bottom w:val="none" w:sz="0" w:space="0" w:color="auto"/>
        <w:right w:val="none" w:sz="0" w:space="0" w:color="auto"/>
      </w:divBdr>
    </w:div>
    <w:div w:id="1919754991">
      <w:bodyDiv w:val="1"/>
      <w:marLeft w:val="0"/>
      <w:marRight w:val="0"/>
      <w:marTop w:val="0"/>
      <w:marBottom w:val="0"/>
      <w:divBdr>
        <w:top w:val="none" w:sz="0" w:space="0" w:color="auto"/>
        <w:left w:val="none" w:sz="0" w:space="0" w:color="auto"/>
        <w:bottom w:val="none" w:sz="0" w:space="0" w:color="auto"/>
        <w:right w:val="none" w:sz="0" w:space="0" w:color="auto"/>
      </w:divBdr>
    </w:div>
    <w:div w:id="1922061721">
      <w:bodyDiv w:val="1"/>
      <w:marLeft w:val="0"/>
      <w:marRight w:val="0"/>
      <w:marTop w:val="0"/>
      <w:marBottom w:val="0"/>
      <w:divBdr>
        <w:top w:val="none" w:sz="0" w:space="0" w:color="auto"/>
        <w:left w:val="none" w:sz="0" w:space="0" w:color="auto"/>
        <w:bottom w:val="none" w:sz="0" w:space="0" w:color="auto"/>
        <w:right w:val="none" w:sz="0" w:space="0" w:color="auto"/>
      </w:divBdr>
    </w:div>
    <w:div w:id="1977639511">
      <w:bodyDiv w:val="1"/>
      <w:marLeft w:val="0"/>
      <w:marRight w:val="0"/>
      <w:marTop w:val="0"/>
      <w:marBottom w:val="0"/>
      <w:divBdr>
        <w:top w:val="none" w:sz="0" w:space="0" w:color="auto"/>
        <w:left w:val="none" w:sz="0" w:space="0" w:color="auto"/>
        <w:bottom w:val="none" w:sz="0" w:space="0" w:color="auto"/>
        <w:right w:val="none" w:sz="0" w:space="0" w:color="auto"/>
      </w:divBdr>
      <w:divsChild>
        <w:div w:id="762728891">
          <w:marLeft w:val="0"/>
          <w:marRight w:val="0"/>
          <w:marTop w:val="0"/>
          <w:marBottom w:val="0"/>
          <w:divBdr>
            <w:top w:val="none" w:sz="0" w:space="0" w:color="auto"/>
            <w:left w:val="none" w:sz="0" w:space="0" w:color="auto"/>
            <w:bottom w:val="none" w:sz="0" w:space="0" w:color="auto"/>
            <w:right w:val="none" w:sz="0" w:space="0" w:color="auto"/>
          </w:divBdr>
        </w:div>
        <w:div w:id="178472080">
          <w:marLeft w:val="0"/>
          <w:marRight w:val="0"/>
          <w:marTop w:val="0"/>
          <w:marBottom w:val="0"/>
          <w:divBdr>
            <w:top w:val="none" w:sz="0" w:space="0" w:color="auto"/>
            <w:left w:val="none" w:sz="0" w:space="0" w:color="auto"/>
            <w:bottom w:val="none" w:sz="0" w:space="0" w:color="auto"/>
            <w:right w:val="none" w:sz="0" w:space="0" w:color="auto"/>
          </w:divBdr>
        </w:div>
      </w:divsChild>
    </w:div>
    <w:div w:id="1995716912">
      <w:bodyDiv w:val="1"/>
      <w:marLeft w:val="0"/>
      <w:marRight w:val="0"/>
      <w:marTop w:val="0"/>
      <w:marBottom w:val="0"/>
      <w:divBdr>
        <w:top w:val="none" w:sz="0" w:space="0" w:color="auto"/>
        <w:left w:val="none" w:sz="0" w:space="0" w:color="auto"/>
        <w:bottom w:val="none" w:sz="0" w:space="0" w:color="auto"/>
        <w:right w:val="none" w:sz="0" w:space="0" w:color="auto"/>
      </w:divBdr>
    </w:div>
    <w:div w:id="2004311967">
      <w:bodyDiv w:val="1"/>
      <w:marLeft w:val="0"/>
      <w:marRight w:val="0"/>
      <w:marTop w:val="0"/>
      <w:marBottom w:val="0"/>
      <w:divBdr>
        <w:top w:val="none" w:sz="0" w:space="0" w:color="auto"/>
        <w:left w:val="none" w:sz="0" w:space="0" w:color="auto"/>
        <w:bottom w:val="none" w:sz="0" w:space="0" w:color="auto"/>
        <w:right w:val="none" w:sz="0" w:space="0" w:color="auto"/>
      </w:divBdr>
    </w:div>
    <w:div w:id="2023970822">
      <w:bodyDiv w:val="1"/>
      <w:marLeft w:val="0"/>
      <w:marRight w:val="0"/>
      <w:marTop w:val="0"/>
      <w:marBottom w:val="0"/>
      <w:divBdr>
        <w:top w:val="none" w:sz="0" w:space="0" w:color="auto"/>
        <w:left w:val="none" w:sz="0" w:space="0" w:color="auto"/>
        <w:bottom w:val="none" w:sz="0" w:space="0" w:color="auto"/>
        <w:right w:val="none" w:sz="0" w:space="0" w:color="auto"/>
      </w:divBdr>
    </w:div>
    <w:div w:id="2038120309">
      <w:bodyDiv w:val="1"/>
      <w:marLeft w:val="0"/>
      <w:marRight w:val="0"/>
      <w:marTop w:val="0"/>
      <w:marBottom w:val="0"/>
      <w:divBdr>
        <w:top w:val="none" w:sz="0" w:space="0" w:color="auto"/>
        <w:left w:val="none" w:sz="0" w:space="0" w:color="auto"/>
        <w:bottom w:val="none" w:sz="0" w:space="0" w:color="auto"/>
        <w:right w:val="none" w:sz="0" w:space="0" w:color="auto"/>
      </w:divBdr>
      <w:divsChild>
        <w:div w:id="292562476">
          <w:marLeft w:val="0"/>
          <w:marRight w:val="0"/>
          <w:marTop w:val="0"/>
          <w:marBottom w:val="0"/>
          <w:divBdr>
            <w:top w:val="none" w:sz="0" w:space="0" w:color="auto"/>
            <w:left w:val="none" w:sz="0" w:space="0" w:color="auto"/>
            <w:bottom w:val="none" w:sz="0" w:space="0" w:color="auto"/>
            <w:right w:val="none" w:sz="0" w:space="0" w:color="auto"/>
          </w:divBdr>
        </w:div>
        <w:div w:id="2102332026">
          <w:marLeft w:val="0"/>
          <w:marRight w:val="0"/>
          <w:marTop w:val="0"/>
          <w:marBottom w:val="0"/>
          <w:divBdr>
            <w:top w:val="none" w:sz="0" w:space="0" w:color="auto"/>
            <w:left w:val="none" w:sz="0" w:space="0" w:color="auto"/>
            <w:bottom w:val="none" w:sz="0" w:space="0" w:color="auto"/>
            <w:right w:val="none" w:sz="0" w:space="0" w:color="auto"/>
          </w:divBdr>
        </w:div>
      </w:divsChild>
    </w:div>
    <w:div w:id="2048798547">
      <w:bodyDiv w:val="1"/>
      <w:marLeft w:val="0"/>
      <w:marRight w:val="0"/>
      <w:marTop w:val="0"/>
      <w:marBottom w:val="0"/>
      <w:divBdr>
        <w:top w:val="none" w:sz="0" w:space="0" w:color="auto"/>
        <w:left w:val="none" w:sz="0" w:space="0" w:color="auto"/>
        <w:bottom w:val="none" w:sz="0" w:space="0" w:color="auto"/>
        <w:right w:val="none" w:sz="0" w:space="0" w:color="auto"/>
      </w:divBdr>
      <w:divsChild>
        <w:div w:id="1154295738">
          <w:marLeft w:val="0"/>
          <w:marRight w:val="0"/>
          <w:marTop w:val="0"/>
          <w:marBottom w:val="0"/>
          <w:divBdr>
            <w:top w:val="none" w:sz="0" w:space="0" w:color="auto"/>
            <w:left w:val="none" w:sz="0" w:space="0" w:color="auto"/>
            <w:bottom w:val="none" w:sz="0" w:space="0" w:color="auto"/>
            <w:right w:val="none" w:sz="0" w:space="0" w:color="auto"/>
          </w:divBdr>
        </w:div>
        <w:div w:id="685639870">
          <w:marLeft w:val="0"/>
          <w:marRight w:val="0"/>
          <w:marTop w:val="0"/>
          <w:marBottom w:val="0"/>
          <w:divBdr>
            <w:top w:val="none" w:sz="0" w:space="0" w:color="auto"/>
            <w:left w:val="none" w:sz="0" w:space="0" w:color="auto"/>
            <w:bottom w:val="none" w:sz="0" w:space="0" w:color="auto"/>
            <w:right w:val="none" w:sz="0" w:space="0" w:color="auto"/>
          </w:divBdr>
        </w:div>
      </w:divsChild>
    </w:div>
    <w:div w:id="2050958538">
      <w:bodyDiv w:val="1"/>
      <w:marLeft w:val="0"/>
      <w:marRight w:val="0"/>
      <w:marTop w:val="0"/>
      <w:marBottom w:val="0"/>
      <w:divBdr>
        <w:top w:val="none" w:sz="0" w:space="0" w:color="auto"/>
        <w:left w:val="none" w:sz="0" w:space="0" w:color="auto"/>
        <w:bottom w:val="none" w:sz="0" w:space="0" w:color="auto"/>
        <w:right w:val="none" w:sz="0" w:space="0" w:color="auto"/>
      </w:divBdr>
    </w:div>
    <w:div w:id="2060124818">
      <w:bodyDiv w:val="1"/>
      <w:marLeft w:val="0"/>
      <w:marRight w:val="0"/>
      <w:marTop w:val="0"/>
      <w:marBottom w:val="0"/>
      <w:divBdr>
        <w:top w:val="none" w:sz="0" w:space="0" w:color="auto"/>
        <w:left w:val="none" w:sz="0" w:space="0" w:color="auto"/>
        <w:bottom w:val="none" w:sz="0" w:space="0" w:color="auto"/>
        <w:right w:val="none" w:sz="0" w:space="0" w:color="auto"/>
      </w:divBdr>
    </w:div>
    <w:div w:id="2063600578">
      <w:bodyDiv w:val="1"/>
      <w:marLeft w:val="0"/>
      <w:marRight w:val="0"/>
      <w:marTop w:val="0"/>
      <w:marBottom w:val="0"/>
      <w:divBdr>
        <w:top w:val="none" w:sz="0" w:space="0" w:color="auto"/>
        <w:left w:val="none" w:sz="0" w:space="0" w:color="auto"/>
        <w:bottom w:val="none" w:sz="0" w:space="0" w:color="auto"/>
        <w:right w:val="none" w:sz="0" w:space="0" w:color="auto"/>
      </w:divBdr>
    </w:div>
    <w:div w:id="2064215539">
      <w:bodyDiv w:val="1"/>
      <w:marLeft w:val="0"/>
      <w:marRight w:val="0"/>
      <w:marTop w:val="0"/>
      <w:marBottom w:val="0"/>
      <w:divBdr>
        <w:top w:val="none" w:sz="0" w:space="0" w:color="auto"/>
        <w:left w:val="none" w:sz="0" w:space="0" w:color="auto"/>
        <w:bottom w:val="none" w:sz="0" w:space="0" w:color="auto"/>
        <w:right w:val="none" w:sz="0" w:space="0" w:color="auto"/>
      </w:divBdr>
    </w:div>
    <w:div w:id="2069453283">
      <w:bodyDiv w:val="1"/>
      <w:marLeft w:val="0"/>
      <w:marRight w:val="0"/>
      <w:marTop w:val="0"/>
      <w:marBottom w:val="0"/>
      <w:divBdr>
        <w:top w:val="none" w:sz="0" w:space="0" w:color="auto"/>
        <w:left w:val="none" w:sz="0" w:space="0" w:color="auto"/>
        <w:bottom w:val="none" w:sz="0" w:space="0" w:color="auto"/>
        <w:right w:val="none" w:sz="0" w:space="0" w:color="auto"/>
      </w:divBdr>
    </w:div>
    <w:div w:id="2083335712">
      <w:bodyDiv w:val="1"/>
      <w:marLeft w:val="0"/>
      <w:marRight w:val="0"/>
      <w:marTop w:val="0"/>
      <w:marBottom w:val="0"/>
      <w:divBdr>
        <w:top w:val="none" w:sz="0" w:space="0" w:color="auto"/>
        <w:left w:val="none" w:sz="0" w:space="0" w:color="auto"/>
        <w:bottom w:val="none" w:sz="0" w:space="0" w:color="auto"/>
        <w:right w:val="none" w:sz="0" w:space="0" w:color="auto"/>
      </w:divBdr>
    </w:div>
    <w:div w:id="2084795817">
      <w:bodyDiv w:val="1"/>
      <w:marLeft w:val="0"/>
      <w:marRight w:val="0"/>
      <w:marTop w:val="0"/>
      <w:marBottom w:val="0"/>
      <w:divBdr>
        <w:top w:val="none" w:sz="0" w:space="0" w:color="auto"/>
        <w:left w:val="none" w:sz="0" w:space="0" w:color="auto"/>
        <w:bottom w:val="none" w:sz="0" w:space="0" w:color="auto"/>
        <w:right w:val="none" w:sz="0" w:space="0" w:color="auto"/>
      </w:divBdr>
      <w:divsChild>
        <w:div w:id="885026784">
          <w:marLeft w:val="0"/>
          <w:marRight w:val="0"/>
          <w:marTop w:val="0"/>
          <w:marBottom w:val="0"/>
          <w:divBdr>
            <w:top w:val="none" w:sz="0" w:space="0" w:color="auto"/>
            <w:left w:val="none" w:sz="0" w:space="0" w:color="auto"/>
            <w:bottom w:val="none" w:sz="0" w:space="0" w:color="auto"/>
            <w:right w:val="none" w:sz="0" w:space="0" w:color="auto"/>
          </w:divBdr>
        </w:div>
        <w:div w:id="377557096">
          <w:marLeft w:val="0"/>
          <w:marRight w:val="0"/>
          <w:marTop w:val="0"/>
          <w:marBottom w:val="0"/>
          <w:divBdr>
            <w:top w:val="none" w:sz="0" w:space="0" w:color="auto"/>
            <w:left w:val="none" w:sz="0" w:space="0" w:color="auto"/>
            <w:bottom w:val="none" w:sz="0" w:space="0" w:color="auto"/>
            <w:right w:val="none" w:sz="0" w:space="0" w:color="auto"/>
          </w:divBdr>
        </w:div>
      </w:divsChild>
    </w:div>
    <w:div w:id="2085029737">
      <w:bodyDiv w:val="1"/>
      <w:marLeft w:val="0"/>
      <w:marRight w:val="0"/>
      <w:marTop w:val="0"/>
      <w:marBottom w:val="0"/>
      <w:divBdr>
        <w:top w:val="none" w:sz="0" w:space="0" w:color="auto"/>
        <w:left w:val="none" w:sz="0" w:space="0" w:color="auto"/>
        <w:bottom w:val="none" w:sz="0" w:space="0" w:color="auto"/>
        <w:right w:val="none" w:sz="0" w:space="0" w:color="auto"/>
      </w:divBdr>
    </w:div>
    <w:div w:id="2114592218">
      <w:bodyDiv w:val="1"/>
      <w:marLeft w:val="0"/>
      <w:marRight w:val="0"/>
      <w:marTop w:val="0"/>
      <w:marBottom w:val="0"/>
      <w:divBdr>
        <w:top w:val="none" w:sz="0" w:space="0" w:color="auto"/>
        <w:left w:val="none" w:sz="0" w:space="0" w:color="auto"/>
        <w:bottom w:val="none" w:sz="0" w:space="0" w:color="auto"/>
        <w:right w:val="none" w:sz="0" w:space="0" w:color="auto"/>
      </w:divBdr>
    </w:div>
    <w:div w:id="2127851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jpainsymman.2007.12.023" TargetMode="External"/><Relationship Id="rId18" Type="http://schemas.openxmlformats.org/officeDocument/2006/relationships/hyperlink" Target="https://doi.org/10.5812/aapm.44732" TargetMode="External"/><Relationship Id="rId26" Type="http://schemas.openxmlformats.org/officeDocument/2006/relationships/hyperlink" Target="https://doi.org/10.1016/s0885-3924(06)80004-7" TargetMode="External"/><Relationship Id="rId3" Type="http://schemas.openxmlformats.org/officeDocument/2006/relationships/settings" Target="settings.xml"/><Relationship Id="rId21" Type="http://schemas.openxmlformats.org/officeDocument/2006/relationships/hyperlink" Target="https://dx.doi.org/10.5313/wja.v4.i2.17" TargetMode="External"/><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doi.org/10.1097/j.pain.0000000000001365" TargetMode="External"/><Relationship Id="rId17" Type="http://schemas.openxmlformats.org/officeDocument/2006/relationships/hyperlink" Target="https://doi.org/10.1097/md.0000000000019898" TargetMode="External"/><Relationship Id="rId25" Type="http://schemas.openxmlformats.org/officeDocument/2006/relationships/hyperlink" Target="https://doi.org/10.1136/bmj.l4898"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93/bja/aef163" TargetMode="External"/><Relationship Id="rId20" Type="http://schemas.openxmlformats.org/officeDocument/2006/relationships/hyperlink" Target="https://doi.org/10.1097/aap.0000000000000758" TargetMode="External"/><Relationship Id="rId29" Type="http://schemas.openxmlformats.org/officeDocument/2006/relationships/hyperlink" Target="https://doi.org/10.1089/jpm.2020.062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77/0269216312464408" TargetMode="External"/><Relationship Id="rId24" Type="http://schemas.openxmlformats.org/officeDocument/2006/relationships/hyperlink" Target="https://doi.org/10.1136/bmj.38636.593461.68" TargetMode="External"/><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doi.org/10.1016/j.bja.2019.06.014" TargetMode="External"/><Relationship Id="rId23" Type="http://schemas.openxmlformats.org/officeDocument/2006/relationships/hyperlink" Target="https://doi.org/10.1089/jpm.2018.0257" TargetMode="External"/><Relationship Id="rId28" Type="http://schemas.openxmlformats.org/officeDocument/2006/relationships/hyperlink" Target="https://doi.org/10.1007/s12325-025-03192-w" TargetMode="External"/><Relationship Id="rId10" Type="http://schemas.openxmlformats.org/officeDocument/2006/relationships/hyperlink" Target="https://doi.org/10.1093/bja/aet208" TargetMode="External"/><Relationship Id="rId19" Type="http://schemas.openxmlformats.org/officeDocument/2006/relationships/hyperlink" Target="https://doi.org/10.1007/s00520-010-0864-3"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1136/spcare-2024-004893" TargetMode="External"/><Relationship Id="rId14" Type="http://schemas.openxmlformats.org/officeDocument/2006/relationships/hyperlink" Target="https://doi.org/10.1089/jpm.2019.0621" TargetMode="External"/><Relationship Id="rId22" Type="http://schemas.openxmlformats.org/officeDocument/2006/relationships/hyperlink" Target="https://doi.org/10.1186/1745-6215-15-318" TargetMode="External"/><Relationship Id="rId27" Type="http://schemas.openxmlformats.org/officeDocument/2006/relationships/hyperlink" Target="https://doi.org/10.1097/00002508-198912000-00003" TargetMode="External"/><Relationship Id="rId30" Type="http://schemas.openxmlformats.org/officeDocument/2006/relationships/hyperlink" Target="https://doi.org/10.1136/bmjopen-2022-066125" TargetMode="External"/><Relationship Id="rId8" Type="http://schemas.openxmlformats.org/officeDocument/2006/relationships/hyperlink" Target="https://doi.org/10.3390/curroncol300705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86</TotalTime>
  <Pages>24</Pages>
  <Words>34197</Words>
  <Characters>194924</Characters>
  <Application>Microsoft Office Word</Application>
  <DocSecurity>0</DocSecurity>
  <Lines>1624</Lines>
  <Paragraphs>457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PABLO JARAMILLO MARULANDA</dc:creator>
  <cp:keywords/>
  <dc:description/>
  <cp:lastModifiedBy>Juan Pablo Jaramillo Marulanda</cp:lastModifiedBy>
  <cp:revision>20</cp:revision>
  <dcterms:created xsi:type="dcterms:W3CDTF">2025-12-21T21:46:00Z</dcterms:created>
  <dcterms:modified xsi:type="dcterms:W3CDTF">2026-01-12T23:08:00Z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id="aojp9lJO"/&gt;&lt;style id="http://www.zotero.org/styles/vancouver" locale="en-US"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